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B9E" w:rsidRPr="000D716F" w:rsidRDefault="006427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WILLIAM G. MONTGOMERY</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Maricopa County Attorney</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(Firm State Bar No. 0003200)</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p>
    <w:p w:rsidR="006D3B9E" w:rsidRPr="000D716F" w:rsidRDefault="006427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MARK FAULL</w:t>
      </w:r>
    </w:p>
    <w:p w:rsidR="006D3B9E" w:rsidRPr="000D716F" w:rsidRDefault="00C8385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Chief Deputy</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 xml:space="preserve">301 West Jefferson Street, Suite </w:t>
      </w:r>
      <w:r w:rsidR="00642713" w:rsidRPr="000D716F">
        <w:rPr>
          <w:smallCaps/>
          <w:kern w:val="2"/>
          <w:szCs w:val="24"/>
        </w:rPr>
        <w:t>800</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Phoenix, Arizona 85003</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Telephone:  (602) 506-</w:t>
      </w:r>
      <w:r w:rsidR="000D716F" w:rsidRPr="000D716F">
        <w:rPr>
          <w:smallCaps/>
          <w:kern w:val="2"/>
          <w:szCs w:val="24"/>
        </w:rPr>
        <w:t>3800</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(State Bar Number</w:t>
      </w:r>
      <w:r w:rsidR="000D716F">
        <w:rPr>
          <w:smallCaps/>
          <w:kern w:val="2"/>
          <w:szCs w:val="24"/>
        </w:rPr>
        <w:t xml:space="preserve"> </w:t>
      </w:r>
      <w:r w:rsidR="000D716F">
        <w:rPr>
          <w:szCs w:val="24"/>
        </w:rPr>
        <w:t>011474</w:t>
      </w:r>
      <w:r w:rsidR="00C83859" w:rsidRPr="000D716F">
        <w:rPr>
          <w:smallCaps/>
          <w:kern w:val="2"/>
          <w:szCs w:val="24"/>
        </w:rPr>
        <w:t xml:space="preserve"> </w:t>
      </w:r>
      <w:r w:rsidRPr="000D716F">
        <w:rPr>
          <w:smallCaps/>
          <w:kern w:val="2"/>
          <w:szCs w:val="24"/>
        </w:rPr>
        <w:t>)</w:t>
      </w:r>
    </w:p>
    <w:p w:rsidR="00240AD0" w:rsidRPr="000D716F" w:rsidRDefault="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b/>
          <w:smallCaps/>
          <w:kern w:val="2"/>
          <w:szCs w:val="24"/>
        </w:rPr>
      </w:pPr>
    </w:p>
    <w:p w:rsidR="000D716F" w:rsidRPr="000D716F" w:rsidRDefault="006D3B9E" w:rsidP="000D716F">
      <w:pPr>
        <w:jc w:val="center"/>
        <w:rPr>
          <w:szCs w:val="24"/>
        </w:rPr>
      </w:pPr>
      <w:r w:rsidRPr="000D716F">
        <w:rPr>
          <w:b/>
          <w:kern w:val="2"/>
          <w:szCs w:val="24"/>
        </w:rPr>
        <w:fldChar w:fldCharType="begin"/>
      </w:r>
      <w:r w:rsidRPr="000D716F">
        <w:rPr>
          <w:b/>
          <w:kern w:val="2"/>
          <w:szCs w:val="24"/>
        </w:rPr>
        <w:instrText>ADVANCE \y241</w:instrText>
      </w:r>
      <w:r w:rsidRPr="000D716F">
        <w:rPr>
          <w:b/>
          <w:kern w:val="2"/>
          <w:szCs w:val="24"/>
        </w:rPr>
        <w:fldChar w:fldCharType="end"/>
      </w:r>
      <w:r w:rsidR="000D716F" w:rsidRPr="000D716F">
        <w:rPr>
          <w:szCs w:val="24"/>
        </w:rPr>
        <w:t>IN THE SUPREME COURT OF THE STATE OF ARIZONA</w:t>
      </w:r>
    </w:p>
    <w:p w:rsidR="00642713" w:rsidRPr="000D716F" w:rsidRDefault="00642713"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b/>
          <w:kern w:val="2"/>
          <w:szCs w:val="24"/>
        </w:rPr>
      </w:pP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jc w:val="both"/>
        <w:rPr>
          <w:kern w:val="2"/>
          <w:szCs w:val="24"/>
        </w:rPr>
      </w:pPr>
      <w:r w:rsidRPr="000D716F">
        <w:rPr>
          <w:kern w:val="2"/>
          <w:szCs w:val="24"/>
        </w:rPr>
        <w:fldChar w:fldCharType="begin"/>
      </w:r>
      <w:r w:rsidRPr="000D716F">
        <w:rPr>
          <w:kern w:val="2"/>
          <w:szCs w:val="24"/>
        </w:rPr>
        <w:instrText>ADVANCE \d10</w:instrText>
      </w:r>
      <w:r w:rsidRPr="000D716F">
        <w:rPr>
          <w:kern w:val="2"/>
          <w:szCs w:val="24"/>
        </w:rPr>
        <w:fldChar w:fldCharType="end"/>
      </w:r>
    </w:p>
    <w:tbl>
      <w:tblPr>
        <w:tblW w:w="0" w:type="auto"/>
        <w:tblInd w:w="62" w:type="dxa"/>
        <w:tblLayout w:type="fixed"/>
        <w:tblCellMar>
          <w:left w:w="62" w:type="dxa"/>
          <w:right w:w="62" w:type="dxa"/>
        </w:tblCellMar>
        <w:tblLook w:val="0000" w:firstRow="0" w:lastRow="0" w:firstColumn="0" w:lastColumn="0" w:noHBand="0" w:noVBand="0"/>
      </w:tblPr>
      <w:tblGrid>
        <w:gridCol w:w="4680"/>
        <w:gridCol w:w="367"/>
        <w:gridCol w:w="4763"/>
      </w:tblGrid>
      <w:tr w:rsidR="006D3B9E" w:rsidRPr="000D716F">
        <w:tc>
          <w:tcPr>
            <w:tcW w:w="4680" w:type="dxa"/>
            <w:tcBorders>
              <w:top w:val="single" w:sz="6" w:space="0" w:color="FFFFFF"/>
              <w:left w:val="single" w:sz="6" w:space="0" w:color="FFFFFF"/>
              <w:bottom w:val="single" w:sz="7" w:space="0" w:color="000000"/>
              <w:right w:val="single" w:sz="6" w:space="0" w:color="FFFFFF"/>
            </w:tcBorders>
          </w:tcPr>
          <w:p w:rsidR="001D258A" w:rsidRPr="000D716F" w:rsidRDefault="00015DBC"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zCs w:val="24"/>
              </w:rPr>
            </w:pPr>
            <w:r>
              <w:rPr>
                <w:smallCaps/>
                <w:kern w:val="2"/>
                <w:szCs w:val="24"/>
              </w:rPr>
              <w:t>IN THE MATTER OF</w:t>
            </w:r>
            <w:r w:rsidR="006D3B9E" w:rsidRPr="000D716F">
              <w:rPr>
                <w:smallCaps/>
                <w:kern w:val="2"/>
                <w:szCs w:val="24"/>
              </w:rPr>
              <w:t>:</w:t>
            </w:r>
            <w:r w:rsidR="00240AD0" w:rsidRPr="000D716F">
              <w:rPr>
                <w:szCs w:val="24"/>
              </w:rPr>
              <w:t xml:space="preserve"> </w:t>
            </w:r>
          </w:p>
          <w:p w:rsidR="001D258A" w:rsidRPr="000D716F" w:rsidRDefault="001D258A"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zCs w:val="24"/>
              </w:rPr>
            </w:pPr>
          </w:p>
          <w:p w:rsidR="006D3B9E" w:rsidRPr="000D716F" w:rsidRDefault="00B02B5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after="19" w:line="240" w:lineRule="exact"/>
              <w:rPr>
                <w:kern w:val="2"/>
                <w:szCs w:val="24"/>
              </w:rPr>
            </w:pPr>
            <w:r w:rsidRPr="000D716F">
              <w:rPr>
                <w:szCs w:val="24"/>
              </w:rPr>
              <w:t>PETITION TO AMEND RULE 15.8</w:t>
            </w:r>
            <w:r w:rsidR="000D716F">
              <w:rPr>
                <w:szCs w:val="24"/>
              </w:rPr>
              <w:t xml:space="preserve"> </w:t>
            </w:r>
            <w:r w:rsidR="000D716F" w:rsidRPr="000D716F">
              <w:rPr>
                <w:szCs w:val="24"/>
              </w:rPr>
              <w:t xml:space="preserve">OF THE ARIZONA RULES OF CRIMINAL PROCEDURE </w:t>
            </w:r>
          </w:p>
        </w:tc>
        <w:tc>
          <w:tcPr>
            <w:tcW w:w="367" w:type="dxa"/>
            <w:tcBorders>
              <w:top w:val="single" w:sz="6" w:space="0" w:color="FFFFFF"/>
              <w:left w:val="single" w:sz="7" w:space="0" w:color="000000"/>
              <w:bottom w:val="single" w:sz="6" w:space="0" w:color="FFFFFF"/>
              <w:right w:val="single" w:sz="6" w:space="0" w:color="FFFFFF"/>
            </w:tcBorders>
          </w:tcPr>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after="19" w:line="240" w:lineRule="exact"/>
              <w:rPr>
                <w:smallCaps/>
                <w:kern w:val="2"/>
                <w:szCs w:val="24"/>
              </w:rPr>
            </w:pPr>
          </w:p>
        </w:tc>
        <w:tc>
          <w:tcPr>
            <w:tcW w:w="4763" w:type="dxa"/>
            <w:tcBorders>
              <w:top w:val="single" w:sz="6" w:space="0" w:color="FFFFFF"/>
              <w:left w:val="single" w:sz="6" w:space="0" w:color="FFFFFF"/>
              <w:bottom w:val="single" w:sz="6" w:space="0" w:color="FFFFFF"/>
              <w:right w:val="single" w:sz="6" w:space="0" w:color="FFFFFF"/>
            </w:tcBorders>
          </w:tcPr>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smallCaps/>
                <w:kern w:val="2"/>
                <w:szCs w:val="24"/>
              </w:rPr>
            </w:pPr>
            <w:r w:rsidRPr="000D716F">
              <w:rPr>
                <w:smallCaps/>
                <w:kern w:val="2"/>
                <w:szCs w:val="24"/>
              </w:rPr>
              <w:t>R-</w:t>
            </w:r>
            <w:r w:rsidR="00B02B57" w:rsidRPr="000D716F">
              <w:rPr>
                <w:smallCaps/>
                <w:kern w:val="2"/>
                <w:szCs w:val="24"/>
              </w:rPr>
              <w:t>13-0004</w:t>
            </w:r>
          </w:p>
          <w:p w:rsidR="006D3B9E" w:rsidRPr="000D716F"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smallCaps/>
                <w:kern w:val="2"/>
                <w:szCs w:val="24"/>
              </w:rPr>
            </w:pPr>
          </w:p>
          <w:p w:rsidR="006D3B9E" w:rsidRPr="000D716F" w:rsidRDefault="006D3B9E" w:rsidP="007047C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Cs w:val="24"/>
              </w:rPr>
            </w:pPr>
            <w:r w:rsidRPr="000D716F">
              <w:rPr>
                <w:smallCaps/>
                <w:kern w:val="2"/>
                <w:szCs w:val="24"/>
              </w:rPr>
              <w:t>Maricopa County Attorney’s</w:t>
            </w:r>
            <w:r w:rsidR="00240AD0" w:rsidRPr="000D716F">
              <w:rPr>
                <w:smallCaps/>
                <w:kern w:val="2"/>
                <w:szCs w:val="24"/>
              </w:rPr>
              <w:t xml:space="preserve"> </w:t>
            </w:r>
            <w:r w:rsidR="007047C7">
              <w:rPr>
                <w:smallCaps/>
                <w:kern w:val="2"/>
                <w:szCs w:val="24"/>
              </w:rPr>
              <w:t>comment</w:t>
            </w:r>
            <w:r w:rsidR="00C35878" w:rsidRPr="000D716F">
              <w:rPr>
                <w:smallCaps/>
                <w:kern w:val="2"/>
                <w:szCs w:val="24"/>
              </w:rPr>
              <w:t xml:space="preserve"> to </w:t>
            </w:r>
            <w:r w:rsidR="00240AD0" w:rsidRPr="000D716F">
              <w:rPr>
                <w:smallCaps/>
                <w:kern w:val="2"/>
                <w:szCs w:val="24"/>
              </w:rPr>
              <w:t>Pet</w:t>
            </w:r>
            <w:r w:rsidR="00B13E25" w:rsidRPr="000D716F">
              <w:rPr>
                <w:smallCaps/>
                <w:kern w:val="2"/>
                <w:szCs w:val="24"/>
              </w:rPr>
              <w:t xml:space="preserve">ition to Amend </w:t>
            </w:r>
            <w:r w:rsidR="00B02B57" w:rsidRPr="000D716F">
              <w:rPr>
                <w:smallCaps/>
                <w:kern w:val="2"/>
                <w:szCs w:val="24"/>
              </w:rPr>
              <w:t>R</w:t>
            </w:r>
            <w:r w:rsidR="00FB5510" w:rsidRPr="000D716F">
              <w:rPr>
                <w:smallCaps/>
                <w:kern w:val="2"/>
                <w:szCs w:val="24"/>
              </w:rPr>
              <w:t xml:space="preserve">ule </w:t>
            </w:r>
            <w:r w:rsidR="00B02B57" w:rsidRPr="000D716F">
              <w:rPr>
                <w:smallCaps/>
                <w:kern w:val="2"/>
                <w:szCs w:val="24"/>
              </w:rPr>
              <w:t xml:space="preserve">15.8 </w:t>
            </w:r>
            <w:r w:rsidR="00FB5510" w:rsidRPr="000D716F">
              <w:rPr>
                <w:smallCaps/>
                <w:kern w:val="2"/>
                <w:szCs w:val="24"/>
              </w:rPr>
              <w:t xml:space="preserve">of the Arizona Rules of Criminal Procedure and </w:t>
            </w:r>
            <w:r w:rsidR="001D258A" w:rsidRPr="000D716F">
              <w:rPr>
                <w:smallCaps/>
                <w:kern w:val="2"/>
                <w:szCs w:val="24"/>
              </w:rPr>
              <w:t>Cross-</w:t>
            </w:r>
            <w:r w:rsidR="00FB5510" w:rsidRPr="000D716F">
              <w:rPr>
                <w:smallCaps/>
                <w:kern w:val="2"/>
                <w:szCs w:val="24"/>
              </w:rPr>
              <w:t xml:space="preserve">Petition to Modify Rule 15.8.  </w:t>
            </w:r>
          </w:p>
        </w:tc>
      </w:tr>
    </w:tbl>
    <w:p w:rsidR="00240AD0" w:rsidRPr="000D716F" w:rsidRDefault="00240AD0"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zCs w:val="24"/>
        </w:rPr>
      </w:pPr>
    </w:p>
    <w:p w:rsidR="00630BFE" w:rsidRPr="00630BFE" w:rsidRDefault="00630BFE" w:rsidP="00630BF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720"/>
        <w:rPr>
          <w:szCs w:val="24"/>
        </w:rPr>
      </w:pPr>
      <w:r w:rsidRPr="00630BFE">
        <w:rPr>
          <w:szCs w:val="24"/>
        </w:rPr>
        <w:t>The Maricopa County Attorney hereby responds to the Petition to Amend Rule 15.8 of the Arizona Rules of Criminal Procedure and asks this Court to deny the petition and to alternatively repeal Rule 15.8 in its entirety or to modify the Rule as requested herein.</w:t>
      </w:r>
    </w:p>
    <w:p w:rsidR="006D3B9E" w:rsidRPr="000D716F" w:rsidRDefault="000D716F">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720"/>
        <w:rPr>
          <w:kern w:val="2"/>
          <w:szCs w:val="24"/>
        </w:rPr>
      </w:pPr>
      <w:r>
        <w:rPr>
          <w:kern w:val="2"/>
          <w:szCs w:val="24"/>
        </w:rPr>
        <w:tab/>
      </w:r>
      <w:r>
        <w:rPr>
          <w:kern w:val="2"/>
          <w:szCs w:val="24"/>
        </w:rPr>
        <w:tab/>
      </w:r>
      <w:r w:rsidR="006D3B9E" w:rsidRPr="000D716F">
        <w:rPr>
          <w:kern w:val="2"/>
          <w:szCs w:val="24"/>
        </w:rPr>
        <w:t>Respectfully submitted this ____day of</w:t>
      </w:r>
      <w:r w:rsidR="00C83859" w:rsidRPr="000D716F">
        <w:rPr>
          <w:kern w:val="2"/>
          <w:szCs w:val="24"/>
        </w:rPr>
        <w:t xml:space="preserve"> </w:t>
      </w:r>
      <w:r w:rsidR="00642713" w:rsidRPr="000D716F">
        <w:rPr>
          <w:kern w:val="2"/>
          <w:szCs w:val="24"/>
        </w:rPr>
        <w:t>May</w:t>
      </w:r>
      <w:r w:rsidR="006D3B9E" w:rsidRPr="000D716F">
        <w:rPr>
          <w:kern w:val="2"/>
          <w:szCs w:val="24"/>
        </w:rPr>
        <w:t>, 20</w:t>
      </w:r>
      <w:r w:rsidR="00642713" w:rsidRPr="000D716F">
        <w:rPr>
          <w:kern w:val="2"/>
          <w:szCs w:val="24"/>
        </w:rPr>
        <w:t>1</w:t>
      </w:r>
      <w:r w:rsidR="00805275" w:rsidRPr="000D716F">
        <w:rPr>
          <w:kern w:val="2"/>
          <w:szCs w:val="24"/>
        </w:rPr>
        <w:t>3</w:t>
      </w:r>
      <w:r w:rsidR="006D3B9E" w:rsidRPr="000D716F">
        <w:rPr>
          <w:kern w:val="2"/>
          <w:szCs w:val="24"/>
        </w:rPr>
        <w:t>.</w:t>
      </w:r>
    </w:p>
    <w:p w:rsidR="00B13E25" w:rsidRPr="000D716F" w:rsidRDefault="00B13E2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720"/>
        <w:rPr>
          <w:kern w:val="2"/>
          <w:szCs w:val="24"/>
        </w:rPr>
      </w:pPr>
    </w:p>
    <w:p w:rsidR="006D3B9E" w:rsidRPr="000D716F" w:rsidRDefault="00241C3C">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kern w:val="2"/>
          <w:szCs w:val="24"/>
        </w:rPr>
      </w:pPr>
      <w:r w:rsidRPr="000D716F">
        <w:rPr>
          <w:kern w:val="2"/>
          <w:szCs w:val="24"/>
        </w:rPr>
        <w:t>WILLIAM G. MONTGOMERY</w:t>
      </w:r>
    </w:p>
    <w:p w:rsidR="006D3B9E" w:rsidRPr="000D716F" w:rsidRDefault="006D3B9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r w:rsidRPr="000D716F">
        <w:rPr>
          <w:smallCaps/>
          <w:kern w:val="2"/>
          <w:szCs w:val="24"/>
        </w:rPr>
        <w:t>Maricopa County Attorney</w:t>
      </w:r>
    </w:p>
    <w:p w:rsidR="006D3B9E" w:rsidRPr="000D716F" w:rsidRDefault="006D3B9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p>
    <w:p w:rsidR="002D22F7" w:rsidRPr="000D716F" w:rsidRDefault="002D22F7" w:rsidP="002D22F7">
      <w:pPr>
        <w:keepLines/>
        <w:ind w:left="3600" w:firstLine="720"/>
        <w:rPr>
          <w:rFonts w:cs="Arial"/>
          <w:szCs w:val="24"/>
        </w:rPr>
      </w:pPr>
      <w:r w:rsidRPr="000D716F">
        <w:rPr>
          <w:rFonts w:cs="Arial"/>
          <w:szCs w:val="24"/>
        </w:rPr>
        <w:t>By______________________</w:t>
      </w:r>
    </w:p>
    <w:p w:rsidR="006D3B9E" w:rsidRPr="000D716F" w:rsidRDefault="002D22F7">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r w:rsidRPr="000D716F">
        <w:rPr>
          <w:smallCaps/>
          <w:kern w:val="2"/>
          <w:szCs w:val="24"/>
        </w:rPr>
        <w:tab/>
      </w:r>
      <w:r w:rsidR="00241C3C" w:rsidRPr="000D716F">
        <w:rPr>
          <w:smallCaps/>
          <w:kern w:val="2"/>
          <w:szCs w:val="24"/>
        </w:rPr>
        <w:t>MARK FAULL</w:t>
      </w:r>
    </w:p>
    <w:p w:rsidR="00C83859" w:rsidRPr="000D716F" w:rsidRDefault="002D22F7">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r w:rsidRPr="000D716F">
        <w:rPr>
          <w:smallCaps/>
          <w:kern w:val="2"/>
          <w:szCs w:val="24"/>
        </w:rPr>
        <w:tab/>
      </w:r>
      <w:r w:rsidR="00C83859" w:rsidRPr="000D716F">
        <w:rPr>
          <w:smallCaps/>
          <w:kern w:val="2"/>
          <w:szCs w:val="24"/>
        </w:rPr>
        <w:t>Chief Deputy</w:t>
      </w:r>
    </w:p>
    <w:p w:rsidR="00630BFE" w:rsidRPr="00630BFE" w:rsidRDefault="006D3B9E" w:rsidP="00630BFE">
      <w:pPr>
        <w:widowControl/>
        <w:tabs>
          <w:tab w:val="center" w:pos="4968"/>
          <w:tab w:val="left" w:pos="5184"/>
          <w:tab w:val="left" w:pos="5760"/>
          <w:tab w:val="left" w:pos="6336"/>
          <w:tab w:val="left" w:pos="6912"/>
          <w:tab w:val="left" w:pos="7488"/>
          <w:tab w:val="left" w:pos="8064"/>
          <w:tab w:val="left" w:pos="8640"/>
          <w:tab w:val="left" w:pos="9216"/>
          <w:tab w:val="left" w:pos="9792"/>
        </w:tabs>
        <w:spacing w:line="480" w:lineRule="auto"/>
        <w:jc w:val="both"/>
        <w:rPr>
          <w:b/>
          <w:kern w:val="2"/>
          <w:szCs w:val="24"/>
        </w:rPr>
      </w:pPr>
      <w:r w:rsidRPr="000D716F">
        <w:rPr>
          <w:smallCaps/>
          <w:kern w:val="2"/>
          <w:szCs w:val="24"/>
        </w:rPr>
        <w:br w:type="page"/>
      </w:r>
      <w:r w:rsidR="00630BFE" w:rsidRPr="00630BFE">
        <w:rPr>
          <w:b/>
          <w:smallCaps/>
          <w:kern w:val="2"/>
          <w:szCs w:val="24"/>
        </w:rPr>
        <w:lastRenderedPageBreak/>
        <w:t>I.  I</w:t>
      </w:r>
      <w:r w:rsidR="00630BFE" w:rsidRPr="00630BFE">
        <w:rPr>
          <w:b/>
          <w:kern w:val="2"/>
          <w:szCs w:val="24"/>
        </w:rPr>
        <w:t>ntroduction</w:t>
      </w:r>
    </w:p>
    <w:p w:rsidR="00630BFE" w:rsidRPr="00630BFE" w:rsidRDefault="00630BFE" w:rsidP="00630BFE">
      <w:pPr>
        <w:spacing w:line="480" w:lineRule="auto"/>
        <w:ind w:firstLine="720"/>
        <w:jc w:val="both"/>
        <w:rPr>
          <w:szCs w:val="24"/>
        </w:rPr>
      </w:pPr>
      <w:r w:rsidRPr="00630BFE">
        <w:rPr>
          <w:szCs w:val="24"/>
        </w:rPr>
        <w:t xml:space="preserve">The State Bar of Arizona has asked this Court to expand Rule 15.8 of the Arizona Rules of Criminal Procedure.  The Maricopa County Attorney’s Office (MCAO) continues to assert that Rule 15.8 is a violation of Separation of Powers because it permits and directs the judicial branch to interfere in the Executive Branch’s decision to offer and subsequently withdraw a plea offer in a criminal case.  The MCAO recognizes, however, that this Court has rejected these constitutional arguments.  </w:t>
      </w:r>
      <w:r w:rsidRPr="00630BFE">
        <w:rPr>
          <w:szCs w:val="24"/>
          <w:u w:val="single"/>
        </w:rPr>
        <w:t>Rivera-Longoria v. Slayton</w:t>
      </w:r>
      <w:r w:rsidRPr="00630BFE">
        <w:rPr>
          <w:szCs w:val="24"/>
        </w:rPr>
        <w:t>, 228 Ariz. 156, 158, ¶ 11, 264 P.3d 866, 868 (2011).  Constitutional arguments aside, Rule 15.8 is a poorly drafted rule and represents bad public policy which negatively impacts the efficient and fair resolution of criminal cases and the preservation of the State’s limited resources.  Therefore, the MCAO asks this Court to deny the State Bar’s proposal to expand Rule 15.8.</w:t>
      </w:r>
    </w:p>
    <w:p w:rsidR="00630BFE" w:rsidRPr="00630BFE" w:rsidRDefault="00630BFE" w:rsidP="00630BFE">
      <w:pPr>
        <w:spacing w:line="480" w:lineRule="auto"/>
        <w:jc w:val="both"/>
        <w:rPr>
          <w:b/>
          <w:szCs w:val="24"/>
        </w:rPr>
      </w:pPr>
      <w:r w:rsidRPr="00630BFE">
        <w:rPr>
          <w:b/>
          <w:szCs w:val="24"/>
        </w:rPr>
        <w:t>II. Discussion</w:t>
      </w:r>
    </w:p>
    <w:p w:rsidR="00630BFE" w:rsidRPr="00630BFE" w:rsidRDefault="00630BFE" w:rsidP="00630BFE">
      <w:pPr>
        <w:tabs>
          <w:tab w:val="left" w:pos="1440"/>
        </w:tabs>
        <w:ind w:left="1440" w:hanging="720"/>
        <w:jc w:val="both"/>
        <w:rPr>
          <w:b/>
          <w:szCs w:val="24"/>
        </w:rPr>
      </w:pPr>
      <w:r w:rsidRPr="00630BFE">
        <w:rPr>
          <w:b/>
          <w:szCs w:val="24"/>
        </w:rPr>
        <w:t>A.</w:t>
      </w:r>
      <w:r w:rsidRPr="00630BFE">
        <w:rPr>
          <w:b/>
          <w:szCs w:val="24"/>
        </w:rPr>
        <w:tab/>
        <w:t>The State Bar’s petition would expand Rule 15.8 to apply to virtually every felony case in Arizona.</w:t>
      </w:r>
    </w:p>
    <w:p w:rsidR="00630BFE" w:rsidRPr="00630BFE" w:rsidRDefault="00630BFE" w:rsidP="00630BFE">
      <w:pPr>
        <w:ind w:firstLine="720"/>
        <w:jc w:val="both"/>
        <w:rPr>
          <w:b/>
          <w:szCs w:val="24"/>
        </w:rPr>
      </w:pPr>
    </w:p>
    <w:p w:rsidR="00630BFE" w:rsidRPr="00630BFE" w:rsidRDefault="00630BFE" w:rsidP="00630BFE">
      <w:pPr>
        <w:widowControl/>
        <w:spacing w:line="480" w:lineRule="auto"/>
        <w:jc w:val="both"/>
        <w:rPr>
          <w:szCs w:val="24"/>
        </w:rPr>
      </w:pPr>
      <w:r w:rsidRPr="00630BFE">
        <w:rPr>
          <w:b/>
          <w:szCs w:val="24"/>
        </w:rPr>
        <w:tab/>
      </w:r>
      <w:r w:rsidRPr="00630BFE">
        <w:rPr>
          <w:szCs w:val="24"/>
        </w:rPr>
        <w:t xml:space="preserve">Rule 15.8 is a relatively new addition to the Arizona Rules of Criminal Procedure.  Only added in 2003, the rule was part of a comprehensive overhaul of Rule 15.   As currently written, the Rule only applies to a criminal case if the State makes a post-filing plea offer and a plea deadline has been set.  In that one circumstance, if the State does not provide “material” disclosure that is listed in Rule 15.1(b) at least 30 days before the plea deadline then the court must consider the “impact of the failure to provide such disclosure on the defendant’s decision to accept or reject a plea offer.”  </w:t>
      </w:r>
      <w:r w:rsidRPr="00630BFE">
        <w:rPr>
          <w:smallCaps/>
          <w:szCs w:val="24"/>
        </w:rPr>
        <w:t xml:space="preserve">Ariz. R. Crim. P. </w:t>
      </w:r>
      <w:r w:rsidRPr="00630BFE">
        <w:rPr>
          <w:szCs w:val="24"/>
        </w:rPr>
        <w:t xml:space="preserve">15.8.  The rule then provides that “If the court determines that the prosecutor’s failure to provide such disclosure materially impacted the defendant’s decision,” the presumptive minimum sanction is to preclude the material evidence from the trial unless the State re-offers the rejected plea agreement.  </w:t>
      </w:r>
      <w:r w:rsidRPr="00630BFE">
        <w:rPr>
          <w:szCs w:val="24"/>
          <w:u w:val="single"/>
        </w:rPr>
        <w:t>Id.</w:t>
      </w:r>
      <w:r w:rsidRPr="00630BFE">
        <w:rPr>
          <w:szCs w:val="24"/>
        </w:rPr>
        <w:t xml:space="preserve">  The State Bar now seeks to expand Rule 15.8 to cover </w:t>
      </w:r>
      <w:r w:rsidRPr="00630BFE">
        <w:rPr>
          <w:i/>
          <w:szCs w:val="24"/>
        </w:rPr>
        <w:lastRenderedPageBreak/>
        <w:t>any</w:t>
      </w:r>
      <w:r w:rsidRPr="00630BFE">
        <w:rPr>
          <w:szCs w:val="24"/>
        </w:rPr>
        <w:t xml:space="preserve"> case where the State makes a plea offer whether or not a plea deadline is imposed.  This unconstitutional intrusion into prosecution case management would make Rule 15.8 applicable in virtually every felony case in Arizona.  </w:t>
      </w:r>
    </w:p>
    <w:p w:rsidR="00630BFE" w:rsidRPr="00630BFE" w:rsidRDefault="00630BFE" w:rsidP="00630BFE">
      <w:pPr>
        <w:widowControl/>
        <w:tabs>
          <w:tab w:val="left" w:pos="1440"/>
        </w:tabs>
        <w:ind w:left="1440" w:hanging="720"/>
        <w:jc w:val="both"/>
        <w:rPr>
          <w:b/>
          <w:szCs w:val="24"/>
        </w:rPr>
      </w:pPr>
      <w:r w:rsidRPr="00630BFE">
        <w:rPr>
          <w:b/>
          <w:szCs w:val="24"/>
        </w:rPr>
        <w:t>B.</w:t>
      </w:r>
      <w:r w:rsidRPr="00630BFE">
        <w:rPr>
          <w:b/>
          <w:szCs w:val="24"/>
        </w:rPr>
        <w:tab/>
        <w:t>Rule 15.8 is poorly drafted and is a continual source of confusion for practitioners and the courts.</w:t>
      </w:r>
    </w:p>
    <w:p w:rsidR="00630BFE" w:rsidRPr="00630BFE" w:rsidRDefault="00630BFE" w:rsidP="00630BFE">
      <w:pPr>
        <w:widowControl/>
        <w:tabs>
          <w:tab w:val="left" w:pos="1440"/>
        </w:tabs>
        <w:ind w:left="1440" w:hanging="720"/>
        <w:jc w:val="both"/>
        <w:rPr>
          <w:b/>
          <w:szCs w:val="24"/>
        </w:rPr>
      </w:pPr>
    </w:p>
    <w:p w:rsidR="00630BFE" w:rsidRPr="00630BFE" w:rsidRDefault="00630BFE" w:rsidP="00630BFE">
      <w:pPr>
        <w:widowControl/>
        <w:tabs>
          <w:tab w:val="left" w:pos="720"/>
        </w:tabs>
        <w:spacing w:line="480" w:lineRule="auto"/>
        <w:jc w:val="both"/>
        <w:rPr>
          <w:szCs w:val="24"/>
        </w:rPr>
      </w:pPr>
      <w:r w:rsidRPr="00630BFE">
        <w:rPr>
          <w:szCs w:val="24"/>
        </w:rPr>
        <w:tab/>
        <w:t xml:space="preserve">As currently written and interpreted by this Court, Rule 15.8 is confusing and expanding it to apply to all felony cases will only add unnecessary litigation.  First, as currently drafted, there is persistent confusion surrounding what the State must do to avoid Rule 15.8 sanctions.  The discussion section of the State Bar’s Petition highlights a common misunderstanding of Rule 15.8.  The Petition claims that Rule 15.8 sanctions apply if a prosecutor “fails to make material disclosure to the defense at least thirty days before the plea offer expires.”  [Petition to Amend Rule 15.8 at 1].  Additionally the Petition states, “Rule 15.8 contemplates that a defendant facing criminal charges in the Superior Court should have at least thirty days to evaluate the State’s disclosures before deciding whether to accept a plea offer.”  [Petition to Amend Rule 15.8 at 2].  This Court has flatly rejected the idea that Rule 15.8 mandates a “30 day consideration period.”   In </w:t>
      </w:r>
      <w:r w:rsidRPr="00630BFE">
        <w:rPr>
          <w:szCs w:val="24"/>
          <w:u w:val="single"/>
        </w:rPr>
        <w:t>Rivera-Longoria</w:t>
      </w:r>
      <w:r w:rsidRPr="00630BFE">
        <w:rPr>
          <w:szCs w:val="24"/>
        </w:rPr>
        <w:t>, this Court stated, “Nor must a prosecutor extend an outstanding offer’s deadline for another thirty days when, after Rule 15.1(b) disclosures have been timely provided, new information comes within the prosecutor’s ‘possession or control.’”  228. Ariz.  at 159, ¶ 15, 264 P.3d at 869.  Despite this Court’s clear pronouncement, litigation surrounding this issue continues based on mistaken arguments like those the State Bar now uses.  Expanding the Rule as proposed will unnecessarily increase this type of litigation.</w:t>
      </w:r>
    </w:p>
    <w:p w:rsidR="00630BFE" w:rsidRPr="00630BFE" w:rsidRDefault="00630BFE" w:rsidP="00630BFE">
      <w:pPr>
        <w:pStyle w:val="FootnoteText"/>
        <w:spacing w:line="480" w:lineRule="auto"/>
        <w:jc w:val="both"/>
        <w:rPr>
          <w:sz w:val="24"/>
          <w:szCs w:val="24"/>
        </w:rPr>
      </w:pPr>
      <w:r w:rsidRPr="00630BFE">
        <w:rPr>
          <w:sz w:val="24"/>
          <w:szCs w:val="24"/>
        </w:rPr>
        <w:tab/>
        <w:t xml:space="preserve">Second, although this Court clearly rejected the notion of a “30 day consideration period,” the language of the Rule and the </w:t>
      </w:r>
      <w:r w:rsidRPr="00630BFE">
        <w:rPr>
          <w:sz w:val="24"/>
          <w:szCs w:val="24"/>
          <w:u w:val="single"/>
        </w:rPr>
        <w:t>Rivera-Longoria</w:t>
      </w:r>
      <w:r w:rsidRPr="00630BFE">
        <w:rPr>
          <w:sz w:val="24"/>
          <w:szCs w:val="24"/>
        </w:rPr>
        <w:t xml:space="preserve"> opinion does not clearly explain when the Rule should apply.  The simple language of the Rule suggests that it would only apply in a situation </w:t>
      </w:r>
      <w:r w:rsidRPr="00630BFE">
        <w:rPr>
          <w:sz w:val="24"/>
          <w:szCs w:val="24"/>
        </w:rPr>
        <w:lastRenderedPageBreak/>
        <w:t xml:space="preserve">where a prosecutor failed to comply with Rule 15.1(b) by not disclosing evidence that existed and was in the prosecutor’s possession at least 30 days before a plea cutoff date.  If the Rule was limited to this circumstance, the draconian sanction it demands may appear warranted because in that instance, the Court would have found that the State withheld material evidence that was in its possession and waited to “spring” it on the defense only after the plea offer expired.  </w:t>
      </w:r>
    </w:p>
    <w:p w:rsidR="00630BFE" w:rsidRPr="00630BFE" w:rsidRDefault="00630BFE" w:rsidP="00630BFE">
      <w:pPr>
        <w:pStyle w:val="FootnoteText"/>
        <w:spacing w:line="480" w:lineRule="auto"/>
        <w:jc w:val="both"/>
        <w:rPr>
          <w:sz w:val="24"/>
          <w:szCs w:val="24"/>
        </w:rPr>
      </w:pPr>
      <w:r w:rsidRPr="00630BFE">
        <w:rPr>
          <w:sz w:val="24"/>
          <w:szCs w:val="24"/>
        </w:rPr>
        <w:tab/>
        <w:t xml:space="preserve">Indeed, there are portions of this Court’s opinion in </w:t>
      </w:r>
      <w:r w:rsidRPr="00630BFE">
        <w:rPr>
          <w:sz w:val="24"/>
          <w:szCs w:val="24"/>
          <w:u w:val="single"/>
        </w:rPr>
        <w:t>Rivera-Longoria</w:t>
      </w:r>
      <w:r w:rsidRPr="00630BFE">
        <w:rPr>
          <w:sz w:val="24"/>
          <w:szCs w:val="24"/>
        </w:rPr>
        <w:t xml:space="preserve"> that would support such a limited interpretation.  This Court stated, “These provisions indicate that Rule 15.8 disclosure obligations relate to Rule 15.1(b) evidence that is within the prosecutor’s possession or control </w:t>
      </w:r>
      <w:r w:rsidRPr="00630BFE">
        <w:rPr>
          <w:i/>
          <w:sz w:val="24"/>
          <w:szCs w:val="24"/>
        </w:rPr>
        <w:t>when the offer lapses</w:t>
      </w:r>
      <w:r w:rsidRPr="00630BFE">
        <w:rPr>
          <w:sz w:val="24"/>
          <w:szCs w:val="24"/>
        </w:rPr>
        <w:t xml:space="preserve">.”  </w:t>
      </w:r>
      <w:r w:rsidRPr="00630BFE">
        <w:rPr>
          <w:sz w:val="24"/>
          <w:szCs w:val="24"/>
          <w:u w:val="single"/>
        </w:rPr>
        <w:t>Id.</w:t>
      </w:r>
      <w:r w:rsidRPr="00630BFE">
        <w:rPr>
          <w:sz w:val="24"/>
          <w:szCs w:val="24"/>
        </w:rPr>
        <w:t xml:space="preserve"> at 159, ¶ 14, 264 P.3d at 869 (emphasis added).  This statement would imply that newly discovered evidence that comes into the prosecutor’s possession after a plea offer lapses would not trigger Rule 15.8 because that information was not subject to disclosure under Rule 15.1(b) at the time the offer lapsed.  This Court seems to support that conclusion in the next paragraph, stating: </w:t>
      </w:r>
    </w:p>
    <w:p w:rsidR="00630BFE" w:rsidRPr="00630BFE" w:rsidRDefault="00630BFE" w:rsidP="00630BFE">
      <w:pPr>
        <w:pStyle w:val="FootnoteText"/>
        <w:ind w:left="720" w:right="720"/>
        <w:jc w:val="both"/>
        <w:rPr>
          <w:sz w:val="24"/>
          <w:szCs w:val="24"/>
        </w:rPr>
      </w:pPr>
      <w:r w:rsidRPr="00630BFE">
        <w:rPr>
          <w:sz w:val="24"/>
          <w:szCs w:val="24"/>
        </w:rPr>
        <w:tab/>
        <w:t xml:space="preserve">The state does not face Rule 15.8 sanctions if it declines to reinstate a lapsed offer after obtaining new information subject to disclosure under Rule 15.1(b) and Rule 15.6.  Nor must a prosecutor extend an outstanding offer’s deadline for another thirty days when, after Rule 15.1(b) disclosures have been timely provided, new information comes within the prosecutor’s “possession or control.”  </w:t>
      </w:r>
    </w:p>
    <w:p w:rsidR="00630BFE" w:rsidRPr="00630BFE" w:rsidRDefault="00630BFE" w:rsidP="00630BFE">
      <w:pPr>
        <w:pStyle w:val="FootnoteText"/>
        <w:ind w:left="720" w:right="720"/>
        <w:jc w:val="both"/>
        <w:rPr>
          <w:sz w:val="24"/>
          <w:szCs w:val="24"/>
        </w:rPr>
      </w:pPr>
    </w:p>
    <w:p w:rsidR="00630BFE" w:rsidRPr="00630BFE" w:rsidRDefault="00630BFE" w:rsidP="00630BFE">
      <w:pPr>
        <w:pStyle w:val="FootnoteText"/>
        <w:spacing w:line="480" w:lineRule="auto"/>
        <w:jc w:val="both"/>
        <w:rPr>
          <w:sz w:val="24"/>
          <w:szCs w:val="24"/>
        </w:rPr>
      </w:pPr>
      <w:r w:rsidRPr="00630BFE">
        <w:rPr>
          <w:sz w:val="24"/>
          <w:szCs w:val="24"/>
          <w:u w:val="single"/>
        </w:rPr>
        <w:t>Id.</w:t>
      </w:r>
      <w:r w:rsidRPr="00630BFE">
        <w:rPr>
          <w:sz w:val="24"/>
          <w:szCs w:val="24"/>
        </w:rPr>
        <w:t xml:space="preserve"> at ¶ 15.  With such a limited interpretation, Rule 15.8, while still an encroachment into an Executive function, would cause few problems and would only apply when a prosecutor knowingly withheld material disclosures until the plea deadline ran.</w:t>
      </w:r>
    </w:p>
    <w:p w:rsidR="00630BFE" w:rsidRPr="00630BFE" w:rsidRDefault="00630BFE" w:rsidP="00630BFE">
      <w:pPr>
        <w:pStyle w:val="FootnoteText"/>
        <w:spacing w:line="480" w:lineRule="auto"/>
        <w:jc w:val="both"/>
        <w:rPr>
          <w:sz w:val="24"/>
          <w:szCs w:val="24"/>
        </w:rPr>
      </w:pPr>
      <w:r w:rsidRPr="00630BFE">
        <w:rPr>
          <w:sz w:val="24"/>
          <w:szCs w:val="24"/>
        </w:rPr>
        <w:tab/>
        <w:t>Unfortunately, to these very clear pronouncements, this Court then adds the following:</w:t>
      </w:r>
    </w:p>
    <w:p w:rsidR="00630BFE" w:rsidRPr="00630BFE" w:rsidRDefault="00630BFE" w:rsidP="00630BFE">
      <w:pPr>
        <w:pStyle w:val="FootnoteText"/>
        <w:keepLines/>
        <w:widowControl/>
        <w:ind w:left="720" w:right="720" w:firstLine="720"/>
        <w:jc w:val="both"/>
        <w:rPr>
          <w:sz w:val="24"/>
          <w:szCs w:val="24"/>
        </w:rPr>
      </w:pPr>
      <w:r w:rsidRPr="00630BFE">
        <w:rPr>
          <w:sz w:val="24"/>
          <w:szCs w:val="24"/>
        </w:rPr>
        <w:t>In that situation, if the prosecutor promptly supplements the prior disclosures before the deadline lapses, the disclosures will be “seasonably” made under Rule 15.6.</w:t>
      </w:r>
    </w:p>
    <w:p w:rsidR="00630BFE" w:rsidRPr="00630BFE" w:rsidRDefault="00630BFE" w:rsidP="00630BFE">
      <w:pPr>
        <w:pStyle w:val="FootnoteText"/>
        <w:keepLines/>
        <w:widowControl/>
        <w:ind w:left="720" w:right="720"/>
        <w:jc w:val="both"/>
        <w:rPr>
          <w:sz w:val="24"/>
          <w:szCs w:val="24"/>
        </w:rPr>
      </w:pPr>
      <w:r w:rsidRPr="00630BFE">
        <w:rPr>
          <w:sz w:val="24"/>
          <w:szCs w:val="24"/>
        </w:rPr>
        <w:tab/>
        <w:t xml:space="preserve">A prosecutor who wishes to avoid potential sanctions under Rule 15.8 need only provide the material disclosure identified in Rule 15.1(b) at least thirty days before a plea offer deadline </w:t>
      </w:r>
      <w:r w:rsidRPr="00630BFE">
        <w:rPr>
          <w:i/>
          <w:sz w:val="24"/>
          <w:szCs w:val="24"/>
        </w:rPr>
        <w:t>and</w:t>
      </w:r>
      <w:r w:rsidRPr="00630BFE">
        <w:rPr>
          <w:sz w:val="24"/>
          <w:szCs w:val="24"/>
        </w:rPr>
        <w:t xml:space="preserve"> promptly disclose any additional information under Rule 15.6 </w:t>
      </w:r>
      <w:r w:rsidRPr="00630BFE">
        <w:rPr>
          <w:i/>
          <w:sz w:val="24"/>
          <w:szCs w:val="24"/>
        </w:rPr>
        <w:t>before the deadline lapses.</w:t>
      </w:r>
    </w:p>
    <w:p w:rsidR="00630BFE" w:rsidRPr="00630BFE" w:rsidRDefault="00630BFE" w:rsidP="00630BFE">
      <w:pPr>
        <w:pStyle w:val="FootnoteText"/>
        <w:ind w:left="720" w:right="720"/>
        <w:jc w:val="both"/>
        <w:rPr>
          <w:sz w:val="24"/>
          <w:szCs w:val="24"/>
        </w:rPr>
      </w:pPr>
    </w:p>
    <w:p w:rsidR="00630BFE" w:rsidRPr="00630BFE" w:rsidRDefault="00630BFE" w:rsidP="00630BFE">
      <w:pPr>
        <w:pStyle w:val="FootnoteText"/>
        <w:spacing w:line="480" w:lineRule="auto"/>
        <w:jc w:val="both"/>
        <w:rPr>
          <w:sz w:val="24"/>
          <w:szCs w:val="24"/>
        </w:rPr>
      </w:pPr>
      <w:r w:rsidRPr="00630BFE">
        <w:rPr>
          <w:sz w:val="24"/>
          <w:szCs w:val="24"/>
          <w:u w:val="single"/>
        </w:rPr>
        <w:t>Id.</w:t>
      </w:r>
      <w:r w:rsidRPr="00630BFE">
        <w:rPr>
          <w:sz w:val="24"/>
          <w:szCs w:val="24"/>
        </w:rPr>
        <w:t xml:space="preserve"> at ¶¶ 15-16 (emphasis added).  What this Court does not explicitly state is what happens when the State has complied with Rule 15.1(b) and 15.6 at the time the offer lapsed but new evidence is later discovered and disclosed.  Given this Court’s pronouncement that the way to avoid Rule 15.8 sanctions is to disclose new evidence under Rule 15.6 </w:t>
      </w:r>
      <w:r w:rsidRPr="00630BFE">
        <w:rPr>
          <w:i/>
          <w:sz w:val="24"/>
          <w:szCs w:val="24"/>
        </w:rPr>
        <w:t>before</w:t>
      </w:r>
      <w:r w:rsidRPr="00630BFE">
        <w:rPr>
          <w:sz w:val="24"/>
          <w:szCs w:val="24"/>
        </w:rPr>
        <w:t xml:space="preserve"> the plea deadline expires, it appears that despite this Court’s statement that “[t]he State does not face Rule 15.8 sanctions if it declines to reinstate a lapsed offer after obtaining new information,” the converse is actually true.  Despite the confusion about when Rule 15.8 actually applies to a case, what is clear is that the Rule does not create a right to have 30 days to contemplate disclosures made under Rule 15.6.  Nevertheless, how and when the Rule applies is unclear and this fact adds unneeded litigation to courts that are already handling too many cases and hearings.</w:t>
      </w:r>
      <w:r w:rsidRPr="00630BFE">
        <w:rPr>
          <w:rStyle w:val="FootnoteReference"/>
          <w:sz w:val="24"/>
          <w:szCs w:val="24"/>
          <w:vertAlign w:val="superscript"/>
        </w:rPr>
        <w:footnoteReference w:id="1"/>
      </w:r>
      <w:r w:rsidRPr="00630BFE">
        <w:rPr>
          <w:sz w:val="24"/>
          <w:szCs w:val="24"/>
        </w:rPr>
        <w:t xml:space="preserve">  Expanding the Rule as requested by the State Bar would simply make this bad situation worse.</w:t>
      </w:r>
    </w:p>
    <w:p w:rsidR="00630BFE" w:rsidRPr="00630BFE" w:rsidRDefault="00630BFE" w:rsidP="00630BFE">
      <w:pPr>
        <w:widowControl/>
        <w:tabs>
          <w:tab w:val="left" w:pos="1440"/>
        </w:tabs>
        <w:ind w:left="1440" w:hanging="720"/>
        <w:jc w:val="both"/>
        <w:rPr>
          <w:b/>
          <w:szCs w:val="24"/>
        </w:rPr>
      </w:pPr>
      <w:r w:rsidRPr="00630BFE">
        <w:rPr>
          <w:b/>
          <w:szCs w:val="24"/>
        </w:rPr>
        <w:t>C.</w:t>
      </w:r>
      <w:r w:rsidRPr="00630BFE">
        <w:rPr>
          <w:b/>
          <w:szCs w:val="24"/>
        </w:rPr>
        <w:tab/>
        <w:t>Even as currently written, the application of Rule 15.8 encourages delay, is incompatible with the goals of Rule 15, and does not serve the interests of justice.</w:t>
      </w:r>
    </w:p>
    <w:p w:rsidR="00630BFE" w:rsidRPr="00630BFE" w:rsidRDefault="00630BFE" w:rsidP="00630BFE">
      <w:pPr>
        <w:widowControl/>
        <w:jc w:val="both"/>
        <w:rPr>
          <w:b/>
          <w:szCs w:val="24"/>
        </w:rPr>
      </w:pPr>
    </w:p>
    <w:p w:rsidR="00630BFE" w:rsidRPr="00630BFE" w:rsidRDefault="00630BFE" w:rsidP="00630BFE">
      <w:pPr>
        <w:spacing w:line="480" w:lineRule="auto"/>
        <w:jc w:val="both"/>
        <w:rPr>
          <w:szCs w:val="24"/>
        </w:rPr>
      </w:pPr>
      <w:r w:rsidRPr="00630BFE">
        <w:rPr>
          <w:szCs w:val="24"/>
        </w:rPr>
        <w:tab/>
        <w:t xml:space="preserve">Before considering expanding Rule 15.8 to apply in every felony case where the State offers a plea agreement, this Court should consider the realities of Rule 15.8 as it is currently drafted.  The goals behind Rule 15.8 are understandable.  Certainly no one would advocate for a system where a prosecutor would require a defendant to make the decision on whether to accept a plea offer without basic information about the case.  In our current criminal justice system, within a few days or weeks </w:t>
      </w:r>
      <w:r w:rsidRPr="00630BFE">
        <w:rPr>
          <w:szCs w:val="24"/>
        </w:rPr>
        <w:lastRenderedPageBreak/>
        <w:t xml:space="preserve">after a case is filed in Superior Court, the State provides the defense with discovery which in many cases includes items such as the police reports, witness statements (frequently digital recordings of these statements), search warrants, photographs, and surveillance videos – not the lists of such evidence as required by Rule 15.1(b) but the actual documents, photos, and videos.  In Maricopa County, common practice is to, simultaneous with that disclosure or shortly thereafter, extend a plea offer that appropriately considers all the facts of the case known at that time, the victim’s views, and the resources expended on the case up to that point.  Thus, the defendant receives a benefit for admitting guilt before additional judicial and law enforcement resources are expended. </w:t>
      </w:r>
    </w:p>
    <w:p w:rsidR="00630BFE" w:rsidRPr="00630BFE" w:rsidRDefault="00630BFE" w:rsidP="00630BFE">
      <w:pPr>
        <w:spacing w:line="480" w:lineRule="auto"/>
        <w:jc w:val="both"/>
        <w:rPr>
          <w:szCs w:val="24"/>
        </w:rPr>
      </w:pPr>
      <w:r w:rsidRPr="00630BFE">
        <w:rPr>
          <w:szCs w:val="24"/>
        </w:rPr>
        <w:tab/>
        <w:t xml:space="preserve">As the comment to Rule 15.8 notes, one of the main purposes of making a plea offer is to “optimize scarce criminal justice resources.”  </w:t>
      </w:r>
      <w:r w:rsidRPr="00630BFE">
        <w:rPr>
          <w:smallCaps/>
          <w:szCs w:val="24"/>
        </w:rPr>
        <w:t>Ariz. R. Crim. P.</w:t>
      </w:r>
      <w:r w:rsidRPr="00630BFE">
        <w:rPr>
          <w:szCs w:val="24"/>
        </w:rPr>
        <w:t xml:space="preserve"> 15.8, cmt.  A plea agreement saves resources when it resolves a case as early in the criminal process as possible.  Knowing this, it is in the prosecutor’s best interest to disclose everything as quickly as possible so the defense can make an informed decision and resolve the case before unnecessary preparation is done.  Rule 15.8 does not provide the motivation for rapid disclosure. Rule 15.1 and common sense case management practices accomplish that goal.  </w:t>
      </w:r>
    </w:p>
    <w:p w:rsidR="00630BFE" w:rsidRPr="00630BFE" w:rsidRDefault="00630BFE" w:rsidP="00630BFE">
      <w:pPr>
        <w:spacing w:line="480" w:lineRule="auto"/>
        <w:jc w:val="both"/>
        <w:rPr>
          <w:szCs w:val="24"/>
        </w:rPr>
      </w:pPr>
      <w:r w:rsidRPr="00630BFE">
        <w:rPr>
          <w:szCs w:val="24"/>
        </w:rPr>
        <w:tab/>
        <w:t>Although the comment to Rule 15.8 asserts that the rule balances the interests of the State in optimizing resources as well as the defendant’s rights, the reality is that Rule 15.8 provides a “trump card” for the defendant to effectively neutralize the resource benefits the State hoped to achieve in making a plea offer.   Criminal cases are not static.  The investigation is rarely complete the moment an arrest is made or a case if filed.  Additional investigation is frequently performed as the case progresses and this often involves lab work by overburdened law enforcement agencies.</w:t>
      </w:r>
      <w:r w:rsidRPr="00630BFE">
        <w:rPr>
          <w:szCs w:val="24"/>
          <w:vertAlign w:val="superscript"/>
        </w:rPr>
        <w:t xml:space="preserve"> </w:t>
      </w:r>
      <w:r w:rsidRPr="00630BFE">
        <w:rPr>
          <w:szCs w:val="24"/>
        </w:rPr>
        <w:t xml:space="preserve"> The State recognizes minimal resource savings if the case must be completely worked up to the point that it is ready to go to trial before a plea offer expires or is withdrawn.  The goal of plea negotiations is to attempt to resolve the case justly but without spending the full resources that </w:t>
      </w:r>
      <w:r w:rsidRPr="00630BFE">
        <w:rPr>
          <w:szCs w:val="24"/>
        </w:rPr>
        <w:lastRenderedPageBreak/>
        <w:t xml:space="preserve">would be used to get the case “trial ready.”  In exchange for not requiring the time and expense of this additional work, the State permits the defendant to plead guilty to a lesser offense or to a more favorable sentencing range than he or she would face following a conviction at trial.  Thus, both sides benefit from this bargain.  Rule 15.8, however, turns this process on its head because it effectively requires the State to expend all of the resources it would use to make a case trial ready </w:t>
      </w:r>
      <w:r w:rsidRPr="00630BFE">
        <w:rPr>
          <w:i/>
          <w:szCs w:val="24"/>
        </w:rPr>
        <w:t>before</w:t>
      </w:r>
      <w:r w:rsidRPr="00630BFE">
        <w:rPr>
          <w:szCs w:val="24"/>
        </w:rPr>
        <w:t xml:space="preserve"> knowing if the defendant is going to accept an offer.  The comment to Rule 15.8 specifically recognizes this reality in the context of lab work when it discusses such work as exactly the type of evidence that would not fall under Rule 15.1(b) because it would not be in the State’s possession until the tests were complete.  Yet, the comment concludes (and </w:t>
      </w:r>
      <w:r w:rsidRPr="00630BFE">
        <w:rPr>
          <w:szCs w:val="24"/>
          <w:u w:val="single"/>
        </w:rPr>
        <w:t>Rivera-Longoria</w:t>
      </w:r>
      <w:r w:rsidRPr="00630BFE">
        <w:rPr>
          <w:szCs w:val="24"/>
        </w:rPr>
        <w:t xml:space="preserve"> appears to support the conclusion) that Rule 15.8 requires the prosecutor to reinstate the lapsed plea or face the consequences.</w:t>
      </w:r>
      <w:r w:rsidRPr="00630BFE">
        <w:rPr>
          <w:rStyle w:val="FootnoteReference"/>
          <w:szCs w:val="24"/>
          <w:vertAlign w:val="superscript"/>
        </w:rPr>
        <w:footnoteReference w:id="2"/>
      </w:r>
      <w:r w:rsidRPr="00630BFE">
        <w:rPr>
          <w:szCs w:val="24"/>
        </w:rPr>
        <w:t xml:space="preserve">  </w:t>
      </w:r>
    </w:p>
    <w:p w:rsidR="00630BFE" w:rsidRPr="00630BFE" w:rsidRDefault="00630BFE" w:rsidP="00630BFE">
      <w:pPr>
        <w:spacing w:line="480" w:lineRule="auto"/>
        <w:jc w:val="both"/>
        <w:rPr>
          <w:szCs w:val="24"/>
        </w:rPr>
      </w:pPr>
      <w:r w:rsidRPr="00630BFE">
        <w:rPr>
          <w:szCs w:val="24"/>
        </w:rPr>
        <w:tab/>
        <w:t xml:space="preserve">As an example, consider a case where a prosecutor gives a defendant full Rule 15.1(b) disclosure and a plea offer, and sets a cutoff date 45 days in the future.  Forty-five days later, following a full </w:t>
      </w:r>
      <w:r w:rsidRPr="00630BFE">
        <w:rPr>
          <w:szCs w:val="24"/>
          <w:u w:val="single"/>
        </w:rPr>
        <w:t>Donald</w:t>
      </w:r>
      <w:r w:rsidRPr="00630BFE">
        <w:rPr>
          <w:rStyle w:val="FootnoteReference"/>
          <w:szCs w:val="24"/>
          <w:vertAlign w:val="superscript"/>
        </w:rPr>
        <w:footnoteReference w:id="3"/>
      </w:r>
      <w:r w:rsidRPr="00630BFE">
        <w:rPr>
          <w:szCs w:val="24"/>
        </w:rPr>
        <w:t xml:space="preserve"> advisement, the defendant rejects that offer and demands a trial.  In preparation for trial, the crime lab completes the work that it had not done in favor of spending its resources on other cases while the defendant decided whether to accept the plea in this case.  Having rejected the plea, the lab work must be completed, and the lab discovers that the defendant </w:t>
      </w:r>
      <w:r w:rsidRPr="00630BFE">
        <w:rPr>
          <w:szCs w:val="24"/>
        </w:rPr>
        <w:lastRenderedPageBreak/>
        <w:t xml:space="preserve">left a fingerprint at the crime scene.  Under Rule 15.6(a), and well before the seven day deadline imposed under Rule 15.6(c), the prosecutor discloses the just-completed lab report.  Despite the fact that the defendant knowingly and intelligently rejected the plea offer, knowing lab work was not complete, the defense may demand that the court invoke the provisions of Rule 15.8.  </w:t>
      </w:r>
    </w:p>
    <w:p w:rsidR="00630BFE" w:rsidRPr="00630BFE" w:rsidRDefault="00630BFE" w:rsidP="00630BFE">
      <w:pPr>
        <w:spacing w:line="480" w:lineRule="auto"/>
        <w:jc w:val="both"/>
        <w:rPr>
          <w:szCs w:val="24"/>
        </w:rPr>
      </w:pPr>
      <w:r w:rsidRPr="00630BFE">
        <w:rPr>
          <w:szCs w:val="24"/>
        </w:rPr>
        <w:tab/>
        <w:t xml:space="preserve">Once that motion is filed, the pretrial litigation begins and the court must hold a hearing to first determine if the evidence was “material.”  As the rule provides no definition for that term, and the comment simply directs the court to consider all the facts and circumstances of the case, the court will likely use materiality definitions found in other areas of criminal law such as in the context of a </w:t>
      </w:r>
      <w:r w:rsidRPr="00630BFE">
        <w:rPr>
          <w:szCs w:val="24"/>
          <w:u w:val="single"/>
        </w:rPr>
        <w:t>Brady</w:t>
      </w:r>
      <w:r w:rsidRPr="00630BFE">
        <w:rPr>
          <w:szCs w:val="24"/>
        </w:rPr>
        <w:t xml:space="preserve"> analysis.  To make this determination, the court must now be fully appraised of all of the facts of the criminal case, weigh the strength of the other evidence and then determine whether the fingerprint evidence really is material to the case and whether it was material to the defendant’s decision making process.  This hearing may require the testimony of defendant’s counsel, who knows more about how and why the defendant rejected the plea than anyone.   </w:t>
      </w:r>
      <w:r w:rsidRPr="00630BFE">
        <w:rPr>
          <w:szCs w:val="24"/>
          <w:u w:val="single"/>
        </w:rPr>
        <w:t>See</w:t>
      </w:r>
      <w:r w:rsidRPr="00630BFE">
        <w:rPr>
          <w:szCs w:val="24"/>
        </w:rPr>
        <w:t xml:space="preserve"> </w:t>
      </w:r>
      <w:r w:rsidRPr="00630BFE">
        <w:rPr>
          <w:szCs w:val="24"/>
          <w:u w:val="single"/>
        </w:rPr>
        <w:t>State v. Cuffle</w:t>
      </w:r>
      <w:r w:rsidRPr="00630BFE">
        <w:rPr>
          <w:szCs w:val="24"/>
        </w:rPr>
        <w:t xml:space="preserve">, 171 Ariz. 49, 52, 828 P.2d 773, 776 (1992) (holding that attorney-client privilege is waived whenever a defendant attacks “the entire fact-finding process” of which his or her attorney holds potential information).  </w:t>
      </w:r>
    </w:p>
    <w:p w:rsidR="00630BFE" w:rsidRPr="00630BFE" w:rsidRDefault="00630BFE" w:rsidP="00630BFE">
      <w:pPr>
        <w:spacing w:line="480" w:lineRule="auto"/>
        <w:jc w:val="both"/>
        <w:rPr>
          <w:szCs w:val="24"/>
        </w:rPr>
      </w:pPr>
      <w:r w:rsidRPr="00630BFE">
        <w:rPr>
          <w:szCs w:val="24"/>
        </w:rPr>
        <w:tab/>
        <w:t xml:space="preserve">At the end of this process, which may well necessitate the appointment of new counsel, the court will make a decision.  In most situations where fingerprints, DNA, or other lab evidence is involved, the court is likely to present the Rule 15.8 dilemma to the prosecutor.  The prosecutor must now decide whether to make the choice to re-extend an offer that was available months earlier, before the additional time and resources were spent on the case, or to have the crime lab’s time wasted anyway by having the evidence suppressed.  With either choice, the result is the same – the entire purpose of using plea agreements as a way to properly manage the public’s resources and create efficiency in the criminal justice system has been thwarted.  Taxpayer dollars are squandered, </w:t>
      </w:r>
      <w:r w:rsidRPr="00630BFE">
        <w:rPr>
          <w:szCs w:val="24"/>
        </w:rPr>
        <w:lastRenderedPageBreak/>
        <w:t>victims are unnecessarily distressed, and lawyer and court time has been wasted.  This typical example shows how Rule 15.8 usurps the plea agreement process instead of achieving the balance it claims to represent.</w:t>
      </w:r>
    </w:p>
    <w:p w:rsidR="00630BFE" w:rsidRDefault="00630BFE" w:rsidP="00630BFE">
      <w:pPr>
        <w:spacing w:line="480" w:lineRule="auto"/>
        <w:jc w:val="both"/>
        <w:rPr>
          <w:szCs w:val="24"/>
        </w:rPr>
      </w:pPr>
      <w:r w:rsidRPr="00630BFE">
        <w:rPr>
          <w:szCs w:val="24"/>
        </w:rPr>
        <w:tab/>
        <w:t>Lab work is only one area where Rule 15.8 frequently intrudes.  Another, not discussed in the comment to the rule, involves follow up investigation based on defense disclosures.  Again, criminal cases are not frozen in time the moment an arrest is made.  Defendants and their attorneys disclose evidence as the case progresses – frequently very close to the trial date.  Prosecutors and law enforcement attempt to investigate this new evidence, particularly, given prosecutorial responsibilities, if it is evidence that would exonerate the defendant.  Sometimes these investigations uncover highly inculpatory evidence in the form of manufactured defenses, threats to witnesses, or other steps the defendant is taking to wrongfully avoid conviction at trial.</w:t>
      </w:r>
      <w:r w:rsidRPr="00630BFE">
        <w:rPr>
          <w:rStyle w:val="FootnoteReference"/>
          <w:szCs w:val="24"/>
          <w:vertAlign w:val="superscript"/>
        </w:rPr>
        <w:footnoteReference w:id="4"/>
      </w:r>
      <w:r w:rsidRPr="00630BFE">
        <w:rPr>
          <w:szCs w:val="24"/>
        </w:rPr>
        <w:t xml:space="preserve">  The prosecutor who now seeks to use this new-found evidence in the State’s case in chief may well be thwarted by Rule 15.8.  If a plea offer has lapsed, the defense may well claim that the new found evidence of the defendant’s attempts to threaten a witness is “material” evidence and, because this</w:t>
      </w:r>
    </w:p>
    <w:p w:rsidR="00630BFE" w:rsidRDefault="00630BFE" w:rsidP="00630BFE">
      <w:pPr>
        <w:spacing w:line="480" w:lineRule="auto"/>
        <w:jc w:val="both"/>
        <w:rPr>
          <w:szCs w:val="24"/>
        </w:rPr>
      </w:pPr>
      <w:r>
        <w:rPr>
          <w:szCs w:val="24"/>
        </w:rPr>
        <w:t>////</w:t>
      </w:r>
    </w:p>
    <w:p w:rsidR="00630BFE" w:rsidRDefault="00630BFE" w:rsidP="00630BFE">
      <w:pPr>
        <w:spacing w:line="480" w:lineRule="auto"/>
        <w:jc w:val="both"/>
        <w:rPr>
          <w:szCs w:val="24"/>
        </w:rPr>
      </w:pPr>
      <w:r>
        <w:rPr>
          <w:szCs w:val="24"/>
        </w:rPr>
        <w:t>////</w:t>
      </w:r>
    </w:p>
    <w:p w:rsidR="00630BFE" w:rsidRDefault="00630BFE" w:rsidP="00630BFE">
      <w:pPr>
        <w:spacing w:line="480" w:lineRule="auto"/>
        <w:jc w:val="both"/>
        <w:rPr>
          <w:szCs w:val="24"/>
        </w:rPr>
      </w:pPr>
      <w:r>
        <w:rPr>
          <w:szCs w:val="24"/>
        </w:rPr>
        <w:t>////</w:t>
      </w:r>
    </w:p>
    <w:p w:rsidR="00630BFE" w:rsidRDefault="00630BFE" w:rsidP="00630BFE">
      <w:pPr>
        <w:spacing w:line="480" w:lineRule="auto"/>
        <w:jc w:val="both"/>
        <w:rPr>
          <w:szCs w:val="24"/>
        </w:rPr>
      </w:pPr>
      <w:r>
        <w:rPr>
          <w:szCs w:val="24"/>
        </w:rPr>
        <w:t>////</w:t>
      </w:r>
    </w:p>
    <w:p w:rsidR="00630BFE" w:rsidRDefault="00630BFE" w:rsidP="00630BFE">
      <w:pPr>
        <w:spacing w:line="480" w:lineRule="auto"/>
        <w:jc w:val="both"/>
        <w:rPr>
          <w:szCs w:val="24"/>
        </w:rPr>
      </w:pPr>
      <w:r>
        <w:rPr>
          <w:szCs w:val="24"/>
        </w:rPr>
        <w:t>////</w:t>
      </w:r>
    </w:p>
    <w:p w:rsidR="00630BFE" w:rsidRDefault="00630BFE" w:rsidP="00630BFE">
      <w:pPr>
        <w:spacing w:line="480" w:lineRule="auto"/>
        <w:jc w:val="both"/>
        <w:rPr>
          <w:szCs w:val="24"/>
        </w:rPr>
      </w:pPr>
      <w:r>
        <w:rPr>
          <w:szCs w:val="24"/>
        </w:rPr>
        <w:t>////</w:t>
      </w:r>
    </w:p>
    <w:p w:rsidR="00630BFE" w:rsidRDefault="00630BFE" w:rsidP="00630BFE">
      <w:pPr>
        <w:spacing w:line="480" w:lineRule="auto"/>
        <w:jc w:val="both"/>
        <w:rPr>
          <w:szCs w:val="24"/>
        </w:rPr>
      </w:pPr>
      <w:r>
        <w:rPr>
          <w:szCs w:val="24"/>
        </w:rPr>
        <w:t>////</w:t>
      </w:r>
    </w:p>
    <w:p w:rsidR="00630BFE" w:rsidRPr="00630BFE" w:rsidRDefault="00630BFE" w:rsidP="00630BFE">
      <w:pPr>
        <w:spacing w:line="480" w:lineRule="auto"/>
        <w:jc w:val="both"/>
        <w:rPr>
          <w:szCs w:val="24"/>
        </w:rPr>
      </w:pPr>
      <w:r w:rsidRPr="00630BFE">
        <w:rPr>
          <w:szCs w:val="24"/>
        </w:rPr>
        <w:lastRenderedPageBreak/>
        <w:t>evidence will be powerful evidence of guilt, he or she is certainly correct.</w:t>
      </w:r>
      <w:r w:rsidRPr="00630BFE">
        <w:rPr>
          <w:rStyle w:val="FootnoteReference"/>
          <w:szCs w:val="24"/>
          <w:vertAlign w:val="superscript"/>
        </w:rPr>
        <w:footnoteReference w:id="5"/>
      </w:r>
      <w:r w:rsidRPr="00630BFE">
        <w:rPr>
          <w:szCs w:val="24"/>
        </w:rPr>
        <w:t xml:space="preserve">  Nothing in the language of Rule 15.8 would prevent a court from concluding that these new disclosures are material and that if they had been disclosed before the plea expired the defendant would have taken the plea.  Now defendants can simply have their cake and eat it too – they can try to manipulate the system to manufacture an acquittal and if that attempt is discovered, they may very well get the original offer back or the new material evidence precluded.  These are the types of pitfalls the State Bar’s petition would introduce into nearly every felony criminal case in Arizona.</w:t>
      </w:r>
    </w:p>
    <w:p w:rsidR="00630BFE" w:rsidRPr="00630BFE" w:rsidRDefault="00630BFE" w:rsidP="00630BFE">
      <w:pPr>
        <w:spacing w:line="480" w:lineRule="auto"/>
        <w:jc w:val="both"/>
        <w:rPr>
          <w:szCs w:val="24"/>
        </w:rPr>
      </w:pPr>
      <w:r w:rsidRPr="00630BFE">
        <w:rPr>
          <w:szCs w:val="24"/>
        </w:rPr>
        <w:tab/>
        <w:t xml:space="preserve">Rule 15.8 ensures that a defendant will have the most to gain by delaying trial. Delay in a case almost always benefits a defendant.  As time passes, witness memories fade, witnesses move and become difficult to locate, witnesses lose interest in the case, etc.  One way prosecutors attempt to keep cases moving through the system and prevent injustice simply because witnesses cannot be located is through plea management--plea cutoff deadlines or withdrawal of stale offers.   With Rule 15.8 as a trump card in their back pocket, defendants can now simply work to delay a case, ignore plea deadlines, reject pleas, and hope that the State’s case becomes progressively worse as time </w:t>
      </w:r>
      <w:r w:rsidRPr="00630BFE">
        <w:rPr>
          <w:szCs w:val="24"/>
        </w:rPr>
        <w:lastRenderedPageBreak/>
        <w:t>passes.  If the State does anything during this delay to try and make the criminal case better through additional investigation or lab work, the defense knows they can simply get the original offer back or the evidence suppressed under Rule 15.8.  This nonsensical process provides no incentive for a defendant to resolve a case expeditiously.  It provides a disincentive for the State to attempt to improve a case that may be weakening merely from the defendant’s delay.  In this way, Rule 15.8 runs counter to the very purpose of the Arizona Rules of Criminal Procedure as stated in Rule 1.2,</w:t>
      </w:r>
    </w:p>
    <w:p w:rsidR="00630BFE" w:rsidRPr="00630BFE" w:rsidRDefault="00630BFE" w:rsidP="00630BFE">
      <w:pPr>
        <w:spacing w:after="240"/>
        <w:ind w:left="720" w:right="720"/>
        <w:jc w:val="both"/>
        <w:rPr>
          <w:szCs w:val="24"/>
        </w:rPr>
      </w:pPr>
      <w:r w:rsidRPr="00630BFE">
        <w:rPr>
          <w:szCs w:val="24"/>
        </w:rPr>
        <w:t>These rules are intended to provide for the just, speedy determination of every criminal proceeding. They shall be construed to secure simplicity in procedure, fairness in administration, the elimination of unnecessary delay and expense, and to protect the fundamental rights of the individual while preserving the public welfare.</w:t>
      </w:r>
    </w:p>
    <w:p w:rsidR="00630BFE" w:rsidRPr="00630BFE" w:rsidRDefault="00630BFE" w:rsidP="00630BFE">
      <w:pPr>
        <w:spacing w:after="240"/>
        <w:ind w:right="720"/>
        <w:jc w:val="both"/>
        <w:rPr>
          <w:szCs w:val="24"/>
        </w:rPr>
      </w:pPr>
      <w:r w:rsidRPr="00630BFE">
        <w:rPr>
          <w:smallCaps/>
          <w:szCs w:val="24"/>
        </w:rPr>
        <w:t>Ariz. R. Crim. P</w:t>
      </w:r>
      <w:r w:rsidRPr="00630BFE">
        <w:rPr>
          <w:szCs w:val="24"/>
        </w:rPr>
        <w:t>. 1.2.  Rule 15.8 undermines nearly all of these goals.</w:t>
      </w:r>
    </w:p>
    <w:p w:rsidR="00630BFE" w:rsidRPr="00630BFE" w:rsidRDefault="00630BFE" w:rsidP="00630BFE">
      <w:pPr>
        <w:spacing w:line="480" w:lineRule="auto"/>
        <w:ind w:right="14"/>
        <w:jc w:val="both"/>
        <w:rPr>
          <w:color w:val="000000"/>
          <w:szCs w:val="24"/>
        </w:rPr>
      </w:pPr>
      <w:r w:rsidRPr="00630BFE">
        <w:rPr>
          <w:szCs w:val="24"/>
        </w:rPr>
        <w:tab/>
        <w:t xml:space="preserve">Rule 15.8 is also incompatible with the goals and other provisions of Rule 15.  First, sanctions should be imposed when a rule is violated or a duty ignored.  </w:t>
      </w:r>
      <w:r w:rsidRPr="00630BFE">
        <w:rPr>
          <w:color w:val="000000"/>
          <w:szCs w:val="24"/>
        </w:rPr>
        <w:t xml:space="preserve"> Rule 15.7 covers sanctions that can be imposed when a party fails to comply with disclosure requirements.   Rule 15.8 imposes sanctions but there is nothing in the Rule that requires any finding of a violation of Rule 15.  Indeed, the comment to the rule recognizes, as </w:t>
      </w:r>
      <w:r w:rsidRPr="00630BFE">
        <w:rPr>
          <w:color w:val="000000"/>
          <w:szCs w:val="24"/>
          <w:u w:val="single"/>
        </w:rPr>
        <w:t>Rivera-Longoria</w:t>
      </w:r>
      <w:r w:rsidRPr="00630BFE">
        <w:rPr>
          <w:color w:val="000000"/>
          <w:szCs w:val="24"/>
        </w:rPr>
        <w:t xml:space="preserve"> does, that the failure of the State to disclose evidence that is not in its possession is not a violation of Rule 15 as long as the material is disclosed “seasonably” and before seven days before trial.  </w:t>
      </w:r>
      <w:r w:rsidRPr="00630BFE">
        <w:rPr>
          <w:color w:val="000000"/>
          <w:szCs w:val="24"/>
          <w:u w:val="single"/>
        </w:rPr>
        <w:t>See</w:t>
      </w:r>
      <w:r w:rsidRPr="00630BFE">
        <w:rPr>
          <w:color w:val="000000"/>
          <w:szCs w:val="24"/>
        </w:rPr>
        <w:t xml:space="preserve"> </w:t>
      </w:r>
      <w:r w:rsidRPr="00630BFE">
        <w:rPr>
          <w:smallCaps/>
          <w:color w:val="000000"/>
          <w:szCs w:val="24"/>
        </w:rPr>
        <w:t>Ariz. R. Crim. P</w:t>
      </w:r>
      <w:r w:rsidRPr="00630BFE">
        <w:rPr>
          <w:color w:val="000000"/>
          <w:szCs w:val="24"/>
        </w:rPr>
        <w:t xml:space="preserve">. 15.8, 15.1(b), 15.6; </w:t>
      </w:r>
      <w:r w:rsidRPr="00630BFE">
        <w:rPr>
          <w:color w:val="000000"/>
          <w:szCs w:val="24"/>
          <w:u w:val="single"/>
        </w:rPr>
        <w:t>Rivera-Longoria</w:t>
      </w:r>
      <w:r w:rsidRPr="00630BFE">
        <w:rPr>
          <w:color w:val="000000"/>
          <w:szCs w:val="24"/>
        </w:rPr>
        <w:t xml:space="preserve">, 228 Ariz. at 159, ¶ 14, 264 P.3d at 869.  Thus, despite the fact that a prosecutor fully complied with the mandates of Rule 15, Rule 15.8 requires a “presumptive minimum sanction.”  Imposing a sanction without the necessity of finding any violation is illogical and inconsistent with all of the other Rules of Criminal Procedure.  </w:t>
      </w:r>
    </w:p>
    <w:p w:rsidR="00630BFE" w:rsidRPr="00630BFE" w:rsidRDefault="00630BFE" w:rsidP="00630BFE">
      <w:pPr>
        <w:spacing w:line="480" w:lineRule="auto"/>
        <w:ind w:right="14"/>
        <w:jc w:val="both"/>
        <w:rPr>
          <w:color w:val="000000"/>
          <w:szCs w:val="24"/>
        </w:rPr>
      </w:pPr>
      <w:r w:rsidRPr="00630BFE">
        <w:rPr>
          <w:color w:val="000000"/>
          <w:szCs w:val="24"/>
        </w:rPr>
        <w:tab/>
        <w:t xml:space="preserve">Second, the nature of the presumptive sanction in Rule 15.8 is particularly stunning considering the overall goals of Rule 15 and the fact that the State did nothing wrong under the Rules.  Arizona courts have consistently instructed that even when a party </w:t>
      </w:r>
      <w:r w:rsidRPr="00630BFE">
        <w:rPr>
          <w:i/>
          <w:color w:val="000000"/>
          <w:szCs w:val="24"/>
        </w:rPr>
        <w:t>violates</w:t>
      </w:r>
      <w:r w:rsidRPr="00630BFE">
        <w:rPr>
          <w:color w:val="000000"/>
          <w:szCs w:val="24"/>
        </w:rPr>
        <w:t xml:space="preserve"> the rule, a court “should seek to apply sanctions that affect the evidence at trial and the merits of the case as little as </w:t>
      </w:r>
      <w:r w:rsidRPr="00630BFE">
        <w:rPr>
          <w:color w:val="000000"/>
          <w:szCs w:val="24"/>
        </w:rPr>
        <w:lastRenderedPageBreak/>
        <w:t xml:space="preserve">possible since the Rules of Criminal Procedure are designed to implement, not to impede, the fair and speedy determination of cases.”  </w:t>
      </w:r>
      <w:r w:rsidRPr="00630BFE">
        <w:rPr>
          <w:color w:val="000000"/>
          <w:szCs w:val="24"/>
          <w:u w:val="single"/>
        </w:rPr>
        <w:t>State v. Roque</w:t>
      </w:r>
      <w:r w:rsidRPr="00630BFE">
        <w:rPr>
          <w:color w:val="000000"/>
          <w:szCs w:val="24"/>
        </w:rPr>
        <w:t xml:space="preserve">, 213 Ariz. 193, 210, ¶ 50, 141 P.3d 368, 386 (2006) (quoting </w:t>
      </w:r>
      <w:r w:rsidRPr="00630BFE">
        <w:rPr>
          <w:color w:val="000000"/>
          <w:szCs w:val="24"/>
          <w:u w:val="single"/>
        </w:rPr>
        <w:t>State v. Fisher</w:t>
      </w:r>
      <w:r w:rsidRPr="00630BFE">
        <w:rPr>
          <w:color w:val="000000"/>
          <w:szCs w:val="24"/>
        </w:rPr>
        <w:t>, 141 Ariz. 227, 246, 686 P.2d 750, 769 (1984)).  In this light, Rule 15.8’s presumptive sanction of preclusion of material evidence when no violation has occurred is a significant detrimental impact on any truth-seeking goal.  This end result is not only surprising, it is also so inconsistent with the stated goals and policies of Rule 15 and the other rules of procedure that one wonders how the rule was ever adopted in the first instance.</w:t>
      </w:r>
      <w:r w:rsidRPr="00630BFE">
        <w:rPr>
          <w:rStyle w:val="FootnoteReference"/>
          <w:color w:val="000000"/>
          <w:szCs w:val="24"/>
          <w:vertAlign w:val="superscript"/>
        </w:rPr>
        <w:footnoteReference w:id="6"/>
      </w:r>
    </w:p>
    <w:p w:rsidR="00630BFE" w:rsidRPr="00630BFE" w:rsidRDefault="00630BFE" w:rsidP="00630BFE">
      <w:pPr>
        <w:spacing w:line="480" w:lineRule="auto"/>
        <w:ind w:right="14"/>
        <w:jc w:val="both"/>
        <w:rPr>
          <w:szCs w:val="24"/>
        </w:rPr>
      </w:pPr>
      <w:r w:rsidRPr="00630BFE">
        <w:rPr>
          <w:szCs w:val="24"/>
        </w:rPr>
        <w:tab/>
        <w:t xml:space="preserve">Rule 15.8 undermines Arizona’s justice system and any remaining pretense that the criminal system is a truth seeking process because Rule 15.8 is </w:t>
      </w:r>
      <w:r w:rsidRPr="00630BFE">
        <w:rPr>
          <w:i/>
          <w:szCs w:val="24"/>
        </w:rPr>
        <w:t>only</w:t>
      </w:r>
      <w:r w:rsidRPr="00630BFE">
        <w:rPr>
          <w:szCs w:val="24"/>
        </w:rPr>
        <w:t xml:space="preserve"> invoked by admittedly </w:t>
      </w:r>
      <w:r w:rsidRPr="00630BFE">
        <w:rPr>
          <w:i/>
          <w:szCs w:val="24"/>
        </w:rPr>
        <w:t xml:space="preserve">guilty </w:t>
      </w:r>
      <w:r w:rsidRPr="00630BFE">
        <w:rPr>
          <w:szCs w:val="24"/>
        </w:rPr>
        <w:t xml:space="preserve">defendants.  An innocent defendant would never invoke Rule 15.8 because an innocent person would not be seeking to plead guilty to the crime.  The entire purpose of the sanction provisions of Rule 15.8 is to force the State to re-extend the expired plea offer.  Obviously, a defendant is not going to ask for a hearing and ruling under the Rule unless he or she wants to admit guilt.  This fact is significant because it highlights the real game behind the rule.  A defendant using Rule 15.8, who must be guilty, has refused to accept responsibility for the crime and has hoped to somehow beat the criminal justice system by delaying the case until the State’s case weakens or, in some circumstances, by manufacturing evidence or threatening witnesses.  When the State prevents these efforts through additional lab work or additional investigative work and the results of that additional work are disclosed, the guilty defendant, now realizing that his or her attempts to trick the system into an unjust acquittal will most likely fail, suddenly wants the favorable plea offer that was available before all the additional work was completed.  Rule 15.8 gives these guilty defendants every incentive to try to game the system into a wrongful acquittal or unjust dismissal with the </w:t>
      </w:r>
      <w:r w:rsidRPr="00630BFE">
        <w:rPr>
          <w:szCs w:val="24"/>
        </w:rPr>
        <w:lastRenderedPageBreak/>
        <w:t>understanding that if new evidence makes their plan fall apart they can use the courts to get the original offer back.</w:t>
      </w:r>
    </w:p>
    <w:p w:rsidR="00630BFE" w:rsidRPr="00630BFE" w:rsidRDefault="00630BFE" w:rsidP="00630BFE">
      <w:pPr>
        <w:spacing w:line="480" w:lineRule="auto"/>
        <w:ind w:right="14"/>
        <w:jc w:val="both"/>
        <w:rPr>
          <w:szCs w:val="24"/>
        </w:rPr>
      </w:pPr>
      <w:r w:rsidRPr="00630BFE">
        <w:rPr>
          <w:szCs w:val="24"/>
        </w:rPr>
        <w:tab/>
        <w:t>Thus, the reality of Rule 15.8 is that it does not encourage any faster discovery than is already mandated by the rules and is already in the prosecutor’s own best interests.   The idea that prosecutors are imposing unduly restrictive plea deadlines or hoarding discoverable evidence to spring on a defendant moments after rejecting a plea is completely unfounded and nonsensical given the prosecutor’s desire to resolve the case with a fair plea to effectively manage the State’s limited resources.  Even worse, the rule encourages the use of gamesmanship and encourages guilty defendants to further delay trials knowing there will likely be no negative consequences from doing so.  While the goals of Rule 15.8 may seem reasonable at face value, the reality of the rule can have profoundly negative impacts on the criminal justice system with no identifiable benefits.  Expanding this flawed rule to apply to every felony case in Arizona is simply poor public policy.</w:t>
      </w:r>
    </w:p>
    <w:p w:rsidR="00630BFE" w:rsidRPr="00630BFE" w:rsidRDefault="00630BFE" w:rsidP="00630BFE">
      <w:pPr>
        <w:tabs>
          <w:tab w:val="left" w:pos="1440"/>
        </w:tabs>
        <w:ind w:left="720"/>
        <w:jc w:val="both"/>
        <w:rPr>
          <w:b/>
          <w:smallCaps/>
          <w:szCs w:val="24"/>
        </w:rPr>
      </w:pPr>
      <w:r w:rsidRPr="00630BFE">
        <w:rPr>
          <w:b/>
          <w:smallCaps/>
          <w:szCs w:val="24"/>
        </w:rPr>
        <w:t>D.</w:t>
      </w:r>
      <w:r w:rsidRPr="00630BFE">
        <w:rPr>
          <w:b/>
          <w:smallCaps/>
          <w:szCs w:val="24"/>
        </w:rPr>
        <w:tab/>
      </w:r>
      <w:r w:rsidRPr="00630BFE">
        <w:rPr>
          <w:b/>
          <w:szCs w:val="24"/>
        </w:rPr>
        <w:t>Expanding Rule 15.8 may result in offers not being extended.</w:t>
      </w:r>
      <w:r w:rsidRPr="00630BFE">
        <w:rPr>
          <w:b/>
          <w:smallCaps/>
          <w:szCs w:val="24"/>
        </w:rPr>
        <w:tab/>
      </w:r>
    </w:p>
    <w:p w:rsidR="00630BFE" w:rsidRPr="00630BFE" w:rsidRDefault="00630BFE" w:rsidP="00630BFE">
      <w:pPr>
        <w:jc w:val="both"/>
        <w:rPr>
          <w:b/>
          <w:smallCaps/>
          <w:szCs w:val="24"/>
        </w:rPr>
      </w:pPr>
    </w:p>
    <w:p w:rsidR="00630BFE" w:rsidRPr="00630BFE" w:rsidRDefault="00630BFE" w:rsidP="00630BFE">
      <w:pPr>
        <w:spacing w:line="480" w:lineRule="auto"/>
        <w:jc w:val="both"/>
        <w:rPr>
          <w:szCs w:val="24"/>
        </w:rPr>
      </w:pPr>
      <w:r w:rsidRPr="00630BFE">
        <w:rPr>
          <w:b/>
          <w:smallCaps/>
          <w:szCs w:val="24"/>
        </w:rPr>
        <w:tab/>
      </w:r>
      <w:r w:rsidRPr="00630BFE">
        <w:rPr>
          <w:szCs w:val="24"/>
        </w:rPr>
        <w:t xml:space="preserve">As currently written, Rule 15.8 allows prosecutors to avoid judicial entanglement in the resolution of cases by plea agreement and all of the problems discussed above.  If the State does not impose a plea deadline, the provisions of Rule 15.8 do not apply to the case.  </w:t>
      </w:r>
      <w:r w:rsidRPr="00630BFE">
        <w:rPr>
          <w:szCs w:val="24"/>
          <w:u w:val="single"/>
        </w:rPr>
        <w:t>Rivera-Longoria</w:t>
      </w:r>
      <w:r w:rsidRPr="00630BFE">
        <w:rPr>
          <w:szCs w:val="24"/>
        </w:rPr>
        <w:t xml:space="preserve">, 228 Ariz. at 160, ¶ 20, 264 P.3d at 870.  Whether or not the State uses a plea deadline, the State is still permitted to withdraw the offer at any time before the offer is entered and accepted by the court.  </w:t>
      </w:r>
      <w:r w:rsidRPr="00630BFE">
        <w:rPr>
          <w:smallCaps/>
          <w:szCs w:val="24"/>
        </w:rPr>
        <w:t>Ariz. R. Crim. P</w:t>
      </w:r>
      <w:r w:rsidRPr="00630BFE">
        <w:rPr>
          <w:szCs w:val="24"/>
        </w:rPr>
        <w:t xml:space="preserve">. 17.4(b).  When no plea deadline is set, the State and defense can exchange discovery and the defendant can be given a reasonable amount of time to consider the offer, but when it becomes obvious that the State is using limited resources on the case or after the defendant makes clear that he or she is not interested in pleading guilty under the terms offered, the State can withdraw the offer and spend its time and energy preparing for trial.  Likewise, should the State discover that the defendant is threatening witnesses or otherwise engaging in nefarious behavior, the </w:t>
      </w:r>
      <w:r w:rsidRPr="00630BFE">
        <w:rPr>
          <w:szCs w:val="24"/>
        </w:rPr>
        <w:lastRenderedPageBreak/>
        <w:t xml:space="preserve">State can simply withdraw the plea offer.  Should new evidence be discovered and properly disclosed in accordance with Rule 15.6, the State, at its discretion, may choose to extend a new offer or the State may choose to proceed to trial.  Thus, the prosecution determines when, how, and whether to resolve a criminal case before trial, as is the Executive’s constitutional prerogative.  </w:t>
      </w:r>
      <w:r w:rsidRPr="00630BFE">
        <w:rPr>
          <w:szCs w:val="24"/>
          <w:u w:val="single"/>
        </w:rPr>
        <w:t>See</w:t>
      </w:r>
      <w:r w:rsidRPr="00630BFE">
        <w:rPr>
          <w:szCs w:val="24"/>
        </w:rPr>
        <w:t xml:space="preserve"> </w:t>
      </w:r>
      <w:r w:rsidRPr="00630BFE">
        <w:rPr>
          <w:szCs w:val="24"/>
          <w:u w:val="single"/>
        </w:rPr>
        <w:t>Rivera-Longoria</w:t>
      </w:r>
      <w:r w:rsidRPr="00630BFE">
        <w:rPr>
          <w:szCs w:val="24"/>
        </w:rPr>
        <w:t xml:space="preserve">, 228 Ariz. at 158, ¶ 10, 264 P.3d at 868, (citing </w:t>
      </w:r>
      <w:r w:rsidRPr="00630BFE">
        <w:rPr>
          <w:szCs w:val="24"/>
          <w:u w:val="single"/>
        </w:rPr>
        <w:t>State v. Morse</w:t>
      </w:r>
      <w:r w:rsidRPr="00630BFE">
        <w:rPr>
          <w:szCs w:val="24"/>
        </w:rPr>
        <w:t>, 127 Ariz. 25, 31-32, 617 P.2d 1141, 1147-48 (1980)).</w:t>
      </w:r>
    </w:p>
    <w:p w:rsidR="00630BFE" w:rsidRPr="00630BFE" w:rsidRDefault="00630BFE" w:rsidP="00630BFE">
      <w:pPr>
        <w:spacing w:line="480" w:lineRule="auto"/>
        <w:jc w:val="both"/>
        <w:rPr>
          <w:szCs w:val="24"/>
        </w:rPr>
      </w:pPr>
      <w:r w:rsidRPr="00630BFE">
        <w:rPr>
          <w:szCs w:val="24"/>
        </w:rPr>
        <w:tab/>
        <w:t xml:space="preserve"> The State Bar’s petition now seeks to remove this last remnant of Executive control over the timing of plea offers.  Contrary to the State Bar’s discussion of their proposal, treating cases with plea deadlines differently from those without deadlines is not inconsistent.  Cases without plea deadlines provide more flexibility for the parties to negotiate, conduct settlement conferences, and perform </w:t>
      </w:r>
      <w:r w:rsidRPr="00630BFE">
        <w:rPr>
          <w:szCs w:val="24"/>
          <w:u w:val="single"/>
        </w:rPr>
        <w:t>Donald</w:t>
      </w:r>
      <w:r w:rsidRPr="00630BFE">
        <w:rPr>
          <w:szCs w:val="24"/>
        </w:rPr>
        <w:t xml:space="preserve"> advisements.  Plea deadlines can compress the time for these functions and could conceivably make it difficult for the parties to get all of the necessary work done in by the deadline.  Furthermore, the court has the ability to sanction actual violations of Rule 15 under Rule 15.7 to control the discovery process regardless of whether or not a plea deadline has been imposed.  Additionally, as discussed above, treating these offers differently gives the Executive some ability to avoid the pitfalls inherent in Rule 15.8 by choosing not to use plea deadlines.  </w:t>
      </w:r>
    </w:p>
    <w:p w:rsidR="00630BFE" w:rsidRPr="00630BFE" w:rsidRDefault="00630BFE" w:rsidP="00630BFE">
      <w:pPr>
        <w:spacing w:line="480" w:lineRule="auto"/>
        <w:jc w:val="both"/>
        <w:rPr>
          <w:szCs w:val="24"/>
        </w:rPr>
      </w:pPr>
      <w:r w:rsidRPr="00630BFE">
        <w:rPr>
          <w:szCs w:val="24"/>
        </w:rPr>
        <w:tab/>
        <w:t xml:space="preserve">If Rule 15.8 is expanded to apply to every criminal case, the State will have little reason to engage in plea negotiations at the beginning of a case.  This reality will have a profound impact on the State’s and the court’s ability to efficiently manage the criminal dockets across the state.  As discussed above, one of the main reasons that the State makes plea offers is to efficiently use taxpayer resources.  If prosecutors will be under threat that the original offer will simply be reinstated if additional evidence is discovered, a prosecutor has three reasonable options.  One, the prosecutor can simply make no offer until the case is ready to be tried.  At that point the State would have very little incentive to resolve the case short of trial, so the offer is unlikely to be as appealing </w:t>
      </w:r>
      <w:r w:rsidRPr="00630BFE">
        <w:rPr>
          <w:szCs w:val="24"/>
        </w:rPr>
        <w:lastRenderedPageBreak/>
        <w:t>to the defendant as an offer extended early in the case.  Two, the prosecutor can make an offer at the beginning of the case that anticipates the work necessary to prepare for trial, with the understanding that a court may force the State to reinstate a lapsed or withdrawn plea offer.  Offers made in this circumstance would be no better than those made just before trial and would resolve few cases short of trial.  Three, the prosecutor can simply make no offer at all and prepare the case for trial.  The prosecutor would be free to discuss settlement with the defense, but the actual offer would have to come from the defense, not the State.  While these are all possible options, none of them represent a well-functioning, efficient criminal justice system.</w:t>
      </w:r>
    </w:p>
    <w:p w:rsidR="00630BFE" w:rsidRPr="00630BFE" w:rsidRDefault="00630BFE" w:rsidP="00630BFE">
      <w:pPr>
        <w:spacing w:line="480" w:lineRule="auto"/>
        <w:jc w:val="both"/>
        <w:rPr>
          <w:szCs w:val="24"/>
        </w:rPr>
      </w:pPr>
      <w:r w:rsidRPr="00630BFE">
        <w:rPr>
          <w:szCs w:val="24"/>
        </w:rPr>
        <w:tab/>
        <w:t>The end result is that removing the Executive branch’s only means for avoiding Rule 15.8 sanctions will result in fewer cases resolved by plea and the resulting use of the State’s resources to fully prepare a case for trial.  This problem will cause crime labs to back up as they are forced to prepare all cases for trial and that will cause additional delays in the administration of the justice system.  The courts will likewise have to spend more resources as more jury trials will be conducted in cases that could have been fairly, efficiently, and justly resolved but for the problems caused by Rule 15.8.</w:t>
      </w:r>
    </w:p>
    <w:p w:rsidR="00630BFE" w:rsidRPr="00630BFE" w:rsidRDefault="00630BFE" w:rsidP="00630BFE">
      <w:pPr>
        <w:spacing w:line="480" w:lineRule="auto"/>
        <w:jc w:val="both"/>
        <w:rPr>
          <w:szCs w:val="24"/>
        </w:rPr>
      </w:pPr>
      <w:r w:rsidRPr="00630BFE">
        <w:rPr>
          <w:szCs w:val="24"/>
        </w:rPr>
        <w:tab/>
        <w:t>The MCAO anticipates that in response to this comment, some may point out that the MCAO has continued to use plea cutoff dates in the vast majority of its cases since Rule 15.8 became effective in December 2003.  While it is true that the MCAO has continued to use plea cutoff deadlines, the conclusion that expanding Rule 15.8 to apply to all criminal cases in Superior Court will not significantly impact the efficiency of the criminal justice system does not necessarily follow.  There are several reasons why Rule 15.8 has not yet caused the MCAO to abandon plea deadlines.</w:t>
      </w:r>
    </w:p>
    <w:p w:rsidR="00630BFE" w:rsidRPr="00630BFE" w:rsidRDefault="00630BFE" w:rsidP="00630BFE">
      <w:pPr>
        <w:spacing w:line="480" w:lineRule="auto"/>
        <w:jc w:val="both"/>
        <w:rPr>
          <w:szCs w:val="24"/>
        </w:rPr>
      </w:pPr>
      <w:r w:rsidRPr="00630BFE">
        <w:rPr>
          <w:szCs w:val="24"/>
        </w:rPr>
        <w:tab/>
        <w:t xml:space="preserve">First, before this Court’s decision in </w:t>
      </w:r>
      <w:r w:rsidRPr="00630BFE">
        <w:rPr>
          <w:szCs w:val="24"/>
          <w:u w:val="single"/>
        </w:rPr>
        <w:t>Rivera-Longoria</w:t>
      </w:r>
      <w:r w:rsidRPr="00630BFE">
        <w:rPr>
          <w:szCs w:val="24"/>
        </w:rPr>
        <w:t xml:space="preserve"> in late 2011, the State could reasonably raise constitutional challenges to the imposition of Rule 15.8 in a given case.  These </w:t>
      </w:r>
      <w:r w:rsidRPr="00630BFE">
        <w:rPr>
          <w:szCs w:val="24"/>
        </w:rPr>
        <w:lastRenderedPageBreak/>
        <w:t xml:space="preserve">arguments may have made some courts unwilling to force the prosecution to re-extend a plea offer.  With this Court’s decision in </w:t>
      </w:r>
      <w:r w:rsidRPr="00630BFE">
        <w:rPr>
          <w:szCs w:val="24"/>
          <w:u w:val="single"/>
        </w:rPr>
        <w:t>Rivera-Longoria</w:t>
      </w:r>
      <w:r w:rsidRPr="00630BFE">
        <w:rPr>
          <w:szCs w:val="24"/>
        </w:rPr>
        <w:t>, those arguments are no longer persuasive in lower courts.  Second, there were occasions where the State chose to simply reinstate a lapsed offer after disclosing new evidence to avoid the litigation delay and resource drain inherent in fighting Rule 15.8 challenges.  To the extent that these choices have emboldened defendants to file requests for sanctions under Rule 15.8 and have made it difficult to preserve limited resources, the State may be forced to reconsider whether using plea deadlines, or plea offers at all, has any worthwhile benefits.  The fact that these discussions have not yet lead to changes does not mean that Rule 15.8 has not had negative consequences for efficient case management practices within the office.  Third, with the current Rule, the State has the option, when necessary, to decline to set a plea deadline to avoid the problems with Rule 15.8 discussed above.  If the State Bar’s petition is adopted, the State will no longer have any mechanism to avoid Rule 15.8, other than refusing to extend any plea offer.   For these reasons, the fact that MCAO currently uses plea deadlines does not undermine the reality that expanding Rule 15.8 will have negative consequences throughout Arizona, as discussed above.</w:t>
      </w:r>
    </w:p>
    <w:p w:rsidR="00630BFE" w:rsidRPr="00630BFE" w:rsidRDefault="00630BFE" w:rsidP="00630BFE">
      <w:pPr>
        <w:spacing w:line="480" w:lineRule="auto"/>
        <w:jc w:val="both"/>
        <w:rPr>
          <w:b/>
          <w:smallCaps/>
          <w:szCs w:val="24"/>
        </w:rPr>
      </w:pPr>
      <w:r w:rsidRPr="00630BFE">
        <w:rPr>
          <w:szCs w:val="24"/>
        </w:rPr>
        <w:tab/>
        <w:t>Adopting the State Bar’s petition to apply Rule 15.8 to every criminal case in the Superior Court is unnecessary and inefficient.  The proposed changes would further infringe on Executive powers and would put an even greater strain on a criminal justice system that is already struggling to handle its workload with limited resources.  Prosecutors are mindful of their ethical and legal responsibilities.  They are also mindful of the need to protect the public by holding offenders accountable and seeking justice for crimes victims.  If those goals are going to be thwarted by gamesmanship or unfair application of rules then it behooves the prosecution to not extend an offer.</w:t>
      </w:r>
    </w:p>
    <w:p w:rsidR="00630BFE" w:rsidRDefault="00630BFE" w:rsidP="00630BFE">
      <w:pPr>
        <w:widowControl/>
        <w:rPr>
          <w:b/>
          <w:szCs w:val="24"/>
        </w:rPr>
      </w:pPr>
    </w:p>
    <w:p w:rsidR="00630BFE" w:rsidRDefault="00630BFE" w:rsidP="00630BFE">
      <w:pPr>
        <w:widowControl/>
        <w:spacing w:line="480" w:lineRule="auto"/>
        <w:rPr>
          <w:b/>
          <w:szCs w:val="24"/>
        </w:rPr>
      </w:pPr>
      <w:r>
        <w:rPr>
          <w:b/>
          <w:szCs w:val="24"/>
        </w:rPr>
        <w:t>////</w:t>
      </w:r>
    </w:p>
    <w:p w:rsidR="00630BFE" w:rsidRDefault="00630BFE" w:rsidP="00630BFE">
      <w:pPr>
        <w:widowControl/>
        <w:spacing w:line="480" w:lineRule="auto"/>
        <w:rPr>
          <w:b/>
          <w:szCs w:val="24"/>
        </w:rPr>
      </w:pPr>
      <w:r>
        <w:rPr>
          <w:b/>
          <w:szCs w:val="24"/>
        </w:rPr>
        <w:t>////</w:t>
      </w:r>
    </w:p>
    <w:p w:rsidR="00630BFE" w:rsidRPr="00630BFE" w:rsidRDefault="00630BFE" w:rsidP="00630BFE">
      <w:pPr>
        <w:spacing w:line="480" w:lineRule="auto"/>
        <w:jc w:val="both"/>
        <w:rPr>
          <w:szCs w:val="24"/>
        </w:rPr>
      </w:pPr>
      <w:bookmarkStart w:id="0" w:name="_GoBack"/>
      <w:bookmarkEnd w:id="0"/>
      <w:r w:rsidRPr="00630BFE">
        <w:rPr>
          <w:b/>
          <w:szCs w:val="24"/>
        </w:rPr>
        <w:lastRenderedPageBreak/>
        <w:t>III. Suggested Rule Change</w:t>
      </w:r>
    </w:p>
    <w:p w:rsidR="00630BFE" w:rsidRPr="00630BFE" w:rsidRDefault="00630BFE" w:rsidP="00630BFE">
      <w:pPr>
        <w:spacing w:line="480" w:lineRule="auto"/>
        <w:jc w:val="both"/>
        <w:rPr>
          <w:szCs w:val="24"/>
        </w:rPr>
      </w:pPr>
      <w:r w:rsidRPr="00630BFE">
        <w:rPr>
          <w:szCs w:val="24"/>
        </w:rPr>
        <w:tab/>
        <w:t xml:space="preserve">As explained throughout, the MCAO believes Rule 15.8 is an unconstitutional violation of separation of powers, represents poor public policy, hinders the efficient and effective administration of the criminal justice system with no resulting benefits, and should be eliminated in its entirety.  However, given this Court’s rejection of the constitutional arguments in </w:t>
      </w:r>
      <w:r w:rsidRPr="00630BFE">
        <w:rPr>
          <w:szCs w:val="24"/>
          <w:u w:val="single"/>
        </w:rPr>
        <w:t>Rivera-Longoria</w:t>
      </w:r>
      <w:r w:rsidRPr="00630BFE">
        <w:rPr>
          <w:szCs w:val="24"/>
        </w:rPr>
        <w:t xml:space="preserve">, if this Court is not inclined to repeal the Rule, the State recommends the following changes to Rule 15.8 to clearly narrow its application to only those situations where the State has knowingly withheld material evidence that was in its possession at the time the plea offer was extended.  These changes will ensure that Rule 15.8 is only used when a violation of Rule 15 has actually occurred and a plea cutoff date has passed or the offer has been withdrawn.  These changes make the Rule consistent with the purposes of Rule 15 and the sanction provisions of Rule 15.7.  </w:t>
      </w:r>
    </w:p>
    <w:p w:rsidR="00630BFE" w:rsidRPr="00630BFE" w:rsidRDefault="00630BFE" w:rsidP="00630BFE">
      <w:pPr>
        <w:spacing w:line="480" w:lineRule="auto"/>
        <w:jc w:val="both"/>
        <w:rPr>
          <w:szCs w:val="24"/>
        </w:rPr>
      </w:pPr>
      <w:r w:rsidRPr="00630BFE">
        <w:rPr>
          <w:szCs w:val="24"/>
        </w:rPr>
        <w:t>Proposed Rule Change:</w:t>
      </w:r>
    </w:p>
    <w:p w:rsidR="00630BFE" w:rsidRPr="00630BFE" w:rsidRDefault="00630BFE" w:rsidP="00630BFE">
      <w:pPr>
        <w:ind w:left="720" w:right="720"/>
        <w:jc w:val="both"/>
        <w:rPr>
          <w:szCs w:val="24"/>
        </w:rPr>
      </w:pPr>
      <w:r w:rsidRPr="00630BFE">
        <w:rPr>
          <w:szCs w:val="24"/>
          <w:u w:val="single"/>
        </w:rPr>
        <w:t xml:space="preserve">A. </w:t>
      </w:r>
      <w:r w:rsidRPr="00630BFE">
        <w:rPr>
          <w:szCs w:val="24"/>
        </w:rPr>
        <w:t xml:space="preserve">If the prosecution has </w:t>
      </w:r>
      <w:r w:rsidRPr="00630BFE">
        <w:rPr>
          <w:strike/>
          <w:szCs w:val="24"/>
        </w:rPr>
        <w:t>imposed a plea deadline</w:t>
      </w:r>
      <w:r w:rsidRPr="00630BFE">
        <w:rPr>
          <w:szCs w:val="24"/>
        </w:rPr>
        <w:t xml:space="preserve"> </w:t>
      </w:r>
      <w:r w:rsidRPr="00630BFE">
        <w:rPr>
          <w:szCs w:val="24"/>
          <w:u w:val="single"/>
        </w:rPr>
        <w:t>extended a plea offer</w:t>
      </w:r>
      <w:r w:rsidRPr="00630BFE">
        <w:rPr>
          <w:szCs w:val="24"/>
        </w:rPr>
        <w:t xml:space="preserve"> in a case in which an indictment or information has been filed in Superior Court, </w:t>
      </w:r>
      <w:r w:rsidRPr="00630BFE">
        <w:rPr>
          <w:szCs w:val="24"/>
          <w:u w:val="single"/>
        </w:rPr>
        <w:t xml:space="preserve">and the court finds that that the prosecution has knowingly failed to comply with Rule 15.1(b) at least 30 days before any plea offer deadline or before the offer was withdrawn, </w:t>
      </w:r>
      <w:r w:rsidRPr="00630BFE">
        <w:rPr>
          <w:strike/>
          <w:szCs w:val="24"/>
        </w:rPr>
        <w:t xml:space="preserve">but does not provide the defense with material disclosure listed in </w:t>
      </w:r>
      <w:hyperlink r:id="rId9" w:history="1">
        <w:r w:rsidRPr="00630BFE">
          <w:rPr>
            <w:bCs/>
            <w:strike/>
            <w:szCs w:val="24"/>
          </w:rPr>
          <w:t>Rule</w:t>
        </w:r>
        <w:r w:rsidRPr="00630BFE">
          <w:rPr>
            <w:strike/>
            <w:szCs w:val="24"/>
          </w:rPr>
          <w:t xml:space="preserve"> 15.1(b)</w:t>
        </w:r>
      </w:hyperlink>
      <w:r w:rsidRPr="00630BFE">
        <w:rPr>
          <w:strike/>
          <w:szCs w:val="24"/>
        </w:rPr>
        <w:t xml:space="preserve"> at least 30 days prior to the plea deadline,</w:t>
      </w:r>
      <w:r w:rsidRPr="00630BFE">
        <w:rPr>
          <w:szCs w:val="24"/>
        </w:rPr>
        <w:t xml:space="preserve"> the court, upon motion of the defendant, shall consider </w:t>
      </w:r>
      <w:r w:rsidRPr="00630BFE">
        <w:rPr>
          <w:strike/>
          <w:szCs w:val="24"/>
        </w:rPr>
        <w:t xml:space="preserve">the </w:t>
      </w:r>
      <w:r w:rsidRPr="00630BFE">
        <w:rPr>
          <w:szCs w:val="24"/>
          <w:u w:val="single"/>
        </w:rPr>
        <w:t xml:space="preserve">whether the evidence not disclosed properly under Rule 15.1(b) is material to the case based on all the facts and circumstances, and the </w:t>
      </w:r>
      <w:r w:rsidRPr="00630BFE">
        <w:rPr>
          <w:szCs w:val="24"/>
        </w:rPr>
        <w:t xml:space="preserve">impact of the failure to provide such disclosure on the defendant's decision to accept or reject </w:t>
      </w:r>
      <w:r w:rsidRPr="00630BFE">
        <w:rPr>
          <w:strike/>
          <w:szCs w:val="24"/>
        </w:rPr>
        <w:t>a</w:t>
      </w:r>
      <w:r w:rsidRPr="00630BFE">
        <w:rPr>
          <w:szCs w:val="24"/>
        </w:rPr>
        <w:t xml:space="preserve"> </w:t>
      </w:r>
      <w:r w:rsidRPr="00630BFE">
        <w:rPr>
          <w:szCs w:val="24"/>
          <w:u w:val="single"/>
        </w:rPr>
        <w:t>the</w:t>
      </w:r>
      <w:r w:rsidRPr="00630BFE">
        <w:rPr>
          <w:szCs w:val="24"/>
        </w:rPr>
        <w:t xml:space="preserve"> plea offer. If the court determines that the prosecutor's failure to provide such disclosure materially impacted the defendant's decision and the prosecutor declines to reinstate the lapsed plea offer, the presumptive minimum sanction shall be preclusion from admission at trial of </w:t>
      </w:r>
      <w:r w:rsidRPr="00630BFE">
        <w:rPr>
          <w:szCs w:val="24"/>
          <w:u w:val="single"/>
        </w:rPr>
        <w:t xml:space="preserve">the </w:t>
      </w:r>
      <w:r w:rsidRPr="00630BFE">
        <w:rPr>
          <w:strike/>
          <w:szCs w:val="24"/>
        </w:rPr>
        <w:t>any</w:t>
      </w:r>
      <w:r w:rsidRPr="00630BFE">
        <w:rPr>
          <w:szCs w:val="24"/>
        </w:rPr>
        <w:t xml:space="preserve"> </w:t>
      </w:r>
      <w:r w:rsidRPr="00630BFE">
        <w:rPr>
          <w:szCs w:val="24"/>
          <w:u w:val="single"/>
        </w:rPr>
        <w:t>material</w:t>
      </w:r>
      <w:r w:rsidRPr="00630BFE">
        <w:rPr>
          <w:szCs w:val="24"/>
        </w:rPr>
        <w:t xml:space="preserve"> evidence not </w:t>
      </w:r>
      <w:r w:rsidRPr="00630BFE">
        <w:rPr>
          <w:szCs w:val="24"/>
          <w:u w:val="single"/>
        </w:rPr>
        <w:t xml:space="preserve">timely </w:t>
      </w:r>
      <w:r w:rsidRPr="00630BFE">
        <w:rPr>
          <w:szCs w:val="24"/>
        </w:rPr>
        <w:t xml:space="preserve">disclosed </w:t>
      </w:r>
      <w:r w:rsidRPr="00630BFE">
        <w:rPr>
          <w:szCs w:val="24"/>
          <w:u w:val="single"/>
        </w:rPr>
        <w:t xml:space="preserve">under Rule 15.1(b). </w:t>
      </w:r>
      <w:r w:rsidRPr="00630BFE">
        <w:rPr>
          <w:strike/>
          <w:szCs w:val="24"/>
        </w:rPr>
        <w:t xml:space="preserve">at least 30 days prior to the deadline. </w:t>
      </w:r>
      <w:r w:rsidRPr="00630BFE">
        <w:rPr>
          <w:szCs w:val="24"/>
        </w:rPr>
        <w:t xml:space="preserve"> </w:t>
      </w:r>
    </w:p>
    <w:p w:rsidR="00630BFE" w:rsidRPr="00630BFE" w:rsidRDefault="00630BFE" w:rsidP="00630BFE">
      <w:pPr>
        <w:ind w:left="720" w:right="720"/>
        <w:jc w:val="both"/>
        <w:rPr>
          <w:szCs w:val="24"/>
          <w:u w:val="single"/>
        </w:rPr>
      </w:pPr>
      <w:r w:rsidRPr="00630BFE">
        <w:rPr>
          <w:szCs w:val="24"/>
          <w:u w:val="single"/>
        </w:rPr>
        <w:t xml:space="preserve">B. This rule shall only apply to material evidence listed in Rule 15.1(b) that existed and was in the prosecutor’s possession or control at the time the plea offer was extended.  </w:t>
      </w:r>
    </w:p>
    <w:p w:rsidR="00630BFE" w:rsidRPr="00630BFE" w:rsidRDefault="00630BFE" w:rsidP="00630BFE">
      <w:pPr>
        <w:spacing w:line="480" w:lineRule="auto"/>
        <w:jc w:val="both"/>
        <w:rPr>
          <w:szCs w:val="24"/>
        </w:rPr>
      </w:pPr>
    </w:p>
    <w:p w:rsidR="00630BFE" w:rsidRPr="00630BFE" w:rsidRDefault="00630BFE" w:rsidP="00630BFE">
      <w:pPr>
        <w:spacing w:line="480" w:lineRule="auto"/>
        <w:jc w:val="both"/>
        <w:rPr>
          <w:szCs w:val="24"/>
        </w:rPr>
      </w:pPr>
      <w:r w:rsidRPr="00630BFE">
        <w:rPr>
          <w:szCs w:val="24"/>
        </w:rPr>
        <w:t>In addition to this change the comment to Rule 15.8 should be modified accordingly:</w:t>
      </w:r>
    </w:p>
    <w:p w:rsidR="00630BFE" w:rsidRPr="00630BFE" w:rsidRDefault="00630BFE" w:rsidP="00630BFE">
      <w:pPr>
        <w:ind w:left="720" w:right="720"/>
        <w:jc w:val="both"/>
        <w:rPr>
          <w:szCs w:val="24"/>
        </w:rPr>
      </w:pPr>
      <w:r w:rsidRPr="00630BFE">
        <w:rPr>
          <w:szCs w:val="24"/>
        </w:rPr>
        <w:t xml:space="preserve">Although there is no constitutional right to a plea bargain, see </w:t>
      </w:r>
      <w:r w:rsidRPr="00630BFE">
        <w:rPr>
          <w:szCs w:val="24"/>
          <w:u w:val="single"/>
        </w:rPr>
        <w:t>United States v. Osif</w:t>
      </w:r>
      <w:r w:rsidRPr="00630BFE">
        <w:rPr>
          <w:szCs w:val="24"/>
        </w:rPr>
        <w:t>, 789 F.2d 1404, 1405 (9</w:t>
      </w:r>
      <w:r w:rsidRPr="00630BFE">
        <w:rPr>
          <w:szCs w:val="24"/>
          <w:vertAlign w:val="superscript"/>
        </w:rPr>
        <w:t>th</w:t>
      </w:r>
      <w:r w:rsidRPr="00630BFE">
        <w:rPr>
          <w:szCs w:val="24"/>
        </w:rPr>
        <w:t xml:space="preserve"> Cir. 1986); </w:t>
      </w:r>
      <w:r w:rsidRPr="00630BFE">
        <w:rPr>
          <w:szCs w:val="24"/>
          <w:u w:val="single"/>
        </w:rPr>
        <w:t>State v. McKinney</w:t>
      </w:r>
      <w:r w:rsidRPr="00630BFE">
        <w:rPr>
          <w:szCs w:val="24"/>
        </w:rPr>
        <w:t xml:space="preserve">, 185 Ariz. 567, 575, 917 </w:t>
      </w:r>
      <w:r w:rsidRPr="00630BFE">
        <w:rPr>
          <w:szCs w:val="24"/>
        </w:rPr>
        <w:lastRenderedPageBreak/>
        <w:t xml:space="preserve">P.2d 1214, 1222 (1996), once the State engages in plea negotiations, certain constitutional protections attach that allow the Court to ensure the process is fair. See </w:t>
      </w:r>
      <w:r w:rsidRPr="00630BFE">
        <w:rPr>
          <w:szCs w:val="24"/>
          <w:u w:val="single"/>
        </w:rPr>
        <w:t>State v. Donald</w:t>
      </w:r>
      <w:r w:rsidRPr="00630BFE">
        <w:rPr>
          <w:szCs w:val="24"/>
        </w:rPr>
        <w:t>, 198 Ariz. 406, 413, 10 P.3d 1193, 1200 (App. 2000).</w:t>
      </w:r>
    </w:p>
    <w:p w:rsidR="00630BFE" w:rsidRPr="00630BFE" w:rsidRDefault="00630BFE" w:rsidP="00630BFE">
      <w:pPr>
        <w:ind w:left="720" w:right="720"/>
        <w:jc w:val="both"/>
        <w:rPr>
          <w:szCs w:val="24"/>
        </w:rPr>
      </w:pPr>
    </w:p>
    <w:p w:rsidR="00630BFE" w:rsidRPr="00630BFE" w:rsidRDefault="00630BFE" w:rsidP="00630BFE">
      <w:pPr>
        <w:ind w:left="720" w:right="720"/>
        <w:jc w:val="both"/>
        <w:rPr>
          <w:strike/>
          <w:szCs w:val="24"/>
        </w:rPr>
      </w:pPr>
      <w:r w:rsidRPr="00630BFE">
        <w:rPr>
          <w:strike/>
          <w:szCs w:val="24"/>
        </w:rPr>
        <w:t>It has become common, especially in high-volume jurisdictions, for a prosecutor to impose a deadline by which a defendant must accept a plea offer. Such deadlines are imposed in order to optimize scarce criminal justice resources and minimize impact to victims. However, when the plea deadline occurs before material discovery is provided to the defense, such deadlines may impact a defendant's constitutional rights. Defense counsel may not have adequate information about the prosecution's case to provide effective assistance to the defendant in making the decision whether to accept a plea offer or proceed to trial, resulting in a plea not knowingly and intelligently made.</w:t>
      </w:r>
    </w:p>
    <w:p w:rsidR="00630BFE" w:rsidRPr="00630BFE" w:rsidRDefault="00630BFE" w:rsidP="00630BFE">
      <w:pPr>
        <w:ind w:left="720" w:right="720"/>
        <w:jc w:val="both"/>
        <w:rPr>
          <w:szCs w:val="24"/>
        </w:rPr>
      </w:pPr>
    </w:p>
    <w:p w:rsidR="00630BFE" w:rsidRPr="00630BFE" w:rsidRDefault="00630BFE" w:rsidP="00630BFE">
      <w:pPr>
        <w:ind w:left="720" w:right="720"/>
        <w:jc w:val="both"/>
        <w:rPr>
          <w:strike/>
          <w:szCs w:val="24"/>
        </w:rPr>
      </w:pPr>
      <w:r w:rsidRPr="00630BFE">
        <w:rPr>
          <w:strike/>
          <w:szCs w:val="24"/>
        </w:rPr>
        <w:t xml:space="preserve">New Rule 15.8 balances these interests by requiring that all material discovery listed in </w:t>
      </w:r>
      <w:hyperlink r:id="rId10" w:history="1">
        <w:r w:rsidRPr="00630BFE">
          <w:rPr>
            <w:bCs/>
            <w:strike/>
            <w:szCs w:val="24"/>
          </w:rPr>
          <w:t>Rule</w:t>
        </w:r>
      </w:hyperlink>
      <w:r w:rsidRPr="00630BFE">
        <w:rPr>
          <w:strike/>
          <w:szCs w:val="24"/>
        </w:rPr>
        <w:t xml:space="preserve"> 15.1(b) be provided to the defense well enough in advance of any plea deadline to enable the defendant to make an informed decision on the plea offer with the effective assistance of counsel.</w:t>
      </w:r>
    </w:p>
    <w:p w:rsidR="00630BFE" w:rsidRPr="00630BFE" w:rsidRDefault="00630BFE" w:rsidP="00630BFE">
      <w:pPr>
        <w:ind w:left="720" w:right="720"/>
        <w:jc w:val="both"/>
        <w:rPr>
          <w:szCs w:val="24"/>
        </w:rPr>
      </w:pPr>
    </w:p>
    <w:p w:rsidR="00630BFE" w:rsidRPr="00630BFE" w:rsidRDefault="00630BFE" w:rsidP="00630BFE">
      <w:pPr>
        <w:ind w:left="720" w:right="720"/>
        <w:jc w:val="both"/>
        <w:rPr>
          <w:szCs w:val="24"/>
          <w:u w:val="single"/>
        </w:rPr>
      </w:pPr>
      <w:r w:rsidRPr="00630BFE">
        <w:rPr>
          <w:bCs/>
          <w:szCs w:val="24"/>
          <w:u w:val="single"/>
        </w:rPr>
        <w:t xml:space="preserve">Sanctions under Rule 15.8 do not apply if, after the prosecutor makes the disclosures required by Rule 15.1(b), the defendant has at least 30 days to consider the plea offer before the offer expires or is withdrawn.  </w:t>
      </w:r>
      <w:r w:rsidRPr="00630BFE">
        <w:rPr>
          <w:szCs w:val="24"/>
          <w:u w:val="single"/>
        </w:rPr>
        <w:t>Evidence which is discovered and timely disclosed under Rule 15.6 after a plea offer has expired or been withdrawn does not trigger the sanctions under Rule 15.8 unless that evidence existed and was in the prosecutor’s possession or control at the time the plea offer was extended.  If new evidence is discovered and disclosed under Rule 15.6 after the offer is extended but before the plea expires or is withdrawn, this Rule does not require a new 30 day period as long as the defendant had 30 days to consider the offer after the prosecutor complied with Rule 15.1(b).</w:t>
      </w:r>
    </w:p>
    <w:p w:rsidR="00630BFE" w:rsidRPr="00630BFE" w:rsidRDefault="00630BFE" w:rsidP="00630BFE">
      <w:pPr>
        <w:ind w:left="720" w:right="720"/>
        <w:jc w:val="both"/>
        <w:rPr>
          <w:szCs w:val="24"/>
          <w:u w:val="single"/>
        </w:rPr>
      </w:pPr>
    </w:p>
    <w:p w:rsidR="00630BFE" w:rsidRPr="00630BFE" w:rsidRDefault="00630BFE" w:rsidP="00630BFE">
      <w:pPr>
        <w:ind w:left="720" w:right="720"/>
        <w:jc w:val="both"/>
        <w:rPr>
          <w:strike/>
          <w:szCs w:val="24"/>
        </w:rPr>
      </w:pPr>
      <w:r w:rsidRPr="00630BFE">
        <w:rPr>
          <w:bCs/>
          <w:strike/>
          <w:szCs w:val="24"/>
        </w:rPr>
        <w:t>Rule 15.8</w:t>
      </w:r>
      <w:r w:rsidRPr="00630BFE">
        <w:rPr>
          <w:strike/>
          <w:szCs w:val="24"/>
        </w:rPr>
        <w:t xml:space="preserve"> is not triggered by a failure to comply with </w:t>
      </w:r>
      <w:hyperlink r:id="rId11" w:history="1">
        <w:r w:rsidRPr="00630BFE">
          <w:rPr>
            <w:bCs/>
            <w:strike/>
            <w:szCs w:val="24"/>
          </w:rPr>
          <w:t>Rule</w:t>
        </w:r>
      </w:hyperlink>
      <w:r w:rsidRPr="00630BFE">
        <w:rPr>
          <w:strike/>
          <w:szCs w:val="24"/>
        </w:rPr>
        <w:t xml:space="preserve"> 15.1(b) but by the failure to provide the materials or information listed under </w:t>
      </w:r>
      <w:hyperlink r:id="rId12" w:history="1">
        <w:r w:rsidRPr="00630BFE">
          <w:rPr>
            <w:bCs/>
            <w:strike/>
            <w:szCs w:val="24"/>
          </w:rPr>
          <w:t>Rule</w:t>
        </w:r>
      </w:hyperlink>
      <w:r w:rsidRPr="00630BFE">
        <w:rPr>
          <w:strike/>
          <w:szCs w:val="24"/>
        </w:rPr>
        <w:t xml:space="preserve"> 15.1(b) at least 30 days prior to the plea deadline. For example, a lab result may be material to the defendant's decision whether to accept or reject a plea offer. Under </w:t>
      </w:r>
      <w:hyperlink r:id="rId13" w:history="1">
        <w:r w:rsidRPr="00630BFE">
          <w:rPr>
            <w:bCs/>
            <w:strike/>
            <w:szCs w:val="24"/>
          </w:rPr>
          <w:t>Rule</w:t>
        </w:r>
      </w:hyperlink>
      <w:r w:rsidRPr="00630BFE">
        <w:rPr>
          <w:strike/>
          <w:szCs w:val="24"/>
        </w:rPr>
        <w:t xml:space="preserve"> 15.1(b), the prosecution does not have to provide the result to the defendant until it is “then existing” and may not even order the report until after the plea deadline. This would not violate </w:t>
      </w:r>
      <w:hyperlink r:id="rId14" w:history="1">
        <w:r w:rsidRPr="00630BFE">
          <w:rPr>
            <w:bCs/>
            <w:strike/>
            <w:szCs w:val="24"/>
          </w:rPr>
          <w:t>Rule</w:t>
        </w:r>
      </w:hyperlink>
      <w:r w:rsidRPr="00630BFE">
        <w:rPr>
          <w:strike/>
          <w:szCs w:val="24"/>
        </w:rPr>
        <w:t xml:space="preserve"> 15.1(b). However, under </w:t>
      </w:r>
      <w:r w:rsidRPr="00630BFE">
        <w:rPr>
          <w:bCs/>
          <w:strike/>
          <w:szCs w:val="24"/>
        </w:rPr>
        <w:t>Rule 15.8</w:t>
      </w:r>
      <w:r w:rsidRPr="00630BFE">
        <w:rPr>
          <w:strike/>
          <w:szCs w:val="24"/>
        </w:rPr>
        <w:t>, the court, upon motion by the defendant, would consider the impact of the failure to provide the lab report on the defendant's decision to reject the plea offer, and impose a sanction, if appropriate.</w:t>
      </w:r>
    </w:p>
    <w:p w:rsidR="00630BFE" w:rsidRPr="00630BFE" w:rsidRDefault="00630BFE" w:rsidP="00630BFE">
      <w:pPr>
        <w:ind w:left="720" w:right="720"/>
        <w:jc w:val="both"/>
        <w:rPr>
          <w:strike/>
          <w:szCs w:val="24"/>
        </w:rPr>
      </w:pPr>
    </w:p>
    <w:p w:rsidR="00630BFE" w:rsidRPr="00630BFE" w:rsidRDefault="00630BFE" w:rsidP="00630BFE">
      <w:pPr>
        <w:ind w:left="720" w:right="720"/>
        <w:jc w:val="both"/>
        <w:rPr>
          <w:szCs w:val="24"/>
          <w:u w:val="single"/>
        </w:rPr>
      </w:pPr>
      <w:r w:rsidRPr="00630BFE">
        <w:rPr>
          <w:bCs/>
          <w:strike/>
          <w:szCs w:val="24"/>
        </w:rPr>
        <w:t>Rule</w:t>
      </w:r>
      <w:r w:rsidRPr="00630BFE">
        <w:rPr>
          <w:strike/>
          <w:szCs w:val="24"/>
        </w:rPr>
        <w:t xml:space="preserve"> </w:t>
      </w:r>
      <w:r w:rsidRPr="00630BFE">
        <w:rPr>
          <w:bCs/>
          <w:strike/>
          <w:szCs w:val="24"/>
        </w:rPr>
        <w:t>15</w:t>
      </w:r>
      <w:r w:rsidRPr="00630BFE">
        <w:rPr>
          <w:strike/>
          <w:szCs w:val="24"/>
        </w:rPr>
        <w:t>.</w:t>
      </w:r>
      <w:r w:rsidRPr="00630BFE">
        <w:rPr>
          <w:bCs/>
          <w:strike/>
          <w:szCs w:val="24"/>
        </w:rPr>
        <w:t>8</w:t>
      </w:r>
      <w:r w:rsidRPr="00630BFE">
        <w:rPr>
          <w:strike/>
          <w:szCs w:val="24"/>
        </w:rPr>
        <w:t xml:space="preserve"> does not automatically preclude evidence that is disclosed within thirty days of the plea deadline.</w:t>
      </w:r>
      <w:r w:rsidRPr="00630BFE">
        <w:rPr>
          <w:szCs w:val="24"/>
        </w:rPr>
        <w:t xml:space="preserve"> </w:t>
      </w:r>
      <w:r w:rsidRPr="00630BFE">
        <w:rPr>
          <w:strike/>
          <w:szCs w:val="24"/>
        </w:rPr>
        <w:t>It</w:t>
      </w:r>
      <w:r w:rsidRPr="00630BFE">
        <w:rPr>
          <w:szCs w:val="24"/>
        </w:rPr>
        <w:t xml:space="preserve"> </w:t>
      </w:r>
      <w:r w:rsidRPr="00630BFE">
        <w:rPr>
          <w:szCs w:val="24"/>
          <w:u w:val="single"/>
        </w:rPr>
        <w:t xml:space="preserve">Rule 15.8 only </w:t>
      </w:r>
      <w:r w:rsidRPr="00630BFE">
        <w:rPr>
          <w:szCs w:val="24"/>
        </w:rPr>
        <w:t xml:space="preserve">applies </w:t>
      </w:r>
      <w:r w:rsidRPr="00630BFE">
        <w:rPr>
          <w:strike/>
          <w:szCs w:val="24"/>
        </w:rPr>
        <w:t>only</w:t>
      </w:r>
      <w:r w:rsidRPr="00630BFE">
        <w:rPr>
          <w:szCs w:val="24"/>
        </w:rPr>
        <w:t xml:space="preserve"> to discovery that the court finds </w:t>
      </w:r>
      <w:r w:rsidRPr="00630BFE">
        <w:rPr>
          <w:szCs w:val="24"/>
          <w:u w:val="single"/>
        </w:rPr>
        <w:t>is</w:t>
      </w:r>
      <w:r w:rsidRPr="00630BFE">
        <w:rPr>
          <w:szCs w:val="24"/>
        </w:rPr>
        <w:t xml:space="preserve"> material </w:t>
      </w:r>
      <w:r w:rsidRPr="00630BFE">
        <w:rPr>
          <w:szCs w:val="24"/>
          <w:u w:val="single"/>
        </w:rPr>
        <w:t xml:space="preserve">to the case and </w:t>
      </w:r>
      <w:r w:rsidRPr="00630BFE">
        <w:rPr>
          <w:szCs w:val="24"/>
        </w:rPr>
        <w:t xml:space="preserve">to the defendant's decision whether to accept or reject a plea offer. </w:t>
      </w:r>
      <w:r w:rsidRPr="00630BFE">
        <w:rPr>
          <w:szCs w:val="24"/>
          <w:u w:val="single"/>
        </w:rPr>
        <w:t xml:space="preserve">Evidence is material to the case if it the evidence might affect the outcome at trial.  </w:t>
      </w:r>
      <w:r w:rsidRPr="00630BFE">
        <w:rPr>
          <w:szCs w:val="24"/>
        </w:rPr>
        <w:t xml:space="preserve">Whether </w:t>
      </w:r>
      <w:r w:rsidRPr="00630BFE">
        <w:rPr>
          <w:strike/>
          <w:szCs w:val="24"/>
        </w:rPr>
        <w:t>discovery</w:t>
      </w:r>
      <w:r w:rsidRPr="00630BFE">
        <w:rPr>
          <w:szCs w:val="24"/>
        </w:rPr>
        <w:t xml:space="preserve"> </w:t>
      </w:r>
      <w:r w:rsidRPr="00630BFE">
        <w:rPr>
          <w:szCs w:val="24"/>
          <w:u w:val="single"/>
        </w:rPr>
        <w:t>evidence</w:t>
      </w:r>
      <w:r w:rsidRPr="00630BFE">
        <w:rPr>
          <w:szCs w:val="24"/>
        </w:rPr>
        <w:t xml:space="preserve"> is material or not must be determined by the court after considering all of the circumstances of the case.  </w:t>
      </w:r>
    </w:p>
    <w:p w:rsidR="00630BFE" w:rsidRPr="00630BFE" w:rsidRDefault="00630BFE" w:rsidP="00630BFE">
      <w:pPr>
        <w:ind w:left="720" w:right="720"/>
        <w:jc w:val="both"/>
        <w:rPr>
          <w:szCs w:val="24"/>
        </w:rPr>
      </w:pPr>
    </w:p>
    <w:p w:rsidR="00630BFE" w:rsidRPr="00630BFE" w:rsidRDefault="00630BFE" w:rsidP="00630BFE">
      <w:pPr>
        <w:spacing w:line="480" w:lineRule="auto"/>
        <w:jc w:val="both"/>
        <w:rPr>
          <w:b/>
          <w:szCs w:val="24"/>
        </w:rPr>
      </w:pPr>
      <w:r w:rsidRPr="00630BFE">
        <w:rPr>
          <w:b/>
          <w:szCs w:val="24"/>
        </w:rPr>
        <w:lastRenderedPageBreak/>
        <w:t>IV.  Conclusion</w:t>
      </w:r>
    </w:p>
    <w:p w:rsidR="00630BFE" w:rsidRPr="00630BFE" w:rsidRDefault="00630BFE" w:rsidP="00630BFE">
      <w:pPr>
        <w:spacing w:line="480" w:lineRule="auto"/>
        <w:ind w:left="90" w:firstLine="630"/>
        <w:jc w:val="both"/>
        <w:rPr>
          <w:szCs w:val="24"/>
        </w:rPr>
      </w:pPr>
      <w:r w:rsidRPr="00630BFE">
        <w:rPr>
          <w:szCs w:val="24"/>
        </w:rPr>
        <w:t>As currently written, Rule 15.8 is a confusing, unnecessary rule that hampers the prosecution’s ability to efficiently and effectively hold offenders accountable.  Instead of expanding this broken rule to apply to more criminal cases, the MCAO asks this Court to deny the State Bar’s Petition to Modify Rule 15.8 and instead either eliminate the Rule in its entirety or modify it as recommended above.</w:t>
      </w:r>
    </w:p>
    <w:p w:rsidR="00240AD0" w:rsidRPr="000D716F" w:rsidRDefault="008C2C49" w:rsidP="00630BFE">
      <w:pPr>
        <w:widowControl/>
        <w:tabs>
          <w:tab w:val="center" w:pos="4968"/>
          <w:tab w:val="left" w:pos="5184"/>
          <w:tab w:val="left" w:pos="5760"/>
          <w:tab w:val="left" w:pos="6336"/>
          <w:tab w:val="left" w:pos="6912"/>
          <w:tab w:val="left" w:pos="7488"/>
          <w:tab w:val="left" w:pos="8064"/>
          <w:tab w:val="left" w:pos="8640"/>
          <w:tab w:val="left" w:pos="9216"/>
          <w:tab w:val="left" w:pos="9792"/>
        </w:tabs>
        <w:spacing w:line="480" w:lineRule="auto"/>
        <w:jc w:val="both"/>
        <w:rPr>
          <w:kern w:val="2"/>
          <w:szCs w:val="24"/>
        </w:rPr>
      </w:pPr>
      <w:r w:rsidRPr="000D716F">
        <w:rPr>
          <w:szCs w:val="24"/>
        </w:rPr>
        <w:tab/>
      </w:r>
      <w:r w:rsidR="00240AD0" w:rsidRPr="000D716F">
        <w:rPr>
          <w:szCs w:val="24"/>
        </w:rPr>
        <w:t>R</w:t>
      </w:r>
      <w:r w:rsidR="00240AD0" w:rsidRPr="000D716F">
        <w:rPr>
          <w:kern w:val="2"/>
          <w:szCs w:val="24"/>
        </w:rPr>
        <w:t xml:space="preserve">espectfully submitted this _____of </w:t>
      </w:r>
      <w:r w:rsidR="00AE75B3" w:rsidRPr="000D716F">
        <w:rPr>
          <w:kern w:val="2"/>
          <w:szCs w:val="24"/>
        </w:rPr>
        <w:t>Ma</w:t>
      </w:r>
      <w:r w:rsidR="00E91B4A" w:rsidRPr="000D716F">
        <w:rPr>
          <w:kern w:val="2"/>
          <w:szCs w:val="24"/>
        </w:rPr>
        <w:t>y</w:t>
      </w:r>
      <w:r w:rsidR="00AE75B3" w:rsidRPr="000D716F">
        <w:rPr>
          <w:kern w:val="2"/>
          <w:szCs w:val="24"/>
        </w:rPr>
        <w:t>, 20</w:t>
      </w:r>
      <w:r w:rsidR="00E91B4A" w:rsidRPr="000D716F">
        <w:rPr>
          <w:kern w:val="2"/>
          <w:szCs w:val="24"/>
        </w:rPr>
        <w:t>1</w:t>
      </w:r>
      <w:r w:rsidR="000D716F">
        <w:rPr>
          <w:kern w:val="2"/>
          <w:szCs w:val="24"/>
        </w:rPr>
        <w:t>3</w:t>
      </w:r>
      <w:r w:rsidR="00240AD0" w:rsidRPr="000D716F">
        <w:rPr>
          <w:kern w:val="2"/>
          <w:szCs w:val="24"/>
        </w:rPr>
        <w:t>.</w:t>
      </w:r>
    </w:p>
    <w:p w:rsidR="00240AD0" w:rsidRPr="000D716F" w:rsidRDefault="00240AD0"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kern w:val="2"/>
          <w:szCs w:val="24"/>
        </w:rPr>
      </w:pPr>
    </w:p>
    <w:p w:rsidR="00E91B4A" w:rsidRPr="000D716F" w:rsidRDefault="00E91B4A" w:rsidP="00E91B4A">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kern w:val="2"/>
          <w:szCs w:val="24"/>
        </w:rPr>
      </w:pPr>
      <w:r w:rsidRPr="000D716F">
        <w:rPr>
          <w:kern w:val="2"/>
          <w:szCs w:val="24"/>
        </w:rPr>
        <w:t>WILLIAM G. MONTGOMERY</w:t>
      </w:r>
    </w:p>
    <w:p w:rsidR="00E91B4A" w:rsidRPr="000D716F" w:rsidRDefault="00E91B4A" w:rsidP="00E91B4A">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r w:rsidRPr="000D716F">
        <w:rPr>
          <w:smallCaps/>
          <w:kern w:val="2"/>
          <w:szCs w:val="24"/>
        </w:rPr>
        <w:t>Maricopa County Attorney</w:t>
      </w:r>
    </w:p>
    <w:p w:rsidR="00E91B4A" w:rsidRPr="000D716F" w:rsidRDefault="00E91B4A" w:rsidP="00E91B4A">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p>
    <w:p w:rsidR="00E91B4A" w:rsidRPr="000D716F" w:rsidRDefault="00E91B4A" w:rsidP="00E91B4A">
      <w:pPr>
        <w:keepLines/>
        <w:ind w:left="3600" w:firstLine="720"/>
        <w:rPr>
          <w:szCs w:val="24"/>
        </w:rPr>
      </w:pPr>
      <w:r w:rsidRPr="000D716F">
        <w:rPr>
          <w:szCs w:val="24"/>
        </w:rPr>
        <w:t>By______________________</w:t>
      </w:r>
    </w:p>
    <w:p w:rsidR="00E91B4A" w:rsidRPr="000D716F" w:rsidRDefault="00E91B4A" w:rsidP="00E91B4A">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r w:rsidRPr="000D716F">
        <w:rPr>
          <w:smallCaps/>
          <w:kern w:val="2"/>
          <w:szCs w:val="24"/>
        </w:rPr>
        <w:tab/>
        <w:t>MARK FAULL</w:t>
      </w:r>
    </w:p>
    <w:p w:rsidR="00E91B4A" w:rsidRPr="000D716F" w:rsidRDefault="00E91B4A" w:rsidP="00E91B4A">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r w:rsidRPr="000D716F">
        <w:rPr>
          <w:smallCaps/>
          <w:kern w:val="2"/>
          <w:szCs w:val="24"/>
        </w:rPr>
        <w:tab/>
        <w:t>Chief Deputy</w:t>
      </w:r>
    </w:p>
    <w:p w:rsidR="00E91B4A" w:rsidRPr="000D716F" w:rsidRDefault="00E91B4A" w:rsidP="00240AD0">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kern w:val="2"/>
          <w:szCs w:val="24"/>
        </w:rPr>
      </w:pPr>
    </w:p>
    <w:p w:rsidR="00E91B4A" w:rsidRPr="000D716F" w:rsidRDefault="00E91B4A" w:rsidP="00240AD0">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kern w:val="2"/>
          <w:szCs w:val="24"/>
        </w:rPr>
      </w:pPr>
    </w:p>
    <w:p w:rsidR="000356B6" w:rsidRPr="000D716F" w:rsidRDefault="000356B6" w:rsidP="00240AD0">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p>
    <w:p w:rsidR="000356B6" w:rsidRPr="000D716F" w:rsidRDefault="000356B6" w:rsidP="00240AD0">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p>
    <w:p w:rsidR="000356B6" w:rsidRPr="000D716F" w:rsidRDefault="000356B6" w:rsidP="00240AD0">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p>
    <w:p w:rsidR="000356B6" w:rsidRPr="000D716F" w:rsidRDefault="000356B6" w:rsidP="00240AD0">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Cs w:val="24"/>
        </w:rPr>
      </w:pPr>
    </w:p>
    <w:sectPr w:rsidR="000356B6" w:rsidRPr="000D716F" w:rsidSect="00D2746D">
      <w:headerReference w:type="default" r:id="rId15"/>
      <w:footerReference w:type="default" r:id="rId16"/>
      <w:endnotePr>
        <w:numFmt w:val="decimal"/>
      </w:endnotePr>
      <w:pgSz w:w="12240" w:h="15840"/>
      <w:pgMar w:top="-1440" w:right="1152" w:bottom="1080" w:left="1440" w:header="965" w:footer="64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8CB" w:rsidRDefault="008A78CB">
      <w:r>
        <w:separator/>
      </w:r>
    </w:p>
  </w:endnote>
  <w:endnote w:type="continuationSeparator" w:id="0">
    <w:p w:rsidR="008A78CB" w:rsidRDefault="008A7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Humanst521 Lt BT">
    <w:altName w:val="Bookman Old Style"/>
    <w:charset w:val="00"/>
    <w:family w:val="roman"/>
    <w:pitch w:val="variable"/>
    <w:sig w:usb0="00000007"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F9" w:rsidRDefault="005731F9">
    <w:pPr>
      <w:spacing w:line="240" w:lineRule="exact"/>
    </w:pPr>
  </w:p>
  <w:p w:rsidR="005731F9" w:rsidRDefault="005731F9">
    <w:pPr>
      <w:framePr w:w="9937" w:wrap="notBeside" w:vAnchor="text" w:hAnchor="text" w:x="1" w:y="1"/>
      <w:jc w:val="center"/>
      <w:rPr>
        <w:sz w:val="20"/>
      </w:rPr>
    </w:pPr>
    <w:r>
      <w:rPr>
        <w:sz w:val="20"/>
      </w:rPr>
      <w:fldChar w:fldCharType="begin"/>
    </w:r>
    <w:r>
      <w:rPr>
        <w:sz w:val="20"/>
      </w:rPr>
      <w:instrText xml:space="preserve">PAGE </w:instrText>
    </w:r>
    <w:r>
      <w:rPr>
        <w:sz w:val="20"/>
      </w:rPr>
      <w:fldChar w:fldCharType="separate"/>
    </w:r>
    <w:r w:rsidR="00C1674E">
      <w:rPr>
        <w:noProof/>
        <w:sz w:val="20"/>
      </w:rPr>
      <w:t>12</w:t>
    </w:r>
    <w:r>
      <w:rPr>
        <w:sz w:val="20"/>
      </w:rPr>
      <w:fldChar w:fldCharType="end"/>
    </w:r>
  </w:p>
  <w:p w:rsidR="005731F9" w:rsidRDefault="005731F9" w:rsidP="001E0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576"/>
      <w:jc w:val="both"/>
      <w:rPr>
        <w:rFonts w:ascii="Humanst521 Lt BT" w:hAnsi="Humanst521 Lt BT"/>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8CB" w:rsidRDefault="008A78CB">
      <w:r>
        <w:separator/>
      </w:r>
    </w:p>
  </w:footnote>
  <w:footnote w:type="continuationSeparator" w:id="0">
    <w:p w:rsidR="008A78CB" w:rsidRDefault="008A78CB">
      <w:r>
        <w:continuationSeparator/>
      </w:r>
    </w:p>
  </w:footnote>
  <w:footnote w:id="1">
    <w:p w:rsidR="00630BFE" w:rsidRPr="00B43694" w:rsidRDefault="00630BFE" w:rsidP="00630BFE">
      <w:pPr>
        <w:pStyle w:val="FootnoteText"/>
        <w:keepLines/>
        <w:jc w:val="both"/>
      </w:pPr>
      <w:r w:rsidRPr="00B43694">
        <w:rPr>
          <w:rStyle w:val="FootnoteReference"/>
          <w:vertAlign w:val="superscript"/>
        </w:rPr>
        <w:footnoteRef/>
      </w:r>
      <w:r>
        <w:rPr>
          <w:vertAlign w:val="superscript"/>
        </w:rPr>
        <w:t xml:space="preserve"> </w:t>
      </w:r>
      <w:r w:rsidRPr="00580059">
        <w:rPr>
          <w:sz w:val="24"/>
          <w:szCs w:val="24"/>
        </w:rPr>
        <w:t xml:space="preserve">A recent example in Maricopa County is illustrative.  In that case, the defense filed a </w:t>
      </w:r>
      <w:r>
        <w:rPr>
          <w:sz w:val="24"/>
          <w:szCs w:val="24"/>
        </w:rPr>
        <w:t xml:space="preserve">Rule </w:t>
      </w:r>
      <w:r w:rsidRPr="00580059">
        <w:rPr>
          <w:sz w:val="24"/>
          <w:szCs w:val="24"/>
        </w:rPr>
        <w:t xml:space="preserve">15.8 motion </w:t>
      </w:r>
      <w:r w:rsidRPr="00580059">
        <w:rPr>
          <w:i/>
          <w:sz w:val="24"/>
          <w:szCs w:val="24"/>
        </w:rPr>
        <w:t>after conviction</w:t>
      </w:r>
      <w:r w:rsidRPr="00580059">
        <w:rPr>
          <w:sz w:val="24"/>
          <w:szCs w:val="24"/>
        </w:rPr>
        <w:t xml:space="preserve"> at trial.  The claim was that after the plea offer expired (in August 2012) the State filed certain sentencing enhancements.  The defendant’s motion asserts that these sentencing enhancements fall within the scope of evidence described in Rule 15.8.  The defendant’s motion was filed on May 1, 2013 two months after the case had been tried </w:t>
      </w:r>
      <w:r>
        <w:rPr>
          <w:sz w:val="24"/>
          <w:szCs w:val="24"/>
        </w:rPr>
        <w:t xml:space="preserve">to a jury </w:t>
      </w:r>
      <w:r w:rsidRPr="00580059">
        <w:rPr>
          <w:sz w:val="24"/>
          <w:szCs w:val="24"/>
        </w:rPr>
        <w:t>in February 2013</w:t>
      </w:r>
      <w:r>
        <w:rPr>
          <w:sz w:val="24"/>
          <w:szCs w:val="24"/>
        </w:rPr>
        <w:t>.</w:t>
      </w:r>
      <w:r w:rsidRPr="00580059">
        <w:rPr>
          <w:sz w:val="24"/>
          <w:szCs w:val="24"/>
        </w:rPr>
        <w:t xml:space="preserve">  For a defendant who had </w:t>
      </w:r>
      <w:r>
        <w:rPr>
          <w:sz w:val="24"/>
          <w:szCs w:val="24"/>
        </w:rPr>
        <w:t>absolutely</w:t>
      </w:r>
      <w:r w:rsidRPr="00580059">
        <w:rPr>
          <w:sz w:val="24"/>
          <w:szCs w:val="24"/>
        </w:rPr>
        <w:t xml:space="preserve"> refused any plea offer in the months preceding trial to claim that now he wants the original offer back two months after conviction and </w:t>
      </w:r>
      <w:r>
        <w:rPr>
          <w:sz w:val="24"/>
          <w:szCs w:val="24"/>
        </w:rPr>
        <w:t xml:space="preserve">eight </w:t>
      </w:r>
      <w:r w:rsidRPr="00580059">
        <w:rPr>
          <w:sz w:val="24"/>
          <w:szCs w:val="24"/>
        </w:rPr>
        <w:t xml:space="preserve">months after the event he claims triggered Rule 15.8 </w:t>
      </w:r>
      <w:r>
        <w:rPr>
          <w:sz w:val="24"/>
          <w:szCs w:val="24"/>
        </w:rPr>
        <w:t xml:space="preserve">occurred </w:t>
      </w:r>
      <w:r w:rsidRPr="00580059">
        <w:rPr>
          <w:sz w:val="24"/>
          <w:szCs w:val="24"/>
        </w:rPr>
        <w:t xml:space="preserve">shows how laughable Rule 15.8 claims can be.  Unfortunately, having to spend time and resources to litigate such a claim </w:t>
      </w:r>
      <w:r>
        <w:rPr>
          <w:sz w:val="24"/>
          <w:szCs w:val="24"/>
        </w:rPr>
        <w:t xml:space="preserve">and the uncertainty and stress such litigation causes victims </w:t>
      </w:r>
      <w:r w:rsidRPr="00580059">
        <w:rPr>
          <w:sz w:val="24"/>
          <w:szCs w:val="24"/>
        </w:rPr>
        <w:t xml:space="preserve">is no laughing matter.  </w:t>
      </w:r>
    </w:p>
  </w:footnote>
  <w:footnote w:id="2">
    <w:p w:rsidR="00630BFE" w:rsidRDefault="00630BFE" w:rsidP="00630BFE">
      <w:pPr>
        <w:pStyle w:val="FootnoteText"/>
        <w:jc w:val="both"/>
        <w:rPr>
          <w:sz w:val="24"/>
          <w:szCs w:val="24"/>
        </w:rPr>
      </w:pPr>
      <w:r w:rsidRPr="008D4C18">
        <w:rPr>
          <w:rStyle w:val="FootnoteReference"/>
          <w:vertAlign w:val="superscript"/>
        </w:rPr>
        <w:footnoteRef/>
      </w:r>
      <w:r w:rsidRPr="008D4C18">
        <w:rPr>
          <w:vertAlign w:val="superscript"/>
        </w:rPr>
        <w:t xml:space="preserve"> </w:t>
      </w:r>
      <w:r w:rsidRPr="00D24CAC">
        <w:rPr>
          <w:sz w:val="24"/>
          <w:szCs w:val="24"/>
        </w:rPr>
        <w:t xml:space="preserve">In </w:t>
      </w:r>
      <w:r w:rsidRPr="00D24CAC">
        <w:rPr>
          <w:sz w:val="24"/>
          <w:szCs w:val="24"/>
          <w:u w:val="single"/>
        </w:rPr>
        <w:t>Rivera-Longoria</w:t>
      </w:r>
      <w:r w:rsidRPr="00D24CAC">
        <w:rPr>
          <w:sz w:val="24"/>
          <w:szCs w:val="24"/>
        </w:rPr>
        <w:t xml:space="preserve"> this Court dismissed the State’s concerns that “Rule 15.8, at least as interpreted by the court of appeals, may require it to keep an offer open indefinitely or face preclusion of evidence at trial” by telling us that “[t]his assertion misapprehends the Rule.”  228 Ariz. at 159, ¶ 14, 264 P.3d at 869.  Unfortunately, as discussed in section B above, this Court then makes contradictory statements about how Rule 15.8 </w:t>
      </w:r>
      <w:r>
        <w:rPr>
          <w:sz w:val="24"/>
          <w:szCs w:val="24"/>
        </w:rPr>
        <w:t>applies</w:t>
      </w:r>
      <w:r w:rsidRPr="00D24CAC">
        <w:rPr>
          <w:sz w:val="24"/>
          <w:szCs w:val="24"/>
        </w:rPr>
        <w:t xml:space="preserve"> to newly discovered evidence </w:t>
      </w:r>
      <w:r>
        <w:rPr>
          <w:sz w:val="24"/>
          <w:szCs w:val="24"/>
        </w:rPr>
        <w:t>after a plea offer expires</w:t>
      </w:r>
      <w:r w:rsidRPr="00D24CAC">
        <w:rPr>
          <w:sz w:val="24"/>
          <w:szCs w:val="24"/>
        </w:rPr>
        <w:t xml:space="preserve">.  Ultimately, this Court states that to avoid </w:t>
      </w:r>
      <w:r>
        <w:rPr>
          <w:sz w:val="24"/>
          <w:szCs w:val="24"/>
        </w:rPr>
        <w:t xml:space="preserve">Rule 15.8 </w:t>
      </w:r>
      <w:r w:rsidRPr="00D24CAC">
        <w:rPr>
          <w:sz w:val="24"/>
          <w:szCs w:val="24"/>
        </w:rPr>
        <w:t>sanctions, the State must make supplemental disclosures under Rule 15.6 before the deadline expires</w:t>
      </w:r>
      <w:r>
        <w:rPr>
          <w:sz w:val="24"/>
          <w:szCs w:val="24"/>
        </w:rPr>
        <w:t xml:space="preserve">.  </w:t>
      </w:r>
      <w:r w:rsidRPr="00D24CAC">
        <w:rPr>
          <w:sz w:val="24"/>
          <w:szCs w:val="24"/>
          <w:u w:val="single"/>
        </w:rPr>
        <w:t>Id.</w:t>
      </w:r>
      <w:r w:rsidRPr="00D24CAC">
        <w:rPr>
          <w:sz w:val="24"/>
          <w:szCs w:val="24"/>
        </w:rPr>
        <w:t xml:space="preserve"> at ¶</w:t>
      </w:r>
      <w:r>
        <w:rPr>
          <w:sz w:val="24"/>
          <w:szCs w:val="24"/>
        </w:rPr>
        <w:t xml:space="preserve"> 16.  </w:t>
      </w:r>
      <w:r w:rsidRPr="00D24CAC">
        <w:rPr>
          <w:sz w:val="24"/>
          <w:szCs w:val="24"/>
        </w:rPr>
        <w:t xml:space="preserve">This </w:t>
      </w:r>
      <w:r>
        <w:rPr>
          <w:sz w:val="24"/>
          <w:szCs w:val="24"/>
        </w:rPr>
        <w:t>pronouncement</w:t>
      </w:r>
      <w:r w:rsidRPr="00D24CAC">
        <w:rPr>
          <w:sz w:val="24"/>
          <w:szCs w:val="24"/>
        </w:rPr>
        <w:t xml:space="preserve"> combined with the comment to Rule 15.8 regarding newly discovered evidence certainly lead</w:t>
      </w:r>
      <w:r>
        <w:rPr>
          <w:sz w:val="24"/>
          <w:szCs w:val="24"/>
        </w:rPr>
        <w:t>s</w:t>
      </w:r>
      <w:r w:rsidRPr="00D24CAC">
        <w:rPr>
          <w:sz w:val="24"/>
          <w:szCs w:val="24"/>
        </w:rPr>
        <w:t xml:space="preserve"> to the conclusion that the State’s original concerns about having to keep offers open indefinitely are absolutely justified.  </w:t>
      </w:r>
    </w:p>
    <w:p w:rsidR="00630BFE" w:rsidRPr="00D24CAC" w:rsidRDefault="00630BFE" w:rsidP="00630BFE">
      <w:pPr>
        <w:pStyle w:val="FootnoteText"/>
        <w:jc w:val="both"/>
        <w:rPr>
          <w:sz w:val="24"/>
          <w:szCs w:val="24"/>
          <w:vertAlign w:val="superscript"/>
        </w:rPr>
      </w:pPr>
    </w:p>
  </w:footnote>
  <w:footnote w:id="3">
    <w:p w:rsidR="00630BFE" w:rsidRPr="001E0F70" w:rsidRDefault="00630BFE" w:rsidP="00630BFE">
      <w:pPr>
        <w:pStyle w:val="FootnoteText"/>
      </w:pPr>
      <w:r w:rsidRPr="00191245">
        <w:rPr>
          <w:rStyle w:val="FootnoteReference"/>
          <w:vertAlign w:val="superscript"/>
        </w:rPr>
        <w:footnoteRef/>
      </w:r>
      <w:r w:rsidRPr="00191245">
        <w:rPr>
          <w:vertAlign w:val="superscript"/>
        </w:rPr>
        <w:t xml:space="preserve"> </w:t>
      </w:r>
      <w:r w:rsidRPr="00D24CAC">
        <w:rPr>
          <w:sz w:val="24"/>
          <w:szCs w:val="24"/>
          <w:u w:val="single"/>
        </w:rPr>
        <w:t>See</w:t>
      </w:r>
      <w:r w:rsidRPr="00D24CAC">
        <w:rPr>
          <w:sz w:val="24"/>
          <w:szCs w:val="24"/>
        </w:rPr>
        <w:t xml:space="preserve"> </w:t>
      </w:r>
      <w:r w:rsidRPr="00D24CAC">
        <w:rPr>
          <w:sz w:val="24"/>
          <w:szCs w:val="24"/>
          <w:u w:val="single"/>
        </w:rPr>
        <w:t>State v. Donald</w:t>
      </w:r>
      <w:r w:rsidRPr="00D24CAC">
        <w:rPr>
          <w:sz w:val="24"/>
          <w:szCs w:val="24"/>
        </w:rPr>
        <w:t>, 198 Ariz. 406, 10 P.3d 1193 (App. 2000).</w:t>
      </w:r>
    </w:p>
  </w:footnote>
  <w:footnote w:id="4">
    <w:p w:rsidR="00630BFE" w:rsidRDefault="00630BFE" w:rsidP="00630BFE">
      <w:pPr>
        <w:pStyle w:val="FootnoteText"/>
        <w:jc w:val="both"/>
        <w:rPr>
          <w:sz w:val="24"/>
          <w:szCs w:val="24"/>
        </w:rPr>
      </w:pPr>
      <w:r w:rsidRPr="008E02CF">
        <w:rPr>
          <w:rStyle w:val="FootnoteReference"/>
          <w:vertAlign w:val="superscript"/>
        </w:rPr>
        <w:footnoteRef/>
      </w:r>
      <w:r w:rsidRPr="008E02CF">
        <w:rPr>
          <w:vertAlign w:val="superscript"/>
        </w:rPr>
        <w:t xml:space="preserve"> </w:t>
      </w:r>
      <w:r>
        <w:rPr>
          <w:vertAlign w:val="superscript"/>
        </w:rPr>
        <w:t xml:space="preserve"> </w:t>
      </w:r>
      <w:r>
        <w:rPr>
          <w:sz w:val="24"/>
          <w:szCs w:val="24"/>
        </w:rPr>
        <w:t>Upon request, the MCAO can provide examples of letters from inmates awaiting trial and transcripts of their jail calls which detail some defendants’ efforts to intimate witnesses or otherwise illegally interfere with the State’s efforts to bring them to justice.</w:t>
      </w:r>
    </w:p>
    <w:p w:rsidR="00630BFE" w:rsidRPr="008E02CF" w:rsidRDefault="00630BFE" w:rsidP="00630BFE">
      <w:pPr>
        <w:pStyle w:val="FootnoteText"/>
        <w:jc w:val="both"/>
        <w:rPr>
          <w:sz w:val="24"/>
          <w:szCs w:val="24"/>
        </w:rPr>
      </w:pPr>
    </w:p>
  </w:footnote>
  <w:footnote w:id="5">
    <w:p w:rsidR="00630BFE" w:rsidRPr="00E403D6" w:rsidRDefault="00630BFE" w:rsidP="00630BFE">
      <w:pPr>
        <w:pStyle w:val="FootnoteText"/>
        <w:jc w:val="both"/>
        <w:rPr>
          <w:sz w:val="24"/>
          <w:szCs w:val="24"/>
        </w:rPr>
      </w:pPr>
      <w:r w:rsidRPr="00F77D73">
        <w:rPr>
          <w:rStyle w:val="FootnoteReference"/>
          <w:vertAlign w:val="superscript"/>
        </w:rPr>
        <w:footnoteRef/>
      </w:r>
      <w:r w:rsidRPr="00F77D73">
        <w:rPr>
          <w:vertAlign w:val="superscript"/>
        </w:rPr>
        <w:t xml:space="preserve"> </w:t>
      </w:r>
      <w:r>
        <w:rPr>
          <w:vertAlign w:val="superscript"/>
        </w:rPr>
        <w:t xml:space="preserve"> </w:t>
      </w:r>
      <w:r w:rsidRPr="00E403D6">
        <w:rPr>
          <w:sz w:val="24"/>
          <w:szCs w:val="24"/>
        </w:rPr>
        <w:t xml:space="preserve">In a recent case in Maricopa County the defendant was charged with Unlawful Flight.  While the case was pending, </w:t>
      </w:r>
      <w:r>
        <w:rPr>
          <w:sz w:val="24"/>
          <w:szCs w:val="24"/>
        </w:rPr>
        <w:t xml:space="preserve">but before the plea deadline passed, </w:t>
      </w:r>
      <w:r w:rsidRPr="00E403D6">
        <w:rPr>
          <w:sz w:val="24"/>
          <w:szCs w:val="24"/>
        </w:rPr>
        <w:t>the defendant pled guilty in city court to a misdemeanor driving infraction arising from the same incident.  His defense in the felony case was that he was not the driver – a claim that was completely disproven by his admission in city court.  Eventually</w:t>
      </w:r>
      <w:r>
        <w:rPr>
          <w:sz w:val="24"/>
          <w:szCs w:val="24"/>
        </w:rPr>
        <w:t xml:space="preserve">, after the plea deadline passed, </w:t>
      </w:r>
      <w:r w:rsidRPr="00E403D6">
        <w:rPr>
          <w:sz w:val="24"/>
          <w:szCs w:val="24"/>
        </w:rPr>
        <w:t xml:space="preserve">the State learned of this plea and disclosed the </w:t>
      </w:r>
      <w:r>
        <w:rPr>
          <w:sz w:val="24"/>
          <w:szCs w:val="24"/>
        </w:rPr>
        <w:t xml:space="preserve">admission </w:t>
      </w:r>
      <w:r w:rsidRPr="00E403D6">
        <w:rPr>
          <w:sz w:val="24"/>
          <w:szCs w:val="24"/>
        </w:rPr>
        <w:t xml:space="preserve">as one it intended to use in the defendant’s trial.  Predictably, the defense claimed a Rule 15.8 </w:t>
      </w:r>
      <w:r>
        <w:rPr>
          <w:sz w:val="24"/>
          <w:szCs w:val="24"/>
        </w:rPr>
        <w:t>“</w:t>
      </w:r>
      <w:r w:rsidRPr="00E403D6">
        <w:rPr>
          <w:sz w:val="24"/>
          <w:szCs w:val="24"/>
        </w:rPr>
        <w:t>violation</w:t>
      </w:r>
      <w:r>
        <w:rPr>
          <w:sz w:val="24"/>
          <w:szCs w:val="24"/>
        </w:rPr>
        <w:t>”</w:t>
      </w:r>
      <w:r w:rsidRPr="00E403D6">
        <w:rPr>
          <w:sz w:val="24"/>
          <w:szCs w:val="24"/>
        </w:rPr>
        <w:t xml:space="preserve"> and argued </w:t>
      </w:r>
      <w:r>
        <w:rPr>
          <w:sz w:val="24"/>
          <w:szCs w:val="24"/>
        </w:rPr>
        <w:t xml:space="preserve">first for dismissal and in the alternative </w:t>
      </w:r>
      <w:r w:rsidRPr="00E403D6">
        <w:rPr>
          <w:sz w:val="24"/>
          <w:szCs w:val="24"/>
        </w:rPr>
        <w:t>for suppression if the now lapsed offer was not re-extended.  In his email exchange with the prosecutor, defense counsel argued, “It’s not like we’re supposed to anticipate what information you’ve gathered and decide whether to take a plea based on what we guess you have.”  This statement is a clear acknowledgement that the Rule has nothing to do with encouraging a truth-seeking process and everything to do with playing games because the defendant clearly hoped the State would not discover his city court plea which would allow him to try and dupe the jury at trial into believing that he was not driving.  When the</w:t>
      </w:r>
      <w:r>
        <w:rPr>
          <w:sz w:val="24"/>
          <w:szCs w:val="24"/>
        </w:rPr>
        <w:t xml:space="preserve"> plan failed, the defense then turned</w:t>
      </w:r>
      <w:r w:rsidRPr="00E403D6">
        <w:rPr>
          <w:sz w:val="24"/>
          <w:szCs w:val="24"/>
        </w:rPr>
        <w:t xml:space="preserve"> to the courts to attempt to get relief that was clearly unwarranted.  The defense attorney continued, “I am more than happy to litigate this if that’s what you want, but the reason I’m discussing it with you is because it doesn’t seem like a very close call – the plea expired without disclosing his admission to driving . . ..”  The defense argument that Rule 15.8 mandated the offer or suppression because the State did not disclose the defendant’s own admission in open court highlights the kind of gamesmanship and wasted litigation the Rule has caused.</w:t>
      </w:r>
    </w:p>
  </w:footnote>
  <w:footnote w:id="6">
    <w:p w:rsidR="00630BFE" w:rsidRDefault="00630BFE" w:rsidP="00630BFE">
      <w:pPr>
        <w:pStyle w:val="FootnoteText"/>
        <w:keepLines/>
        <w:jc w:val="both"/>
      </w:pPr>
      <w:r w:rsidRPr="007A34F8">
        <w:rPr>
          <w:rStyle w:val="FootnoteReference"/>
          <w:vertAlign w:val="superscript"/>
        </w:rPr>
        <w:footnoteRef/>
      </w:r>
      <w:r>
        <w:t xml:space="preserve"> </w:t>
      </w:r>
      <w:r w:rsidRPr="00204311">
        <w:rPr>
          <w:sz w:val="24"/>
          <w:szCs w:val="24"/>
        </w:rPr>
        <w:t xml:space="preserve">Because the intent of Rule 15.8 is to give the </w:t>
      </w:r>
      <w:r>
        <w:rPr>
          <w:sz w:val="24"/>
          <w:szCs w:val="24"/>
        </w:rPr>
        <w:t>J</w:t>
      </w:r>
      <w:r w:rsidRPr="00204311">
        <w:rPr>
          <w:sz w:val="24"/>
          <w:szCs w:val="24"/>
        </w:rPr>
        <w:t xml:space="preserve">udicial </w:t>
      </w:r>
      <w:r>
        <w:rPr>
          <w:sz w:val="24"/>
          <w:szCs w:val="24"/>
        </w:rPr>
        <w:t>B</w:t>
      </w:r>
      <w:r w:rsidRPr="00204311">
        <w:rPr>
          <w:sz w:val="24"/>
          <w:szCs w:val="24"/>
        </w:rPr>
        <w:t xml:space="preserve">ranch the power to force the </w:t>
      </w:r>
      <w:r>
        <w:rPr>
          <w:sz w:val="24"/>
          <w:szCs w:val="24"/>
        </w:rPr>
        <w:t>E</w:t>
      </w:r>
      <w:r w:rsidRPr="00204311">
        <w:rPr>
          <w:sz w:val="24"/>
          <w:szCs w:val="24"/>
        </w:rPr>
        <w:t xml:space="preserve">xecutive </w:t>
      </w:r>
      <w:r>
        <w:rPr>
          <w:sz w:val="24"/>
          <w:szCs w:val="24"/>
        </w:rPr>
        <w:t>B</w:t>
      </w:r>
      <w:r w:rsidRPr="00204311">
        <w:rPr>
          <w:sz w:val="24"/>
          <w:szCs w:val="24"/>
        </w:rPr>
        <w:t xml:space="preserve">ranch to do something it clearly does not want to do – return an expired plea agreement – the sanction had to be severe or the </w:t>
      </w:r>
      <w:r>
        <w:rPr>
          <w:sz w:val="24"/>
          <w:szCs w:val="24"/>
        </w:rPr>
        <w:t>E</w:t>
      </w:r>
      <w:r w:rsidRPr="00204311">
        <w:rPr>
          <w:sz w:val="24"/>
          <w:szCs w:val="24"/>
        </w:rPr>
        <w:t xml:space="preserve">xecutive might ignore the </w:t>
      </w:r>
      <w:r>
        <w:rPr>
          <w:sz w:val="24"/>
          <w:szCs w:val="24"/>
        </w:rPr>
        <w:t>J</w:t>
      </w:r>
      <w:r w:rsidRPr="00204311">
        <w:rPr>
          <w:sz w:val="24"/>
          <w:szCs w:val="24"/>
        </w:rPr>
        <w:t xml:space="preserve">udiciary’s demands.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F9" w:rsidRDefault="005731F9">
    <w:pPr>
      <w:tabs>
        <w:tab w:val="right" w:pos="-288"/>
      </w:tabs>
      <w:spacing w:line="240" w:lineRule="exact"/>
      <w:ind w:left="-720" w:right="576"/>
      <w:jc w:val="both"/>
      <w:rPr>
        <w:rFonts w:ascii="Humanst521 Lt BT" w:hAnsi="Humanst521 Lt BT"/>
        <w:b/>
      </w:rPr>
    </w:pPr>
    <w:r>
      <w:rPr>
        <w:noProof/>
        <w:snapToGrid/>
      </w:rPr>
      <mc:AlternateContent>
        <mc:Choice Requires="wps">
          <w:drawing>
            <wp:anchor distT="0" distB="0" distL="114300" distR="114300" simplePos="0" relativeHeight="251656704" behindDoc="1" locked="1" layoutInCell="0" allowOverlap="1" wp14:anchorId="4217D057" wp14:editId="26A06C67">
              <wp:simplePos x="0" y="0"/>
              <wp:positionH relativeFrom="page">
                <wp:posOffset>777240</wp:posOffset>
              </wp:positionH>
              <wp:positionV relativeFrom="page">
                <wp:posOffset>182880</wp:posOffset>
              </wp:positionV>
              <wp:extent cx="5715" cy="961898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961898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61.2pt;margin-top:14.4pt;width:.45pt;height:757.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" o:allowincell="f" fillcolor="black" stroked="f" strokeweight="0">
              <w10:wrap anchorx="page" anchory="page"/>
              <w10:anchorlock/>
            </v:rect>
          </w:pict>
        </mc:Fallback>
      </mc:AlternateContent>
    </w:r>
    <w:r>
      <w:rPr>
        <w:noProof/>
        <w:snapToGrid/>
      </w:rPr>
      <mc:AlternateContent>
        <mc:Choice Requires="wps">
          <w:drawing>
            <wp:anchor distT="0" distB="0" distL="114300" distR="114300" simplePos="0" relativeHeight="251657728" behindDoc="1" locked="1" layoutInCell="0" allowOverlap="1" wp14:anchorId="736B7A3D" wp14:editId="7D3D79A8">
              <wp:simplePos x="0" y="0"/>
              <wp:positionH relativeFrom="page">
                <wp:posOffset>813435</wp:posOffset>
              </wp:positionH>
              <wp:positionV relativeFrom="page">
                <wp:posOffset>182880</wp:posOffset>
              </wp:positionV>
              <wp:extent cx="5715" cy="961898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961898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64.05pt;margin-top:14.4pt;width:.45pt;height:757.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" o:allowincell="f" fillcolor="black" stroked="f" strokeweight="0">
              <w10:wrap anchorx="page" anchory="page"/>
              <w10:anchorlock/>
            </v:rect>
          </w:pict>
        </mc:Fallback>
      </mc:AlternateContent>
    </w:r>
    <w:r>
      <w:rPr>
        <w:noProof/>
        <w:snapToGrid/>
      </w:rPr>
      <mc:AlternateContent>
        <mc:Choice Requires="wps">
          <w:drawing>
            <wp:anchor distT="0" distB="0" distL="114300" distR="114300" simplePos="0" relativeHeight="251658752" behindDoc="1" locked="1" layoutInCell="0" allowOverlap="1" wp14:anchorId="3A7119D8" wp14:editId="1FF93808">
              <wp:simplePos x="0" y="0"/>
              <wp:positionH relativeFrom="page">
                <wp:posOffset>7315200</wp:posOffset>
              </wp:positionH>
              <wp:positionV relativeFrom="page">
                <wp:posOffset>182880</wp:posOffset>
              </wp:positionV>
              <wp:extent cx="5715" cy="961898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961898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8in;margin-top:14.4pt;width:.45pt;height:757.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" o:allowincell="f" fillcolor="black" stroked="f" strokeweight="0">
              <w10:wrap anchorx="page" anchory="page"/>
              <w10:anchorlock/>
            </v:rect>
          </w:pict>
        </mc:Fallback>
      </mc:AlternateContent>
    </w:r>
  </w:p>
  <w:p w:rsidR="005731F9" w:rsidRDefault="005731F9">
    <w:pPr>
      <w:tabs>
        <w:tab w:val="right" w:pos="-288"/>
      </w:tabs>
      <w:spacing w:line="240" w:lineRule="exact"/>
      <w:ind w:left="-720" w:right="576"/>
      <w:jc w:val="both"/>
      <w:rPr>
        <w:rFonts w:ascii="Humanst521 Lt BT" w:hAnsi="Humanst521 Lt BT"/>
        <w:b/>
      </w:rPr>
    </w:pPr>
  </w:p>
  <w:p w:rsidR="005731F9" w:rsidRPr="00286C2D" w:rsidRDefault="005731F9">
    <w:pPr>
      <w:tabs>
        <w:tab w:val="right" w:pos="-288"/>
      </w:tabs>
      <w:spacing w:line="240" w:lineRule="exact"/>
      <w:ind w:left="-720" w:right="576"/>
      <w:jc w:val="both"/>
      <w:rPr>
        <w:rFonts w:ascii="Humanst521 Lt BT" w:hAnsi="Humanst521 Lt BT"/>
      </w:rPr>
    </w:pPr>
    <w:r>
      <w:rPr>
        <w:rFonts w:ascii="Humanst521 Lt BT" w:hAnsi="Humanst521 Lt BT"/>
        <w:b/>
      </w:rPr>
      <w:tab/>
      <w:t>1</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3</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4</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5</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6</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7</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8</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9</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10</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11</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12</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13</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14</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15</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16</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17</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18</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19</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20</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21</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22</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23</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24</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25</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26</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27</w:t>
    </w:r>
  </w:p>
  <w:p w:rsidR="005731F9" w:rsidRDefault="005731F9">
    <w:pPr>
      <w:tabs>
        <w:tab w:val="right" w:pos="-288"/>
      </w:tabs>
      <w:spacing w:line="240" w:lineRule="exact"/>
      <w:ind w:left="-720" w:right="576"/>
      <w:jc w:val="both"/>
      <w:rPr>
        <w:rFonts w:ascii="Humanst521 Lt BT" w:hAnsi="Humanst521 Lt BT"/>
        <w:b/>
      </w:rPr>
    </w:pPr>
  </w:p>
  <w:p w:rsidR="005731F9" w:rsidRDefault="005731F9">
    <w:pPr>
      <w:tabs>
        <w:tab w:val="right" w:pos="-288"/>
      </w:tabs>
      <w:spacing w:line="240" w:lineRule="exact"/>
      <w:ind w:left="-720" w:right="576"/>
      <w:jc w:val="both"/>
      <w:rPr>
        <w:rFonts w:ascii="Humanst521 Lt BT" w:hAnsi="Humanst521 Lt BT"/>
        <w:b/>
      </w:rPr>
    </w:pPr>
    <w:r>
      <w:rPr>
        <w:rFonts w:ascii="Humanst521 Lt BT" w:hAnsi="Humanst521 Lt BT"/>
        <w:b/>
      </w:rPr>
      <w:tab/>
      <w:t>28</w:t>
    </w:r>
  </w:p>
  <w:p w:rsidR="005731F9" w:rsidRDefault="005731F9">
    <w:pPr>
      <w:spacing w:line="240" w:lineRule="exact"/>
      <w:rPr>
        <w:rFonts w:ascii="Humanst521 Lt BT" w:hAnsi="Humanst521 Lt BT"/>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D5E2F"/>
    <w:multiLevelType w:val="singleLevel"/>
    <w:tmpl w:val="E8A2519C"/>
    <w:lvl w:ilvl="0">
      <w:start w:val="1"/>
      <w:numFmt w:val="upperLetter"/>
      <w:lvlText w:val="%1."/>
      <w:lvlJc w:val="left"/>
      <w:pPr>
        <w:tabs>
          <w:tab w:val="num" w:pos="1161"/>
        </w:tabs>
        <w:ind w:left="1161" w:hanging="585"/>
      </w:pPr>
      <w:rPr>
        <w:rFonts w:hint="default"/>
      </w:rPr>
    </w:lvl>
  </w:abstractNum>
  <w:abstractNum w:abstractNumId="1">
    <w:nsid w:val="17E13997"/>
    <w:multiLevelType w:val="singleLevel"/>
    <w:tmpl w:val="0492C2AE"/>
    <w:lvl w:ilvl="0">
      <w:start w:val="3"/>
      <w:numFmt w:val="lowerLetter"/>
      <w:lvlText w:val="(%1)"/>
      <w:lvlJc w:val="left"/>
      <w:pPr>
        <w:tabs>
          <w:tab w:val="num" w:pos="1161"/>
        </w:tabs>
        <w:ind w:left="1161" w:hanging="585"/>
      </w:pPr>
      <w:rPr>
        <w:rFonts w:hint="default"/>
      </w:rPr>
    </w:lvl>
  </w:abstractNum>
  <w:abstractNum w:abstractNumId="2">
    <w:nsid w:val="215735AD"/>
    <w:multiLevelType w:val="singleLevel"/>
    <w:tmpl w:val="D6DC657A"/>
    <w:lvl w:ilvl="0">
      <w:start w:val="1"/>
      <w:numFmt w:val="decimal"/>
      <w:lvlText w:val="(%1)"/>
      <w:lvlJc w:val="left"/>
      <w:pPr>
        <w:tabs>
          <w:tab w:val="num" w:pos="1731"/>
        </w:tabs>
        <w:ind w:left="1731" w:hanging="570"/>
      </w:pPr>
      <w:rPr>
        <w:rFonts w:hint="default"/>
      </w:rPr>
    </w:lvl>
  </w:abstractNum>
  <w:abstractNum w:abstractNumId="3">
    <w:nsid w:val="34043ACE"/>
    <w:multiLevelType w:val="multilevel"/>
    <w:tmpl w:val="41D29D80"/>
    <w:lvl w:ilvl="0">
      <w:start w:val="1"/>
      <w:numFmt w:val="upperLetter"/>
      <w:lvlText w:val="(%1)"/>
      <w:lvlJc w:val="left"/>
      <w:pPr>
        <w:tabs>
          <w:tab w:val="num" w:pos="1110"/>
        </w:tabs>
        <w:ind w:left="1110" w:hanging="3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350E122D"/>
    <w:multiLevelType w:val="hybridMultilevel"/>
    <w:tmpl w:val="9B4C3542"/>
    <w:lvl w:ilvl="0" w:tplc="59D81A26">
      <w:start w:val="2"/>
      <w:numFmt w:val="upperLetter"/>
      <w:lvlText w:val="%1."/>
      <w:lvlJc w:val="left"/>
      <w:pPr>
        <w:tabs>
          <w:tab w:val="num" w:pos="720"/>
        </w:tabs>
        <w:ind w:left="720" w:hanging="360"/>
      </w:pPr>
      <w:rPr>
        <w:rFonts w:hint="default"/>
      </w:rPr>
    </w:lvl>
    <w:lvl w:ilvl="1" w:tplc="9956DDAC" w:tentative="1">
      <w:start w:val="1"/>
      <w:numFmt w:val="lowerLetter"/>
      <w:lvlText w:val="%2."/>
      <w:lvlJc w:val="left"/>
      <w:pPr>
        <w:tabs>
          <w:tab w:val="num" w:pos="1440"/>
        </w:tabs>
        <w:ind w:left="1440" w:hanging="360"/>
      </w:pPr>
    </w:lvl>
    <w:lvl w:ilvl="2" w:tplc="A5D676A0" w:tentative="1">
      <w:start w:val="1"/>
      <w:numFmt w:val="lowerRoman"/>
      <w:lvlText w:val="%3."/>
      <w:lvlJc w:val="right"/>
      <w:pPr>
        <w:tabs>
          <w:tab w:val="num" w:pos="2160"/>
        </w:tabs>
        <w:ind w:left="2160" w:hanging="180"/>
      </w:pPr>
    </w:lvl>
    <w:lvl w:ilvl="3" w:tplc="4E56BC08" w:tentative="1">
      <w:start w:val="1"/>
      <w:numFmt w:val="decimal"/>
      <w:lvlText w:val="%4."/>
      <w:lvlJc w:val="left"/>
      <w:pPr>
        <w:tabs>
          <w:tab w:val="num" w:pos="2880"/>
        </w:tabs>
        <w:ind w:left="2880" w:hanging="360"/>
      </w:pPr>
    </w:lvl>
    <w:lvl w:ilvl="4" w:tplc="015A24EC" w:tentative="1">
      <w:start w:val="1"/>
      <w:numFmt w:val="lowerLetter"/>
      <w:lvlText w:val="%5."/>
      <w:lvlJc w:val="left"/>
      <w:pPr>
        <w:tabs>
          <w:tab w:val="num" w:pos="3600"/>
        </w:tabs>
        <w:ind w:left="3600" w:hanging="360"/>
      </w:pPr>
    </w:lvl>
    <w:lvl w:ilvl="5" w:tplc="FB2C5510" w:tentative="1">
      <w:start w:val="1"/>
      <w:numFmt w:val="lowerRoman"/>
      <w:lvlText w:val="%6."/>
      <w:lvlJc w:val="right"/>
      <w:pPr>
        <w:tabs>
          <w:tab w:val="num" w:pos="4320"/>
        </w:tabs>
        <w:ind w:left="4320" w:hanging="180"/>
      </w:pPr>
    </w:lvl>
    <w:lvl w:ilvl="6" w:tplc="ABD69B8A" w:tentative="1">
      <w:start w:val="1"/>
      <w:numFmt w:val="decimal"/>
      <w:lvlText w:val="%7."/>
      <w:lvlJc w:val="left"/>
      <w:pPr>
        <w:tabs>
          <w:tab w:val="num" w:pos="5040"/>
        </w:tabs>
        <w:ind w:left="5040" w:hanging="360"/>
      </w:pPr>
    </w:lvl>
    <w:lvl w:ilvl="7" w:tplc="9AC29FE2" w:tentative="1">
      <w:start w:val="1"/>
      <w:numFmt w:val="lowerLetter"/>
      <w:lvlText w:val="%8."/>
      <w:lvlJc w:val="left"/>
      <w:pPr>
        <w:tabs>
          <w:tab w:val="num" w:pos="5760"/>
        </w:tabs>
        <w:ind w:left="5760" w:hanging="360"/>
      </w:pPr>
    </w:lvl>
    <w:lvl w:ilvl="8" w:tplc="30F695AE" w:tentative="1">
      <w:start w:val="1"/>
      <w:numFmt w:val="lowerRoman"/>
      <w:lvlText w:val="%9."/>
      <w:lvlJc w:val="right"/>
      <w:pPr>
        <w:tabs>
          <w:tab w:val="num" w:pos="6480"/>
        </w:tabs>
        <w:ind w:left="6480" w:hanging="180"/>
      </w:pPr>
    </w:lvl>
  </w:abstractNum>
  <w:abstractNum w:abstractNumId="5">
    <w:nsid w:val="3C6C2EC4"/>
    <w:multiLevelType w:val="singleLevel"/>
    <w:tmpl w:val="B576F3C2"/>
    <w:lvl w:ilvl="0">
      <w:start w:val="15"/>
      <w:numFmt w:val="decimal"/>
      <w:lvlText w:val="%1."/>
      <w:lvlJc w:val="left"/>
      <w:pPr>
        <w:tabs>
          <w:tab w:val="num" w:pos="1356"/>
        </w:tabs>
        <w:ind w:left="1356" w:hanging="780"/>
      </w:pPr>
      <w:rPr>
        <w:rFonts w:hint="default"/>
      </w:rPr>
    </w:lvl>
  </w:abstractNum>
  <w:abstractNum w:abstractNumId="6">
    <w:nsid w:val="40925B7E"/>
    <w:multiLevelType w:val="hybridMultilevel"/>
    <w:tmpl w:val="1F4609C0"/>
    <w:lvl w:ilvl="0" w:tplc="C1EAE560">
      <w:start w:val="2"/>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0621064"/>
    <w:multiLevelType w:val="singleLevel"/>
    <w:tmpl w:val="0A5E31B4"/>
    <w:lvl w:ilvl="0">
      <w:start w:val="4"/>
      <w:numFmt w:val="upperLetter"/>
      <w:lvlText w:val="%1."/>
      <w:lvlJc w:val="left"/>
      <w:pPr>
        <w:tabs>
          <w:tab w:val="num" w:pos="420"/>
        </w:tabs>
        <w:ind w:left="420" w:hanging="420"/>
      </w:pPr>
      <w:rPr>
        <w:rFonts w:hint="default"/>
      </w:rPr>
    </w:lvl>
  </w:abstractNum>
  <w:abstractNum w:abstractNumId="8">
    <w:nsid w:val="58B13740"/>
    <w:multiLevelType w:val="hybridMultilevel"/>
    <w:tmpl w:val="030640B8"/>
    <w:lvl w:ilvl="0" w:tplc="43B87336">
      <w:start w:val="1"/>
      <w:numFmt w:val="lowerLetter"/>
      <w:lvlText w:val="%1."/>
      <w:lvlJc w:val="left"/>
      <w:pPr>
        <w:tabs>
          <w:tab w:val="num" w:pos="1854"/>
        </w:tabs>
        <w:ind w:left="1854" w:hanging="630"/>
      </w:pPr>
      <w:rPr>
        <w:rFonts w:hint="default"/>
      </w:rPr>
    </w:lvl>
    <w:lvl w:ilvl="1" w:tplc="3D2C5524">
      <w:start w:val="1"/>
      <w:numFmt w:val="decimal"/>
      <w:lvlText w:val="(%2)"/>
      <w:lvlJc w:val="left"/>
      <w:pPr>
        <w:tabs>
          <w:tab w:val="num" w:pos="2529"/>
        </w:tabs>
        <w:ind w:left="2529" w:hanging="585"/>
      </w:pPr>
      <w:rPr>
        <w:rFonts w:hint="default"/>
        <w:b w:val="0"/>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9">
    <w:nsid w:val="5DA83126"/>
    <w:multiLevelType w:val="hybridMultilevel"/>
    <w:tmpl w:val="3D8C7E58"/>
    <w:lvl w:ilvl="0" w:tplc="1B8E953A">
      <w:start w:val="2"/>
      <w:numFmt w:val="upperLetter"/>
      <w:lvlText w:val="%1."/>
      <w:lvlJc w:val="left"/>
      <w:pPr>
        <w:tabs>
          <w:tab w:val="num" w:pos="720"/>
        </w:tabs>
        <w:ind w:left="720" w:hanging="360"/>
      </w:pPr>
      <w:rPr>
        <w:rFonts w:hint="default"/>
        <w:b w:val="0"/>
      </w:rPr>
    </w:lvl>
    <w:lvl w:ilvl="1" w:tplc="531820DA" w:tentative="1">
      <w:start w:val="1"/>
      <w:numFmt w:val="lowerLetter"/>
      <w:lvlText w:val="%2."/>
      <w:lvlJc w:val="left"/>
      <w:pPr>
        <w:tabs>
          <w:tab w:val="num" w:pos="1440"/>
        </w:tabs>
        <w:ind w:left="1440" w:hanging="360"/>
      </w:pPr>
    </w:lvl>
    <w:lvl w:ilvl="2" w:tplc="A5B6CDFC" w:tentative="1">
      <w:start w:val="1"/>
      <w:numFmt w:val="lowerRoman"/>
      <w:lvlText w:val="%3."/>
      <w:lvlJc w:val="right"/>
      <w:pPr>
        <w:tabs>
          <w:tab w:val="num" w:pos="2160"/>
        </w:tabs>
        <w:ind w:left="2160" w:hanging="180"/>
      </w:pPr>
    </w:lvl>
    <w:lvl w:ilvl="3" w:tplc="E1A4CEA2" w:tentative="1">
      <w:start w:val="1"/>
      <w:numFmt w:val="decimal"/>
      <w:lvlText w:val="%4."/>
      <w:lvlJc w:val="left"/>
      <w:pPr>
        <w:tabs>
          <w:tab w:val="num" w:pos="2880"/>
        </w:tabs>
        <w:ind w:left="2880" w:hanging="360"/>
      </w:pPr>
    </w:lvl>
    <w:lvl w:ilvl="4" w:tplc="BEA2F7DA" w:tentative="1">
      <w:start w:val="1"/>
      <w:numFmt w:val="lowerLetter"/>
      <w:lvlText w:val="%5."/>
      <w:lvlJc w:val="left"/>
      <w:pPr>
        <w:tabs>
          <w:tab w:val="num" w:pos="3600"/>
        </w:tabs>
        <w:ind w:left="3600" w:hanging="360"/>
      </w:pPr>
    </w:lvl>
    <w:lvl w:ilvl="5" w:tplc="296EA9DC" w:tentative="1">
      <w:start w:val="1"/>
      <w:numFmt w:val="lowerRoman"/>
      <w:lvlText w:val="%6."/>
      <w:lvlJc w:val="right"/>
      <w:pPr>
        <w:tabs>
          <w:tab w:val="num" w:pos="4320"/>
        </w:tabs>
        <w:ind w:left="4320" w:hanging="180"/>
      </w:pPr>
    </w:lvl>
    <w:lvl w:ilvl="6" w:tplc="E63E8164" w:tentative="1">
      <w:start w:val="1"/>
      <w:numFmt w:val="decimal"/>
      <w:lvlText w:val="%7."/>
      <w:lvlJc w:val="left"/>
      <w:pPr>
        <w:tabs>
          <w:tab w:val="num" w:pos="5040"/>
        </w:tabs>
        <w:ind w:left="5040" w:hanging="360"/>
      </w:pPr>
    </w:lvl>
    <w:lvl w:ilvl="7" w:tplc="50F2B1C2" w:tentative="1">
      <w:start w:val="1"/>
      <w:numFmt w:val="lowerLetter"/>
      <w:lvlText w:val="%8."/>
      <w:lvlJc w:val="left"/>
      <w:pPr>
        <w:tabs>
          <w:tab w:val="num" w:pos="5760"/>
        </w:tabs>
        <w:ind w:left="5760" w:hanging="360"/>
      </w:pPr>
    </w:lvl>
    <w:lvl w:ilvl="8" w:tplc="F7286E90" w:tentative="1">
      <w:start w:val="1"/>
      <w:numFmt w:val="lowerRoman"/>
      <w:lvlText w:val="%9."/>
      <w:lvlJc w:val="right"/>
      <w:pPr>
        <w:tabs>
          <w:tab w:val="num" w:pos="6480"/>
        </w:tabs>
        <w:ind w:left="6480" w:hanging="180"/>
      </w:pPr>
    </w:lvl>
  </w:abstractNum>
  <w:abstractNum w:abstractNumId="10">
    <w:nsid w:val="72E17D5C"/>
    <w:multiLevelType w:val="hybridMultilevel"/>
    <w:tmpl w:val="FDF2DB3A"/>
    <w:lvl w:ilvl="0" w:tplc="0DE8C3B8">
      <w:start w:val="5"/>
      <w:numFmt w:val="upperLetter"/>
      <w:lvlText w:val="%1."/>
      <w:lvlJc w:val="left"/>
      <w:pPr>
        <w:tabs>
          <w:tab w:val="num" w:pos="2700"/>
        </w:tabs>
        <w:ind w:left="2700" w:hanging="12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74E65FED"/>
    <w:multiLevelType w:val="hybridMultilevel"/>
    <w:tmpl w:val="A3EE7EDC"/>
    <w:lvl w:ilvl="0" w:tplc="1736C538">
      <w:start w:val="6"/>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75E6555C"/>
    <w:multiLevelType w:val="multilevel"/>
    <w:tmpl w:val="D87802A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5"/>
  </w:num>
  <w:num w:numId="5">
    <w:abstractNumId w:val="7"/>
  </w:num>
  <w:num w:numId="6">
    <w:abstractNumId w:val="9"/>
  </w:num>
  <w:num w:numId="7">
    <w:abstractNumId w:val="4"/>
  </w:num>
  <w:num w:numId="8">
    <w:abstractNumId w:val="12"/>
  </w:num>
  <w:num w:numId="9">
    <w:abstractNumId w:val="3"/>
  </w:num>
  <w:num w:numId="10">
    <w:abstractNumId w:val="8"/>
  </w:num>
  <w:num w:numId="11">
    <w:abstractNumId w:val="6"/>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AD0"/>
    <w:rsid w:val="00003B0A"/>
    <w:rsid w:val="00004AED"/>
    <w:rsid w:val="00014F75"/>
    <w:rsid w:val="00015DBC"/>
    <w:rsid w:val="00033D41"/>
    <w:rsid w:val="000356B6"/>
    <w:rsid w:val="0005219D"/>
    <w:rsid w:val="00057378"/>
    <w:rsid w:val="00062AD9"/>
    <w:rsid w:val="000753AD"/>
    <w:rsid w:val="00082237"/>
    <w:rsid w:val="00082C27"/>
    <w:rsid w:val="00091266"/>
    <w:rsid w:val="000A0038"/>
    <w:rsid w:val="000A300F"/>
    <w:rsid w:val="000A639F"/>
    <w:rsid w:val="000A6D9F"/>
    <w:rsid w:val="000C4C16"/>
    <w:rsid w:val="000C72BC"/>
    <w:rsid w:val="000D716F"/>
    <w:rsid w:val="000F36F2"/>
    <w:rsid w:val="000F694E"/>
    <w:rsid w:val="0011777E"/>
    <w:rsid w:val="00126AA1"/>
    <w:rsid w:val="001462C8"/>
    <w:rsid w:val="00151ED9"/>
    <w:rsid w:val="00160A0A"/>
    <w:rsid w:val="00164057"/>
    <w:rsid w:val="00172749"/>
    <w:rsid w:val="001802C6"/>
    <w:rsid w:val="00186E0B"/>
    <w:rsid w:val="00191245"/>
    <w:rsid w:val="001A0E11"/>
    <w:rsid w:val="001A7B95"/>
    <w:rsid w:val="001D258A"/>
    <w:rsid w:val="001D439F"/>
    <w:rsid w:val="001D52D3"/>
    <w:rsid w:val="001E0F70"/>
    <w:rsid w:val="001F129E"/>
    <w:rsid w:val="001F6E9C"/>
    <w:rsid w:val="00204311"/>
    <w:rsid w:val="002247CE"/>
    <w:rsid w:val="002344A9"/>
    <w:rsid w:val="00240AD0"/>
    <w:rsid w:val="00241C3C"/>
    <w:rsid w:val="00257717"/>
    <w:rsid w:val="002653B7"/>
    <w:rsid w:val="00273266"/>
    <w:rsid w:val="00286C2D"/>
    <w:rsid w:val="00291F6B"/>
    <w:rsid w:val="002921D0"/>
    <w:rsid w:val="00296C13"/>
    <w:rsid w:val="002A47F1"/>
    <w:rsid w:val="002B0E9C"/>
    <w:rsid w:val="002B7D2E"/>
    <w:rsid w:val="002C180E"/>
    <w:rsid w:val="002C701F"/>
    <w:rsid w:val="002C702F"/>
    <w:rsid w:val="002D22F7"/>
    <w:rsid w:val="002D704E"/>
    <w:rsid w:val="002F2A78"/>
    <w:rsid w:val="002F3EB1"/>
    <w:rsid w:val="002F499A"/>
    <w:rsid w:val="002F6763"/>
    <w:rsid w:val="00301B40"/>
    <w:rsid w:val="003126CC"/>
    <w:rsid w:val="00313306"/>
    <w:rsid w:val="003165C9"/>
    <w:rsid w:val="00330B95"/>
    <w:rsid w:val="00346990"/>
    <w:rsid w:val="00347143"/>
    <w:rsid w:val="003730DD"/>
    <w:rsid w:val="00375576"/>
    <w:rsid w:val="00375DCD"/>
    <w:rsid w:val="00375E59"/>
    <w:rsid w:val="00386A35"/>
    <w:rsid w:val="003968B9"/>
    <w:rsid w:val="003A0712"/>
    <w:rsid w:val="003C5EF8"/>
    <w:rsid w:val="003E181E"/>
    <w:rsid w:val="003F7BF8"/>
    <w:rsid w:val="004232F0"/>
    <w:rsid w:val="00427A2C"/>
    <w:rsid w:val="004363FF"/>
    <w:rsid w:val="00441BAE"/>
    <w:rsid w:val="00442AD2"/>
    <w:rsid w:val="004541F9"/>
    <w:rsid w:val="00466C3A"/>
    <w:rsid w:val="00480D6D"/>
    <w:rsid w:val="004851FD"/>
    <w:rsid w:val="0048535F"/>
    <w:rsid w:val="00494514"/>
    <w:rsid w:val="004A7039"/>
    <w:rsid w:val="004C3B70"/>
    <w:rsid w:val="004D370F"/>
    <w:rsid w:val="004D6B45"/>
    <w:rsid w:val="004F6F2A"/>
    <w:rsid w:val="00510B5B"/>
    <w:rsid w:val="00520524"/>
    <w:rsid w:val="00527E0D"/>
    <w:rsid w:val="00565A11"/>
    <w:rsid w:val="005667BB"/>
    <w:rsid w:val="00572D5C"/>
    <w:rsid w:val="005731F9"/>
    <w:rsid w:val="00580059"/>
    <w:rsid w:val="00582AF4"/>
    <w:rsid w:val="00583854"/>
    <w:rsid w:val="00585CC4"/>
    <w:rsid w:val="005B1D2E"/>
    <w:rsid w:val="005B31C7"/>
    <w:rsid w:val="005D0D0C"/>
    <w:rsid w:val="005E1399"/>
    <w:rsid w:val="005F3216"/>
    <w:rsid w:val="005F5F61"/>
    <w:rsid w:val="00601830"/>
    <w:rsid w:val="006027C0"/>
    <w:rsid w:val="00630BFE"/>
    <w:rsid w:val="00633330"/>
    <w:rsid w:val="00642713"/>
    <w:rsid w:val="0065463E"/>
    <w:rsid w:val="006619B2"/>
    <w:rsid w:val="00670578"/>
    <w:rsid w:val="006711C7"/>
    <w:rsid w:val="00675680"/>
    <w:rsid w:val="006A4196"/>
    <w:rsid w:val="006C6985"/>
    <w:rsid w:val="006D3B9E"/>
    <w:rsid w:val="006F39DA"/>
    <w:rsid w:val="007047C7"/>
    <w:rsid w:val="00716C98"/>
    <w:rsid w:val="00735BB8"/>
    <w:rsid w:val="0077164E"/>
    <w:rsid w:val="00783FD9"/>
    <w:rsid w:val="0079128E"/>
    <w:rsid w:val="007933C1"/>
    <w:rsid w:val="00794CD3"/>
    <w:rsid w:val="00795B80"/>
    <w:rsid w:val="007A34F8"/>
    <w:rsid w:val="007B2EB9"/>
    <w:rsid w:val="007C45E0"/>
    <w:rsid w:val="007D0F12"/>
    <w:rsid w:val="007D2663"/>
    <w:rsid w:val="007D500D"/>
    <w:rsid w:val="007F5B6D"/>
    <w:rsid w:val="00804992"/>
    <w:rsid w:val="00805275"/>
    <w:rsid w:val="00820924"/>
    <w:rsid w:val="00831EC9"/>
    <w:rsid w:val="00835F25"/>
    <w:rsid w:val="008455F6"/>
    <w:rsid w:val="00850C3E"/>
    <w:rsid w:val="00856BF0"/>
    <w:rsid w:val="00863148"/>
    <w:rsid w:val="008858DA"/>
    <w:rsid w:val="00891275"/>
    <w:rsid w:val="008A5C26"/>
    <w:rsid w:val="008A6002"/>
    <w:rsid w:val="008A78CB"/>
    <w:rsid w:val="008B718A"/>
    <w:rsid w:val="008C2C49"/>
    <w:rsid w:val="008C3D93"/>
    <w:rsid w:val="008D4C18"/>
    <w:rsid w:val="008F205E"/>
    <w:rsid w:val="008F53C1"/>
    <w:rsid w:val="009016B1"/>
    <w:rsid w:val="009055F3"/>
    <w:rsid w:val="009234BA"/>
    <w:rsid w:val="00940EA3"/>
    <w:rsid w:val="009477B2"/>
    <w:rsid w:val="00947D99"/>
    <w:rsid w:val="00952701"/>
    <w:rsid w:val="009667E8"/>
    <w:rsid w:val="00973184"/>
    <w:rsid w:val="00980A91"/>
    <w:rsid w:val="00980F4C"/>
    <w:rsid w:val="00982E77"/>
    <w:rsid w:val="00993AAD"/>
    <w:rsid w:val="009A28C8"/>
    <w:rsid w:val="009A6317"/>
    <w:rsid w:val="009C08F8"/>
    <w:rsid w:val="009C477B"/>
    <w:rsid w:val="009C6E13"/>
    <w:rsid w:val="009D4426"/>
    <w:rsid w:val="009E124B"/>
    <w:rsid w:val="009F35FF"/>
    <w:rsid w:val="009F3A4C"/>
    <w:rsid w:val="009F75D7"/>
    <w:rsid w:val="00A064AC"/>
    <w:rsid w:val="00A17ECB"/>
    <w:rsid w:val="00A27296"/>
    <w:rsid w:val="00A30908"/>
    <w:rsid w:val="00A33275"/>
    <w:rsid w:val="00A3738D"/>
    <w:rsid w:val="00A51ABE"/>
    <w:rsid w:val="00A56857"/>
    <w:rsid w:val="00A623C0"/>
    <w:rsid w:val="00A73F88"/>
    <w:rsid w:val="00A745EF"/>
    <w:rsid w:val="00A80279"/>
    <w:rsid w:val="00A97971"/>
    <w:rsid w:val="00AA12EA"/>
    <w:rsid w:val="00AE4D6B"/>
    <w:rsid w:val="00AE75B3"/>
    <w:rsid w:val="00AF5C12"/>
    <w:rsid w:val="00B003A5"/>
    <w:rsid w:val="00B02B57"/>
    <w:rsid w:val="00B03DED"/>
    <w:rsid w:val="00B048D6"/>
    <w:rsid w:val="00B04EFF"/>
    <w:rsid w:val="00B13E25"/>
    <w:rsid w:val="00B1445B"/>
    <w:rsid w:val="00B3764E"/>
    <w:rsid w:val="00B43694"/>
    <w:rsid w:val="00B464A5"/>
    <w:rsid w:val="00B532D8"/>
    <w:rsid w:val="00B769D5"/>
    <w:rsid w:val="00B8653E"/>
    <w:rsid w:val="00B87A35"/>
    <w:rsid w:val="00B9024A"/>
    <w:rsid w:val="00BB1627"/>
    <w:rsid w:val="00BC13ED"/>
    <w:rsid w:val="00BD58C4"/>
    <w:rsid w:val="00BE65B6"/>
    <w:rsid w:val="00BF5583"/>
    <w:rsid w:val="00C001D7"/>
    <w:rsid w:val="00C02FA3"/>
    <w:rsid w:val="00C03076"/>
    <w:rsid w:val="00C03AD6"/>
    <w:rsid w:val="00C1674E"/>
    <w:rsid w:val="00C209BC"/>
    <w:rsid w:val="00C20E87"/>
    <w:rsid w:val="00C35878"/>
    <w:rsid w:val="00C375CB"/>
    <w:rsid w:val="00C453DE"/>
    <w:rsid w:val="00C74C5F"/>
    <w:rsid w:val="00C77A17"/>
    <w:rsid w:val="00C83859"/>
    <w:rsid w:val="00C91C38"/>
    <w:rsid w:val="00C939EF"/>
    <w:rsid w:val="00C966EF"/>
    <w:rsid w:val="00CA2BD1"/>
    <w:rsid w:val="00CA4AE7"/>
    <w:rsid w:val="00CA53A4"/>
    <w:rsid w:val="00CA69C5"/>
    <w:rsid w:val="00CB006F"/>
    <w:rsid w:val="00CD0AF3"/>
    <w:rsid w:val="00CD15B6"/>
    <w:rsid w:val="00CD7181"/>
    <w:rsid w:val="00CD78E3"/>
    <w:rsid w:val="00CF0192"/>
    <w:rsid w:val="00CF4C05"/>
    <w:rsid w:val="00D0102D"/>
    <w:rsid w:val="00D11F45"/>
    <w:rsid w:val="00D13CA6"/>
    <w:rsid w:val="00D170EC"/>
    <w:rsid w:val="00D17A90"/>
    <w:rsid w:val="00D24CAC"/>
    <w:rsid w:val="00D26B31"/>
    <w:rsid w:val="00D26D4F"/>
    <w:rsid w:val="00D2746D"/>
    <w:rsid w:val="00D37C97"/>
    <w:rsid w:val="00D40318"/>
    <w:rsid w:val="00D52633"/>
    <w:rsid w:val="00D52A27"/>
    <w:rsid w:val="00D54AE8"/>
    <w:rsid w:val="00D845C7"/>
    <w:rsid w:val="00D932D1"/>
    <w:rsid w:val="00DB6558"/>
    <w:rsid w:val="00DB7510"/>
    <w:rsid w:val="00DC1528"/>
    <w:rsid w:val="00DC2C74"/>
    <w:rsid w:val="00DD5CED"/>
    <w:rsid w:val="00DE1278"/>
    <w:rsid w:val="00DE2CD3"/>
    <w:rsid w:val="00DF191F"/>
    <w:rsid w:val="00DF7741"/>
    <w:rsid w:val="00E00C47"/>
    <w:rsid w:val="00E13078"/>
    <w:rsid w:val="00E30738"/>
    <w:rsid w:val="00E3277E"/>
    <w:rsid w:val="00E524DB"/>
    <w:rsid w:val="00E52D1F"/>
    <w:rsid w:val="00E91B4A"/>
    <w:rsid w:val="00EB16EB"/>
    <w:rsid w:val="00ED191F"/>
    <w:rsid w:val="00ED53CE"/>
    <w:rsid w:val="00EE0233"/>
    <w:rsid w:val="00EE200A"/>
    <w:rsid w:val="00F00117"/>
    <w:rsid w:val="00F17B15"/>
    <w:rsid w:val="00F34B7A"/>
    <w:rsid w:val="00F44035"/>
    <w:rsid w:val="00F447E2"/>
    <w:rsid w:val="00F575E8"/>
    <w:rsid w:val="00F57CC2"/>
    <w:rsid w:val="00F60EA3"/>
    <w:rsid w:val="00F72F08"/>
    <w:rsid w:val="00F7611A"/>
    <w:rsid w:val="00F8747A"/>
    <w:rsid w:val="00F90CB9"/>
    <w:rsid w:val="00FB0418"/>
    <w:rsid w:val="00FB3A49"/>
    <w:rsid w:val="00FB5510"/>
    <w:rsid w:val="00FB597B"/>
    <w:rsid w:val="00FB7894"/>
    <w:rsid w:val="00FC436F"/>
    <w:rsid w:val="00FC5650"/>
    <w:rsid w:val="00FD0A0E"/>
    <w:rsid w:val="00FD143D"/>
    <w:rsid w:val="00FD265E"/>
    <w:rsid w:val="00FD56E6"/>
    <w:rsid w:val="00FE55C6"/>
    <w:rsid w:val="00FE62B6"/>
    <w:rsid w:val="00FE6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spacing w:line="480" w:lineRule="auto"/>
      <w:jc w:val="both"/>
      <w:outlineLvl w:val="0"/>
    </w:pPr>
    <w:rPr>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styleId="BlockText">
    <w:name w:val="Block Text"/>
    <w:basedOn w:val="Normal"/>
    <w:link w:val="BlockTextChar"/>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ind w:left="576" w:right="576"/>
      <w:jc w:val="both"/>
    </w:pPr>
    <w:rPr>
      <w:kern w:val="2"/>
      <w:sz w:val="28"/>
    </w:rPr>
  </w:style>
  <w:style w:type="paragraph" w:styleId="BodyTextIndent">
    <w:name w:val="Body Text Indent"/>
    <w:basedOn w:val="Normal"/>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1152"/>
      <w:jc w:val="both"/>
    </w:pPr>
    <w:rPr>
      <w:kern w:val="2"/>
      <w:sz w:val="28"/>
    </w:rPr>
  </w:style>
  <w:style w:type="character" w:styleId="Hyperlink">
    <w:name w:val="Hyperlink"/>
    <w:rPr>
      <w:color w:val="0000FF"/>
      <w:u w:val="single"/>
    </w:rPr>
  </w:style>
  <w:style w:type="character" w:styleId="FollowedHyperlink">
    <w:name w:val="FollowedHyperlink"/>
    <w:rPr>
      <w:color w:val="800080"/>
      <w:u w:val="single"/>
    </w:rPr>
  </w:style>
  <w:style w:type="paragraph" w:styleId="FootnoteText">
    <w:name w:val="footnote text"/>
    <w:basedOn w:val="Normal"/>
    <w:link w:val="FootnoteTextChar"/>
    <w:uiPriority w:val="99"/>
    <w:semiHidden/>
    <w:rPr>
      <w:sz w:val="20"/>
    </w:rPr>
  </w:style>
  <w:style w:type="paragraph" w:styleId="BodyTextIndent2">
    <w:name w:val="Body Text Indent 2"/>
    <w:basedOn w:val="Normal"/>
    <w:pPr>
      <w:spacing w:line="480" w:lineRule="auto"/>
      <w:ind w:firstLine="720"/>
      <w:jc w:val="both"/>
    </w:pPr>
    <w:rPr>
      <w:sz w:val="28"/>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420"/>
    </w:pPr>
    <w:rPr>
      <w:sz w:val="28"/>
    </w:rPr>
  </w:style>
  <w:style w:type="character" w:customStyle="1" w:styleId="BlockTextChar">
    <w:name w:val="Block Text Char"/>
    <w:link w:val="BlockText"/>
    <w:rsid w:val="00A73F88"/>
    <w:rPr>
      <w:snapToGrid w:val="0"/>
      <w:kern w:val="2"/>
      <w:sz w:val="28"/>
      <w:lang w:val="en-US" w:eastAsia="en-US" w:bidi="ar-SA"/>
    </w:rPr>
  </w:style>
  <w:style w:type="paragraph" w:customStyle="1" w:styleId="Style0">
    <w:name w:val="Style0"/>
    <w:rsid w:val="002F3EB1"/>
    <w:rPr>
      <w:rFonts w:ascii="Arial" w:hAnsi="Arial"/>
      <w:snapToGrid w:val="0"/>
      <w:sz w:val="24"/>
    </w:rPr>
  </w:style>
  <w:style w:type="paragraph" w:styleId="Footer">
    <w:name w:val="footer"/>
    <w:basedOn w:val="Normal"/>
    <w:rsid w:val="00D40318"/>
    <w:pPr>
      <w:widowControl/>
      <w:tabs>
        <w:tab w:val="center" w:pos="4320"/>
        <w:tab w:val="right" w:pos="8640"/>
      </w:tabs>
    </w:pPr>
    <w:rPr>
      <w:snapToGrid/>
      <w:szCs w:val="24"/>
    </w:rPr>
  </w:style>
  <w:style w:type="character" w:customStyle="1" w:styleId="groupheading6">
    <w:name w:val="groupheading6"/>
    <w:rsid w:val="00D40318"/>
    <w:rPr>
      <w:rFonts w:ascii="Verdana" w:hAnsi="Verdana" w:hint="default"/>
      <w:b/>
      <w:bCs/>
      <w:sz w:val="19"/>
      <w:szCs w:val="19"/>
    </w:rPr>
  </w:style>
  <w:style w:type="character" w:customStyle="1" w:styleId="informationalsmall4">
    <w:name w:val="informationalsmall4"/>
    <w:rsid w:val="00D40318"/>
    <w:rPr>
      <w:rFonts w:ascii="Verdana" w:hAnsi="Verdana" w:hint="default"/>
      <w:sz w:val="14"/>
      <w:szCs w:val="14"/>
    </w:rPr>
  </w:style>
  <w:style w:type="character" w:customStyle="1" w:styleId="FootnoteTextChar">
    <w:name w:val="Footnote Text Char"/>
    <w:link w:val="FootnoteText"/>
    <w:uiPriority w:val="99"/>
    <w:semiHidden/>
    <w:rsid w:val="00375576"/>
    <w:rPr>
      <w:snapToGrid w:val="0"/>
    </w:rPr>
  </w:style>
  <w:style w:type="paragraph" w:styleId="Header">
    <w:name w:val="header"/>
    <w:basedOn w:val="Normal"/>
    <w:link w:val="HeaderChar"/>
    <w:rsid w:val="001E0F70"/>
    <w:pPr>
      <w:tabs>
        <w:tab w:val="center" w:pos="4680"/>
        <w:tab w:val="right" w:pos="9360"/>
      </w:tabs>
    </w:pPr>
  </w:style>
  <w:style w:type="character" w:customStyle="1" w:styleId="HeaderChar">
    <w:name w:val="Header Char"/>
    <w:link w:val="Header"/>
    <w:rsid w:val="001E0F70"/>
    <w:rPr>
      <w:snapToGrid w:val="0"/>
      <w:sz w:val="24"/>
    </w:rPr>
  </w:style>
  <w:style w:type="paragraph" w:styleId="BalloonText">
    <w:name w:val="Balloon Text"/>
    <w:basedOn w:val="Normal"/>
    <w:link w:val="BalloonTextChar"/>
    <w:rsid w:val="004541F9"/>
    <w:rPr>
      <w:rFonts w:ascii="Tahoma" w:hAnsi="Tahoma" w:cs="Tahoma"/>
      <w:sz w:val="16"/>
      <w:szCs w:val="16"/>
    </w:rPr>
  </w:style>
  <w:style w:type="character" w:customStyle="1" w:styleId="BalloonTextChar">
    <w:name w:val="Balloon Text Char"/>
    <w:basedOn w:val="DefaultParagraphFont"/>
    <w:link w:val="BalloonText"/>
    <w:rsid w:val="004541F9"/>
    <w:rPr>
      <w:rFonts w:ascii="Tahoma"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spacing w:line="480" w:lineRule="auto"/>
      <w:jc w:val="both"/>
      <w:outlineLvl w:val="0"/>
    </w:pPr>
    <w:rPr>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styleId="BlockText">
    <w:name w:val="Block Text"/>
    <w:basedOn w:val="Normal"/>
    <w:link w:val="BlockTextChar"/>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ind w:left="576" w:right="576"/>
      <w:jc w:val="both"/>
    </w:pPr>
    <w:rPr>
      <w:kern w:val="2"/>
      <w:sz w:val="28"/>
    </w:rPr>
  </w:style>
  <w:style w:type="paragraph" w:styleId="BodyTextIndent">
    <w:name w:val="Body Text Indent"/>
    <w:basedOn w:val="Normal"/>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1152"/>
      <w:jc w:val="both"/>
    </w:pPr>
    <w:rPr>
      <w:kern w:val="2"/>
      <w:sz w:val="28"/>
    </w:rPr>
  </w:style>
  <w:style w:type="character" w:styleId="Hyperlink">
    <w:name w:val="Hyperlink"/>
    <w:rPr>
      <w:color w:val="0000FF"/>
      <w:u w:val="single"/>
    </w:rPr>
  </w:style>
  <w:style w:type="character" w:styleId="FollowedHyperlink">
    <w:name w:val="FollowedHyperlink"/>
    <w:rPr>
      <w:color w:val="800080"/>
      <w:u w:val="single"/>
    </w:rPr>
  </w:style>
  <w:style w:type="paragraph" w:styleId="FootnoteText">
    <w:name w:val="footnote text"/>
    <w:basedOn w:val="Normal"/>
    <w:link w:val="FootnoteTextChar"/>
    <w:uiPriority w:val="99"/>
    <w:semiHidden/>
    <w:rPr>
      <w:sz w:val="20"/>
    </w:rPr>
  </w:style>
  <w:style w:type="paragraph" w:styleId="BodyTextIndent2">
    <w:name w:val="Body Text Indent 2"/>
    <w:basedOn w:val="Normal"/>
    <w:pPr>
      <w:spacing w:line="480" w:lineRule="auto"/>
      <w:ind w:firstLine="720"/>
      <w:jc w:val="both"/>
    </w:pPr>
    <w:rPr>
      <w:sz w:val="28"/>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420"/>
    </w:pPr>
    <w:rPr>
      <w:sz w:val="28"/>
    </w:rPr>
  </w:style>
  <w:style w:type="character" w:customStyle="1" w:styleId="BlockTextChar">
    <w:name w:val="Block Text Char"/>
    <w:link w:val="BlockText"/>
    <w:rsid w:val="00A73F88"/>
    <w:rPr>
      <w:snapToGrid w:val="0"/>
      <w:kern w:val="2"/>
      <w:sz w:val="28"/>
      <w:lang w:val="en-US" w:eastAsia="en-US" w:bidi="ar-SA"/>
    </w:rPr>
  </w:style>
  <w:style w:type="paragraph" w:customStyle="1" w:styleId="Style0">
    <w:name w:val="Style0"/>
    <w:rsid w:val="002F3EB1"/>
    <w:rPr>
      <w:rFonts w:ascii="Arial" w:hAnsi="Arial"/>
      <w:snapToGrid w:val="0"/>
      <w:sz w:val="24"/>
    </w:rPr>
  </w:style>
  <w:style w:type="paragraph" w:styleId="Footer">
    <w:name w:val="footer"/>
    <w:basedOn w:val="Normal"/>
    <w:rsid w:val="00D40318"/>
    <w:pPr>
      <w:widowControl/>
      <w:tabs>
        <w:tab w:val="center" w:pos="4320"/>
        <w:tab w:val="right" w:pos="8640"/>
      </w:tabs>
    </w:pPr>
    <w:rPr>
      <w:snapToGrid/>
      <w:szCs w:val="24"/>
    </w:rPr>
  </w:style>
  <w:style w:type="character" w:customStyle="1" w:styleId="groupheading6">
    <w:name w:val="groupheading6"/>
    <w:rsid w:val="00D40318"/>
    <w:rPr>
      <w:rFonts w:ascii="Verdana" w:hAnsi="Verdana" w:hint="default"/>
      <w:b/>
      <w:bCs/>
      <w:sz w:val="19"/>
      <w:szCs w:val="19"/>
    </w:rPr>
  </w:style>
  <w:style w:type="character" w:customStyle="1" w:styleId="informationalsmall4">
    <w:name w:val="informationalsmall4"/>
    <w:rsid w:val="00D40318"/>
    <w:rPr>
      <w:rFonts w:ascii="Verdana" w:hAnsi="Verdana" w:hint="default"/>
      <w:sz w:val="14"/>
      <w:szCs w:val="14"/>
    </w:rPr>
  </w:style>
  <w:style w:type="character" w:customStyle="1" w:styleId="FootnoteTextChar">
    <w:name w:val="Footnote Text Char"/>
    <w:link w:val="FootnoteText"/>
    <w:uiPriority w:val="99"/>
    <w:semiHidden/>
    <w:rsid w:val="00375576"/>
    <w:rPr>
      <w:snapToGrid w:val="0"/>
    </w:rPr>
  </w:style>
  <w:style w:type="paragraph" w:styleId="Header">
    <w:name w:val="header"/>
    <w:basedOn w:val="Normal"/>
    <w:link w:val="HeaderChar"/>
    <w:rsid w:val="001E0F70"/>
    <w:pPr>
      <w:tabs>
        <w:tab w:val="center" w:pos="4680"/>
        <w:tab w:val="right" w:pos="9360"/>
      </w:tabs>
    </w:pPr>
  </w:style>
  <w:style w:type="character" w:customStyle="1" w:styleId="HeaderChar">
    <w:name w:val="Header Char"/>
    <w:link w:val="Header"/>
    <w:rsid w:val="001E0F70"/>
    <w:rPr>
      <w:snapToGrid w:val="0"/>
      <w:sz w:val="24"/>
    </w:rPr>
  </w:style>
  <w:style w:type="paragraph" w:styleId="BalloonText">
    <w:name w:val="Balloon Text"/>
    <w:basedOn w:val="Normal"/>
    <w:link w:val="BalloonTextChar"/>
    <w:rsid w:val="004541F9"/>
    <w:rPr>
      <w:rFonts w:ascii="Tahoma" w:hAnsi="Tahoma" w:cs="Tahoma"/>
      <w:sz w:val="16"/>
      <w:szCs w:val="16"/>
    </w:rPr>
  </w:style>
  <w:style w:type="character" w:customStyle="1" w:styleId="BalloonTextChar">
    <w:name w:val="Balloon Text Char"/>
    <w:basedOn w:val="DefaultParagraphFont"/>
    <w:link w:val="BalloonText"/>
    <w:rsid w:val="004541F9"/>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158151">
      <w:bodyDiv w:val="1"/>
      <w:marLeft w:val="0"/>
      <w:marRight w:val="0"/>
      <w:marTop w:val="0"/>
      <w:marBottom w:val="0"/>
      <w:divBdr>
        <w:top w:val="none" w:sz="0" w:space="0" w:color="auto"/>
        <w:left w:val="none" w:sz="0" w:space="0" w:color="auto"/>
        <w:bottom w:val="none" w:sz="0" w:space="0" w:color="auto"/>
        <w:right w:val="none" w:sz="0" w:space="0" w:color="auto"/>
      </w:divBdr>
    </w:div>
    <w:div w:id="766580945">
      <w:bodyDiv w:val="1"/>
      <w:marLeft w:val="30"/>
      <w:marRight w:val="30"/>
      <w:marTop w:val="30"/>
      <w:marBottom w:val="30"/>
      <w:divBdr>
        <w:top w:val="none" w:sz="0" w:space="0" w:color="auto"/>
        <w:left w:val="none" w:sz="0" w:space="0" w:color="auto"/>
        <w:bottom w:val="none" w:sz="0" w:space="0" w:color="auto"/>
        <w:right w:val="none" w:sz="0" w:space="0" w:color="auto"/>
      </w:divBdr>
      <w:divsChild>
        <w:div w:id="2055737430">
          <w:marLeft w:val="0"/>
          <w:marRight w:val="0"/>
          <w:marTop w:val="0"/>
          <w:marBottom w:val="0"/>
          <w:divBdr>
            <w:top w:val="none" w:sz="0" w:space="0" w:color="auto"/>
            <w:left w:val="none" w:sz="0" w:space="0" w:color="auto"/>
            <w:bottom w:val="none" w:sz="0" w:space="0" w:color="auto"/>
            <w:right w:val="none" w:sz="0" w:space="0" w:color="auto"/>
          </w:divBdr>
          <w:divsChild>
            <w:div w:id="1040594994">
              <w:marLeft w:val="45"/>
              <w:marRight w:val="45"/>
              <w:marTop w:val="45"/>
              <w:marBottom w:val="45"/>
              <w:divBdr>
                <w:top w:val="none" w:sz="0" w:space="0" w:color="auto"/>
                <w:left w:val="none" w:sz="0" w:space="0" w:color="auto"/>
                <w:bottom w:val="none" w:sz="0" w:space="0" w:color="auto"/>
                <w:right w:val="none" w:sz="0" w:space="0" w:color="auto"/>
              </w:divBdr>
              <w:divsChild>
                <w:div w:id="482085800">
                  <w:marLeft w:val="0"/>
                  <w:marRight w:val="0"/>
                  <w:marTop w:val="0"/>
                  <w:marBottom w:val="0"/>
                  <w:divBdr>
                    <w:top w:val="none" w:sz="0" w:space="0" w:color="auto"/>
                    <w:left w:val="none" w:sz="0" w:space="0" w:color="auto"/>
                    <w:bottom w:val="none" w:sz="0" w:space="0" w:color="auto"/>
                    <w:right w:val="none" w:sz="0" w:space="0" w:color="auto"/>
                  </w:divBdr>
                  <w:divsChild>
                    <w:div w:id="20336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435332">
      <w:bodyDiv w:val="1"/>
      <w:marLeft w:val="0"/>
      <w:marRight w:val="0"/>
      <w:marTop w:val="0"/>
      <w:marBottom w:val="0"/>
      <w:divBdr>
        <w:top w:val="none" w:sz="0" w:space="0" w:color="auto"/>
        <w:left w:val="none" w:sz="0" w:space="0" w:color="auto"/>
        <w:bottom w:val="none" w:sz="0" w:space="0" w:color="auto"/>
        <w:right w:val="none" w:sz="0" w:space="0" w:color="auto"/>
      </w:divBdr>
    </w:div>
    <w:div w:id="201518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1.next.westlaw.com/Link/Document/FullText?findType=L&amp;pubNum=1003573&amp;cite=AZSTRCRPR15.1&amp;originatingDoc=N0DE3C270717A11DAA16E8D4AC7636430&amp;refType=LQ&amp;originationContext=document&amp;transitionType=DocumentItem&amp;contextData=(sc.Sear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1.next.westlaw.com/Link/Document/FullText?findType=L&amp;pubNum=1003573&amp;cite=AZSTRCRPR15.1&amp;originatingDoc=N0DE3C270717A11DAA16E8D4AC7636430&amp;refType=LQ&amp;originationContext=document&amp;transitionType=DocumentItem&amp;contextData=(sc.Sear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next.westlaw.com/Link/Document/FullText?findType=L&amp;pubNum=1003573&amp;cite=AZSTRCRPR15.1&amp;originatingDoc=N0DE3C270717A11DAA16E8D4AC7636430&amp;refType=LQ&amp;originationContext=document&amp;transitionType=DocumentItem&amp;contextData=(sc.Search)"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1.next.westlaw.com/Link/Document/FullText?findType=L&amp;pubNum=1003573&amp;cite=AZSTRCRPR15.1&amp;originatingDoc=N0DE3C270717A11DAA16E8D4AC7636430&amp;refType=LQ&amp;originationContext=document&amp;transitionType=DocumentItem&amp;contextData=(sc.Search)" TargetMode="External"/><Relationship Id="rId4" Type="http://schemas.microsoft.com/office/2007/relationships/stylesWithEffects" Target="stylesWithEffects.xml"/><Relationship Id="rId9" Type="http://schemas.openxmlformats.org/officeDocument/2006/relationships/hyperlink" Target="https://1.next.westlaw.com/Link/Document/FullText?findType=L&amp;pubNum=1003573&amp;cite=AZSTRCRPR15.1&amp;originatingDoc=N0DE3C270717A11DAA16E8D4AC7636430&amp;refType=LQ&amp;originationContext=document&amp;transitionType=DocumentItem&amp;contextData=(sc.Search)" TargetMode="External"/><Relationship Id="rId14" Type="http://schemas.openxmlformats.org/officeDocument/2006/relationships/hyperlink" Target="https://1.next.westlaw.com/Link/Document/FullText?findType=L&amp;pubNum=1003573&amp;cite=AZSTRCRPR15.1&amp;originatingDoc=N0DE3C270717A11DAA16E8D4AC7636430&amp;refType=LQ&amp;originationContext=document&amp;transitionType=DocumentItem&amp;contextData=(sc.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B2932-4ADF-4DD9-A899-D0C364E9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19</Pages>
  <Words>6165</Words>
  <Characters>33099</Characters>
  <Application>Microsoft Office Word</Application>
  <DocSecurity>0</DocSecurity>
  <Lines>275</Lines>
  <Paragraphs>78</Paragraphs>
  <ScaleCrop>false</ScaleCrop>
  <HeadingPairs>
    <vt:vector size="2" baseType="variant">
      <vt:variant>
        <vt:lpstr>Title</vt:lpstr>
      </vt:variant>
      <vt:variant>
        <vt:i4>1</vt:i4>
      </vt:variant>
    </vt:vector>
  </HeadingPairs>
  <TitlesOfParts>
    <vt:vector size="1" baseType="lpstr">
      <vt:lpstr>RICHARD M</vt:lpstr>
    </vt:vector>
  </TitlesOfParts>
  <Company>MCAO</Company>
  <LinksUpToDate>false</LinksUpToDate>
  <CharactersWithSpaces>39186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RICHARD M</dc:title>
  <dc:subject/>
  <dc:creator>Authorized User</dc:creator>
  <cp:keywords/>
  <dc:description/>
  <cp:lastModifiedBy>Administrator</cp:lastModifiedBy>
  <cp:revision>6</cp:revision>
  <cp:lastPrinted>2013-05-15T18:52:00Z</cp:lastPrinted>
  <dcterms:created xsi:type="dcterms:W3CDTF">2013-05-15T18:02:00Z</dcterms:created>
  <dcterms:modified xsi:type="dcterms:W3CDTF">2013-05-15T21:31:00Z</dcterms:modified>
</cp:coreProperties>
</file>