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746" w:rsidRDefault="001C0B6A" w:rsidP="001C0B6A">
      <w:pPr>
        <w:jc w:val="center"/>
        <w:rPr>
          <w:b/>
        </w:rPr>
      </w:pPr>
      <w:r w:rsidRPr="001C0B6A">
        <w:rPr>
          <w:b/>
        </w:rPr>
        <w:t>IN THE SUPREME COURT OF THE STATE OF ARIZONA</w:t>
      </w:r>
    </w:p>
    <w:p w:rsidR="001C0B6A" w:rsidRDefault="001C0B6A" w:rsidP="001C0B6A">
      <w:pPr>
        <w:jc w:val="center"/>
        <w:rPr>
          <w:b/>
        </w:rPr>
      </w:pPr>
    </w:p>
    <w:p w:rsidR="001C0B6A" w:rsidRDefault="001C0B6A" w:rsidP="001C0B6A">
      <w:pPr>
        <w:rPr>
          <w:b/>
        </w:rPr>
      </w:pPr>
    </w:p>
    <w:p w:rsidR="001C0B6A" w:rsidRDefault="001C0B6A" w:rsidP="001C0B6A">
      <w:pPr>
        <w:rPr>
          <w:b/>
        </w:rPr>
      </w:pPr>
      <w:r>
        <w:rPr>
          <w:b/>
        </w:rPr>
        <w:t>PETITION TO AMEND RULES 16,</w:t>
      </w:r>
      <w:r>
        <w:rPr>
          <w:b/>
        </w:rPr>
        <w:tab/>
        <w:t>)</w:t>
      </w:r>
    </w:p>
    <w:p w:rsidR="001C0B6A" w:rsidRDefault="001C0B6A" w:rsidP="001C0B6A">
      <w:pPr>
        <w:rPr>
          <w:b/>
        </w:rPr>
      </w:pPr>
      <w:r>
        <w:rPr>
          <w:b/>
        </w:rPr>
        <w:t>16.1, 26, 37, 38, 38.1, 72, 73, 74 AND</w:t>
      </w:r>
      <w:r>
        <w:rPr>
          <w:b/>
        </w:rPr>
        <w:tab/>
        <w:t>)</w:t>
      </w:r>
      <w:r>
        <w:rPr>
          <w:b/>
        </w:rPr>
        <w:tab/>
        <w:t>Supreme Court No. R-13-0017</w:t>
      </w:r>
    </w:p>
    <w:p w:rsidR="001C0B6A" w:rsidRDefault="001C0B6A" w:rsidP="001C0B6A">
      <w:pPr>
        <w:rPr>
          <w:b/>
        </w:rPr>
      </w:pPr>
      <w:r>
        <w:rPr>
          <w:b/>
        </w:rPr>
        <w:t xml:space="preserve">77, ARIZONA RULES OF CIVIL </w:t>
      </w:r>
      <w:r>
        <w:rPr>
          <w:b/>
        </w:rPr>
        <w:tab/>
      </w:r>
      <w:r>
        <w:rPr>
          <w:b/>
        </w:rPr>
        <w:tab/>
        <w:t>)</w:t>
      </w:r>
    </w:p>
    <w:p w:rsidR="001C0B6A" w:rsidRPr="001C0B6A" w:rsidRDefault="001C0B6A" w:rsidP="001C0B6A">
      <w:pPr>
        <w:rPr>
          <w:b/>
        </w:rPr>
      </w:pPr>
      <w:r>
        <w:rPr>
          <w:b/>
        </w:rPr>
        <w:t>PROCEDURE</w:t>
      </w:r>
      <w:r>
        <w:rPr>
          <w:b/>
        </w:rPr>
        <w:tab/>
      </w:r>
      <w:r>
        <w:rPr>
          <w:b/>
        </w:rPr>
        <w:tab/>
      </w:r>
      <w:r>
        <w:rPr>
          <w:b/>
        </w:rPr>
        <w:tab/>
      </w:r>
      <w:r>
        <w:rPr>
          <w:b/>
        </w:rPr>
        <w:tab/>
        <w:t>)</w:t>
      </w:r>
    </w:p>
    <w:p w:rsidR="00374AB3" w:rsidRDefault="001C0B6A">
      <w:pPr>
        <w:rPr>
          <w:b/>
        </w:rPr>
      </w:pPr>
      <w:r>
        <w:rPr>
          <w:u w:val="single"/>
        </w:rPr>
        <w:tab/>
      </w:r>
      <w:r>
        <w:rPr>
          <w:u w:val="single"/>
        </w:rPr>
        <w:tab/>
      </w:r>
      <w:r>
        <w:rPr>
          <w:u w:val="single"/>
        </w:rPr>
        <w:tab/>
      </w:r>
      <w:r>
        <w:rPr>
          <w:u w:val="single"/>
        </w:rPr>
        <w:tab/>
      </w:r>
      <w:r>
        <w:rPr>
          <w:u w:val="single"/>
        </w:rPr>
        <w:tab/>
      </w:r>
      <w:r>
        <w:rPr>
          <w:u w:val="single"/>
        </w:rPr>
        <w:tab/>
      </w:r>
      <w:r w:rsidRPr="001C0B6A">
        <w:rPr>
          <w:b/>
        </w:rPr>
        <w:t>)</w:t>
      </w:r>
    </w:p>
    <w:p w:rsidR="001C0B6A" w:rsidRDefault="001C0B6A">
      <w:pPr>
        <w:rPr>
          <w:b/>
        </w:rPr>
      </w:pPr>
    </w:p>
    <w:p w:rsidR="00651BD4" w:rsidRPr="001C0B6A" w:rsidRDefault="00651BD4">
      <w:pPr>
        <w:rPr>
          <w:b/>
        </w:rPr>
      </w:pPr>
    </w:p>
    <w:p w:rsidR="004F1BFE" w:rsidRDefault="00796BFD" w:rsidP="00425002">
      <w:pPr>
        <w:ind w:firstLine="720"/>
      </w:pPr>
      <w:r>
        <w:t xml:space="preserve">I write in </w:t>
      </w:r>
      <w:r w:rsidR="00425002">
        <w:t xml:space="preserve">support of the State Bar’s </w:t>
      </w:r>
      <w:r w:rsidR="00F83B2E">
        <w:t xml:space="preserve">above-referenced </w:t>
      </w:r>
      <w:r w:rsidR="00425002">
        <w:t>Petition</w:t>
      </w:r>
      <w:r w:rsidR="004F1BFE">
        <w:t>.  I believe the proposed amendment is necessary</w:t>
      </w:r>
      <w:r w:rsidR="00425002">
        <w:t xml:space="preserve"> as the</w:t>
      </w:r>
      <w:r>
        <w:t xml:space="preserve"> combination of</w:t>
      </w:r>
      <w:r w:rsidR="004F1BFE">
        <w:t>:</w:t>
      </w:r>
    </w:p>
    <w:p w:rsidR="004F1BFE" w:rsidRDefault="004F1BFE" w:rsidP="00425002">
      <w:pPr>
        <w:ind w:firstLine="720"/>
      </w:pPr>
    </w:p>
    <w:p w:rsidR="004F1BFE" w:rsidRDefault="004F1BFE" w:rsidP="004F1BFE">
      <w:pPr>
        <w:pStyle w:val="ListParagraph"/>
        <w:numPr>
          <w:ilvl w:val="0"/>
          <w:numId w:val="2"/>
        </w:numPr>
      </w:pPr>
      <w:r>
        <w:t>t</w:t>
      </w:r>
      <w:r w:rsidR="00796BFD">
        <w:t xml:space="preserve">he </w:t>
      </w:r>
      <w:r w:rsidR="001843AD">
        <w:t>nine months allowed prior to matters being place on the Inactive Calendar,</w:t>
      </w:r>
      <w:r>
        <w:t xml:space="preserve"> f</w:t>
      </w:r>
      <w:r w:rsidR="00196B4A">
        <w:t>ollowed by</w:t>
      </w:r>
      <w:r>
        <w:t>,</w:t>
      </w:r>
    </w:p>
    <w:p w:rsidR="004F1BFE" w:rsidRDefault="004F1BFE" w:rsidP="004F1BFE">
      <w:pPr>
        <w:pStyle w:val="ListParagraph"/>
        <w:ind w:left="2160"/>
      </w:pPr>
    </w:p>
    <w:p w:rsidR="004F1BFE" w:rsidRDefault="004F1BFE" w:rsidP="004F1BFE">
      <w:pPr>
        <w:pStyle w:val="ListParagraph"/>
        <w:numPr>
          <w:ilvl w:val="0"/>
          <w:numId w:val="2"/>
        </w:numPr>
      </w:pPr>
      <w:r>
        <w:t>t</w:t>
      </w:r>
      <w:r w:rsidR="00824544">
        <w:t xml:space="preserve">wo months on </w:t>
      </w:r>
      <w:r w:rsidR="001843AD">
        <w:t>the Inactive C</w:t>
      </w:r>
      <w:r w:rsidR="00196B4A">
        <w:t xml:space="preserve">alendar with </w:t>
      </w:r>
      <w:r>
        <w:t>the seemingly obligatory</w:t>
      </w:r>
      <w:r w:rsidR="001843AD">
        <w:t>,</w:t>
      </w:r>
    </w:p>
    <w:p w:rsidR="004F1BFE" w:rsidRDefault="004F1BFE" w:rsidP="004F1BFE">
      <w:pPr>
        <w:pStyle w:val="ListParagraph"/>
      </w:pPr>
    </w:p>
    <w:p w:rsidR="004F1BFE" w:rsidRDefault="001843AD" w:rsidP="004F1BFE">
      <w:pPr>
        <w:pStyle w:val="ListParagraph"/>
        <w:numPr>
          <w:ilvl w:val="0"/>
          <w:numId w:val="2"/>
        </w:numPr>
      </w:pPr>
      <w:r>
        <w:t>“</w:t>
      </w:r>
      <w:r w:rsidR="00796BFD">
        <w:t xml:space="preserve">Motions to </w:t>
      </w:r>
      <w:r w:rsidR="00425002">
        <w:t>Ext</w:t>
      </w:r>
      <w:r>
        <w:t>end on the Inactive Calendar</w:t>
      </w:r>
      <w:r w:rsidR="001C0B6A">
        <w:t>,”</w:t>
      </w:r>
      <w:r>
        <w:t xml:space="preserve"> (most probably to allow </w:t>
      </w:r>
      <w:r w:rsidR="00824544">
        <w:t xml:space="preserve">not </w:t>
      </w:r>
      <w:r w:rsidR="00196B4A">
        <w:t xml:space="preserve">yet </w:t>
      </w:r>
      <w:r w:rsidR="00824544">
        <w:t xml:space="preserve">initiated but </w:t>
      </w:r>
      <w:r>
        <w:t>“ongoing settlement</w:t>
      </w:r>
      <w:r w:rsidR="00824544">
        <w:t xml:space="preserve"> discussions” </w:t>
      </w:r>
      <w:r>
        <w:t xml:space="preserve">to </w:t>
      </w:r>
      <w:r w:rsidR="00196B4A">
        <w:t>“</w:t>
      </w:r>
      <w:r>
        <w:t>continue</w:t>
      </w:r>
      <w:r w:rsidR="00196B4A">
        <w:t>”</w:t>
      </w:r>
      <w:r>
        <w:t>) only then followed by</w:t>
      </w:r>
      <w:r w:rsidR="004F1BFE">
        <w:t>,</w:t>
      </w:r>
      <w:r w:rsidR="00824544">
        <w:t xml:space="preserve"> </w:t>
      </w:r>
    </w:p>
    <w:p w:rsidR="004F1BFE" w:rsidRDefault="004F1BFE" w:rsidP="004F1BFE">
      <w:pPr>
        <w:pStyle w:val="ListParagraph"/>
      </w:pPr>
    </w:p>
    <w:p w:rsidR="004F1BFE" w:rsidRDefault="004F1BFE" w:rsidP="004F1BFE">
      <w:pPr>
        <w:pStyle w:val="ListParagraph"/>
        <w:numPr>
          <w:ilvl w:val="0"/>
          <w:numId w:val="2"/>
        </w:numPr>
      </w:pPr>
      <w:r>
        <w:t>a</w:t>
      </w:r>
      <w:r w:rsidR="00824544">
        <w:t xml:space="preserve"> Motion</w:t>
      </w:r>
      <w:r w:rsidR="00425002">
        <w:t xml:space="preserve"> to Set and Certificates of Readiness</w:t>
      </w:r>
      <w:r w:rsidR="001843AD">
        <w:t>,</w:t>
      </w:r>
      <w:r w:rsidR="00425002">
        <w:t xml:space="preserve"> </w:t>
      </w:r>
      <w:r w:rsidR="00824544">
        <w:t>reflecting little</w:t>
      </w:r>
      <w:r w:rsidR="001843AD">
        <w:t>,</w:t>
      </w:r>
      <w:r w:rsidR="00425002">
        <w:t xml:space="preserve"> </w:t>
      </w:r>
      <w:r w:rsidR="001843AD">
        <w:t>if anything,</w:t>
      </w:r>
      <w:r w:rsidR="00824544">
        <w:t xml:space="preserve"> having been done</w:t>
      </w:r>
      <w:r w:rsidR="001843AD">
        <w:t xml:space="preserve"> </w:t>
      </w:r>
      <w:r w:rsidR="00425002">
        <w:t xml:space="preserve">in the case </w:t>
      </w:r>
      <w:r w:rsidR="00824544">
        <w:t>so that</w:t>
      </w:r>
      <w:r>
        <w:t>,</w:t>
      </w:r>
      <w:r w:rsidR="00824544">
        <w:t xml:space="preserve"> </w:t>
      </w:r>
    </w:p>
    <w:p w:rsidR="004F1BFE" w:rsidRDefault="004F1BFE" w:rsidP="004F1BFE">
      <w:pPr>
        <w:pStyle w:val="ListParagraph"/>
      </w:pPr>
    </w:p>
    <w:p w:rsidR="004F1BFE" w:rsidRDefault="004F1BFE" w:rsidP="004F1BFE">
      <w:pPr>
        <w:pStyle w:val="ListParagraph"/>
        <w:numPr>
          <w:ilvl w:val="0"/>
          <w:numId w:val="2"/>
        </w:numPr>
      </w:pPr>
      <w:r>
        <w:t>t</w:t>
      </w:r>
      <w:r w:rsidR="004564AC">
        <w:t xml:space="preserve">he dates stated, therein, are set </w:t>
      </w:r>
      <w:r>
        <w:t xml:space="preserve">off several months </w:t>
      </w:r>
      <w:r w:rsidR="004564AC">
        <w:t xml:space="preserve">in order to </w:t>
      </w:r>
      <w:r w:rsidR="001843AD">
        <w:t xml:space="preserve">allow the Parties to finally address what could have and should have been </w:t>
      </w:r>
      <w:r>
        <w:t>addressed almost a year before,</w:t>
      </w:r>
    </w:p>
    <w:p w:rsidR="004F1BFE" w:rsidRDefault="004F1BFE" w:rsidP="004F1BFE">
      <w:pPr>
        <w:pStyle w:val="ListParagraph"/>
      </w:pPr>
    </w:p>
    <w:p w:rsidR="001843AD" w:rsidRDefault="00425002" w:rsidP="004F1BFE">
      <w:proofErr w:type="gramStart"/>
      <w:r>
        <w:t>has</w:t>
      </w:r>
      <w:proofErr w:type="gramEnd"/>
      <w:r w:rsidR="00796BFD">
        <w:t xml:space="preserve"> resulted in a culture of institutionalized delay in the prosecution of civil claims</w:t>
      </w:r>
      <w:r w:rsidR="001843AD">
        <w:t>.</w:t>
      </w:r>
    </w:p>
    <w:p w:rsidR="001843AD" w:rsidRDefault="001843AD" w:rsidP="00425002">
      <w:pPr>
        <w:ind w:firstLine="720"/>
      </w:pPr>
    </w:p>
    <w:p w:rsidR="00374AB3" w:rsidRDefault="00A34187" w:rsidP="00A34187">
      <w:pPr>
        <w:ind w:firstLine="720"/>
      </w:pPr>
      <w:r w:rsidRPr="006D38C2">
        <w:t>The proposed amendment</w:t>
      </w:r>
      <w:r w:rsidR="00170794" w:rsidRPr="006D38C2">
        <w:t>,</w:t>
      </w:r>
      <w:r w:rsidRPr="006D38C2">
        <w:t xml:space="preserve"> abandoning </w:t>
      </w:r>
      <w:r w:rsidR="00170794" w:rsidRPr="006D38C2">
        <w:t xml:space="preserve">scheduling driven by </w:t>
      </w:r>
      <w:r w:rsidRPr="006D38C2">
        <w:t>Rule 38</w:t>
      </w:r>
      <w:r w:rsidR="00C10EC5" w:rsidRPr="006D38C2">
        <w:t>.</w:t>
      </w:r>
      <w:r w:rsidR="006D38C2" w:rsidRPr="006D38C2">
        <w:t>1</w:t>
      </w:r>
      <w:r w:rsidRPr="006D38C2">
        <w:t xml:space="preserve"> </w:t>
      </w:r>
      <w:r w:rsidR="00F83B2E" w:rsidRPr="006D38C2">
        <w:t xml:space="preserve">in favor of </w:t>
      </w:r>
      <w:r w:rsidRPr="006D38C2">
        <w:t>early</w:t>
      </w:r>
      <w:r w:rsidR="00AF40A2" w:rsidRPr="006D38C2">
        <w:t xml:space="preserve"> and</w:t>
      </w:r>
      <w:r w:rsidR="00724EB6" w:rsidRPr="006D38C2">
        <w:t xml:space="preserve"> consistent </w:t>
      </w:r>
      <w:r w:rsidRPr="006D38C2">
        <w:t>scheduling</w:t>
      </w:r>
      <w:r w:rsidR="00AF40A2" w:rsidRPr="006D38C2">
        <w:t>, involvement</w:t>
      </w:r>
      <w:r w:rsidR="006D38C2" w:rsidRPr="006D38C2">
        <w:t>,</w:t>
      </w:r>
      <w:r w:rsidRPr="006D38C2">
        <w:t xml:space="preserve"> and </w:t>
      </w:r>
      <w:r w:rsidR="00AF40A2" w:rsidRPr="006D38C2">
        <w:t>oversight</w:t>
      </w:r>
      <w:r w:rsidR="00425002" w:rsidRPr="006D38C2">
        <w:t xml:space="preserve"> of cases by the Courts</w:t>
      </w:r>
      <w:r w:rsidR="00170794" w:rsidRPr="006D38C2">
        <w:t>,</w:t>
      </w:r>
      <w:r w:rsidR="00425002" w:rsidRPr="006D38C2">
        <w:t xml:space="preserve"> </w:t>
      </w:r>
      <w:r w:rsidRPr="006D38C2">
        <w:t xml:space="preserve">appears the logical </w:t>
      </w:r>
      <w:r w:rsidR="00196B4A" w:rsidRPr="006D38C2">
        <w:t xml:space="preserve">and necessary </w:t>
      </w:r>
      <w:r w:rsidRPr="006D38C2">
        <w:t xml:space="preserve">extension of </w:t>
      </w:r>
      <w:r w:rsidR="00796BFD" w:rsidRPr="006D38C2">
        <w:t xml:space="preserve">the </w:t>
      </w:r>
      <w:r w:rsidRPr="006D38C2">
        <w:t xml:space="preserve">ongoing </w:t>
      </w:r>
      <w:r w:rsidR="00796BFD" w:rsidRPr="006D38C2">
        <w:t xml:space="preserve">efforts of the Bar and Courts over </w:t>
      </w:r>
      <w:r w:rsidR="00F83B2E" w:rsidRPr="006D38C2">
        <w:t xml:space="preserve">the past </w:t>
      </w:r>
      <w:r w:rsidR="00425002" w:rsidRPr="006D38C2">
        <w:t xml:space="preserve">decades </w:t>
      </w:r>
      <w:r w:rsidR="00374AB3" w:rsidRPr="006D38C2">
        <w:t>toward consolidation, cons</w:t>
      </w:r>
      <w:r w:rsidR="00824544" w:rsidRPr="006D38C2">
        <w:t xml:space="preserve">istency and clarity </w:t>
      </w:r>
      <w:r w:rsidR="00196B4A" w:rsidRPr="006D38C2">
        <w:t>within</w:t>
      </w:r>
      <w:r w:rsidR="00374AB3" w:rsidRPr="006D38C2">
        <w:t xml:space="preserve"> the Rules under which </w:t>
      </w:r>
      <w:r w:rsidR="00824544" w:rsidRPr="006D38C2">
        <w:t xml:space="preserve">the entirety of </w:t>
      </w:r>
      <w:r w:rsidR="00374AB3" w:rsidRPr="006D38C2">
        <w:t>this State’s Court’s operate</w:t>
      </w:r>
      <w:r w:rsidR="00D7330A" w:rsidRPr="006D38C2">
        <w:t xml:space="preserve">.  The proposed amendment also more closely aligns the applicable Rules to be followed throughout the State Courts structure to their Federal counterparts.  Beyond that, we </w:t>
      </w:r>
      <w:r w:rsidR="004F1BFE" w:rsidRPr="006D38C2">
        <w:t xml:space="preserve">are </w:t>
      </w:r>
      <w:r w:rsidR="00D7330A" w:rsidRPr="006D38C2">
        <w:t xml:space="preserve">also </w:t>
      </w:r>
      <w:r w:rsidR="004F1BFE" w:rsidRPr="006D38C2">
        <w:t>now focused</w:t>
      </w:r>
      <w:r w:rsidR="00796BFD" w:rsidRPr="006D38C2">
        <w:t xml:space="preserve"> </w:t>
      </w:r>
      <w:r w:rsidR="00DF58D1" w:rsidRPr="006D38C2">
        <w:t>upon</w:t>
      </w:r>
      <w:r w:rsidR="004E4AC6" w:rsidRPr="006D38C2">
        <w:t xml:space="preserve"> </w:t>
      </w:r>
      <w:r w:rsidR="009D3AB9">
        <w:t xml:space="preserve">developing </w:t>
      </w:r>
      <w:r w:rsidR="00196B4A" w:rsidRPr="006D38C2">
        <w:t xml:space="preserve">uniform </w:t>
      </w:r>
      <w:r w:rsidR="00D7330A" w:rsidRPr="006D38C2">
        <w:t xml:space="preserve">case processing standards </w:t>
      </w:r>
      <w:r w:rsidR="004E4AC6" w:rsidRPr="006D38C2">
        <w:t>throughout the State</w:t>
      </w:r>
      <w:r w:rsidR="009D3AB9">
        <w:t xml:space="preserve"> which would, it seems likely, be facilitated through uniform Rules throughout the State regarding the processing of cases.</w:t>
      </w:r>
      <w:r w:rsidR="004F1BFE">
        <w:t xml:space="preserve">  </w:t>
      </w:r>
    </w:p>
    <w:p w:rsidR="004E4AC6" w:rsidRDefault="004E4AC6"/>
    <w:p w:rsidR="00A34187" w:rsidRDefault="00A34187" w:rsidP="00A34187">
      <w:pPr>
        <w:ind w:firstLine="720"/>
      </w:pPr>
      <w:r>
        <w:t>Rather than allow civi</w:t>
      </w:r>
      <w:r w:rsidR="00D7330A">
        <w:t>l litigation to simply sit</w:t>
      </w:r>
      <w:r w:rsidR="00196B4A">
        <w:t xml:space="preserve"> on a Court’s calendar for the first year </w:t>
      </w:r>
      <w:r w:rsidR="00824544">
        <w:t>following its filing</w:t>
      </w:r>
      <w:r>
        <w:t>:</w:t>
      </w:r>
    </w:p>
    <w:p w:rsidR="00A34187" w:rsidRDefault="00A34187" w:rsidP="00A34187"/>
    <w:p w:rsidR="00A34187" w:rsidRDefault="00A34187" w:rsidP="006D38C2">
      <w:pPr>
        <w:ind w:left="1440"/>
      </w:pPr>
      <w:r>
        <w:t xml:space="preserve">“…The State Bar…proposes replacement of the current default case management system of Motions to Set and Certificates of Readiness with a system whereby the parties are required in the early stages of a case to meet and confer regarding case management and then to propose a scheduling order for the </w:t>
      </w:r>
      <w:r w:rsidR="00724EB6">
        <w:t xml:space="preserve">court’s </w:t>
      </w:r>
      <w:r>
        <w:t xml:space="preserve">consideration </w:t>
      </w:r>
      <w:r>
        <w:lastRenderedPageBreak/>
        <w:t>and entry.  If the parties can reach agreement on a schedule and neither they nor the court sees a particular need for a scheduling conference, no such conference need be held….”</w:t>
      </w:r>
    </w:p>
    <w:p w:rsidR="00651BD4" w:rsidRDefault="00651BD4" w:rsidP="006D38C2">
      <w:pPr>
        <w:ind w:left="1440"/>
      </w:pPr>
    </w:p>
    <w:p w:rsidR="00A34187" w:rsidRDefault="00A34187" w:rsidP="00A34187">
      <w:r>
        <w:t>[Petition, Page 5, Lines 2-9].</w:t>
      </w:r>
    </w:p>
    <w:p w:rsidR="002C1567" w:rsidRDefault="002C1567" w:rsidP="00A34187"/>
    <w:p w:rsidR="002C1567" w:rsidRDefault="002C1567" w:rsidP="002C1567">
      <w:pPr>
        <w:ind w:firstLine="720"/>
      </w:pPr>
      <w:r>
        <w:t>The c</w:t>
      </w:r>
      <w:r w:rsidR="00196B4A">
        <w:t xml:space="preserve">urrent arrangement </w:t>
      </w:r>
      <w:r w:rsidR="00750F1E">
        <w:t xml:space="preserve">largely </w:t>
      </w:r>
      <w:r w:rsidR="00F83B2E">
        <w:t xml:space="preserve">ignores </w:t>
      </w:r>
      <w:r w:rsidR="00E6568E">
        <w:t xml:space="preserve">any </w:t>
      </w:r>
      <w:r>
        <w:t xml:space="preserve">substantial early involvement </w:t>
      </w:r>
      <w:r w:rsidR="00196B4A">
        <w:t xml:space="preserve">in cases by the Court until a </w:t>
      </w:r>
      <w:r>
        <w:t xml:space="preserve">Motion </w:t>
      </w:r>
      <w:r w:rsidR="00196B4A">
        <w:t xml:space="preserve">to Set is filed.  By “back-loading” the Court’s involvement </w:t>
      </w:r>
      <w:r>
        <w:t>in this fa</w:t>
      </w:r>
      <w:r w:rsidR="00E6568E">
        <w:t xml:space="preserve">shion, early movement </w:t>
      </w:r>
      <w:r>
        <w:t xml:space="preserve">toward trial </w:t>
      </w:r>
      <w:r w:rsidR="00196B4A">
        <w:t xml:space="preserve">is </w:t>
      </w:r>
      <w:r w:rsidR="00AF40A2">
        <w:t xml:space="preserve">largely </w:t>
      </w:r>
      <w:r w:rsidR="00196B4A">
        <w:t xml:space="preserve">wrested </w:t>
      </w:r>
      <w:r>
        <w:t>from the co</w:t>
      </w:r>
      <w:r w:rsidR="00196B4A">
        <w:t>ntrol of the Court and left</w:t>
      </w:r>
      <w:r>
        <w:t xml:space="preserve"> with the Parties.</w:t>
      </w:r>
    </w:p>
    <w:p w:rsidR="00824544" w:rsidRDefault="00824544" w:rsidP="00A34187"/>
    <w:p w:rsidR="002C1567" w:rsidRDefault="00824544" w:rsidP="002C1567">
      <w:r>
        <w:tab/>
      </w:r>
      <w:r w:rsidR="002C1567">
        <w:t xml:space="preserve">While the Petition asserts its understanding that the </w:t>
      </w:r>
      <w:r w:rsidR="00196B4A">
        <w:t xml:space="preserve">lack of an early trial setting </w:t>
      </w:r>
      <w:r w:rsidR="002C1567">
        <w:t xml:space="preserve">might be used to abuse the disclosure Rules, </w:t>
      </w:r>
      <w:r w:rsidR="008B4012">
        <w:t xml:space="preserve">(Petition, Page 13, Lines 15-20), </w:t>
      </w:r>
      <w:r w:rsidR="002C1567">
        <w:t>such is rife within the current system as to both “mandatory” disclosure and</w:t>
      </w:r>
      <w:r w:rsidR="00750F1E">
        <w:t xml:space="preserve"> ongoing discovery.  </w:t>
      </w:r>
      <w:r w:rsidR="002C1567">
        <w:t>If the proposed Rule change is</w:t>
      </w:r>
      <w:r w:rsidR="008B4012">
        <w:t xml:space="preserve"> adopted, the Court can be </w:t>
      </w:r>
      <w:r w:rsidR="002C1567">
        <w:t xml:space="preserve">apprised </w:t>
      </w:r>
      <w:r w:rsidR="00750F1E">
        <w:t xml:space="preserve">in the early stages of litigation as to </w:t>
      </w:r>
      <w:r w:rsidR="002C1567">
        <w:t>when disclosur</w:t>
      </w:r>
      <w:r w:rsidR="00750F1E">
        <w:t>e has not occurred,</w:t>
      </w:r>
      <w:r w:rsidR="00AF40A2">
        <w:t xml:space="preserve"> and later on wi</w:t>
      </w:r>
      <w:r w:rsidR="00D7330A">
        <w:t xml:space="preserve">ll provide a reference point for assessing </w:t>
      </w:r>
      <w:r w:rsidR="00AF40A2">
        <w:t>when</w:t>
      </w:r>
      <w:r w:rsidR="00750F1E">
        <w:t xml:space="preserve"> discovery has been</w:t>
      </w:r>
      <w:r w:rsidR="002C1567">
        <w:t xml:space="preserve"> abused or delayed </w:t>
      </w:r>
      <w:r w:rsidR="00750F1E">
        <w:t xml:space="preserve">or </w:t>
      </w:r>
      <w:r w:rsidR="004F1BFE">
        <w:t xml:space="preserve">when </w:t>
      </w:r>
      <w:r w:rsidR="00750F1E">
        <w:t>any other deviation from the early scheduling Order has occurred</w:t>
      </w:r>
      <w:r w:rsidR="002C1567">
        <w:t>.</w:t>
      </w:r>
    </w:p>
    <w:p w:rsidR="00750F1E" w:rsidRDefault="00750F1E" w:rsidP="002C1567"/>
    <w:p w:rsidR="00750F1E" w:rsidRDefault="00750F1E" w:rsidP="002C1567">
      <w:r>
        <w:tab/>
        <w:t xml:space="preserve">Additionally, approval of the Petition would implement a state-wide standard with which any practitioner going into any Court </w:t>
      </w:r>
      <w:r w:rsidR="00F83B2E">
        <w:t xml:space="preserve">in the state </w:t>
      </w:r>
      <w:r>
        <w:t xml:space="preserve">would be expected to comply.  </w:t>
      </w:r>
      <w:r w:rsidR="00F83B2E">
        <w:t xml:space="preserve">That, “…we don’t do it that way in [the Practitioner’s </w:t>
      </w:r>
      <w:r w:rsidR="008B4012">
        <w:t xml:space="preserve">densely populated </w:t>
      </w:r>
      <w:r w:rsidR="00F83B2E">
        <w:t>home] County…</w:t>
      </w:r>
      <w:r w:rsidR="00D25C00">
        <w:t>” would no longer be the mantra in response to why local scheduling Orders have been left</w:t>
      </w:r>
      <w:r w:rsidR="00F83B2E">
        <w:t xml:space="preserve"> </w:t>
      </w:r>
      <w:r w:rsidR="00D25C00">
        <w:t xml:space="preserve">unread or </w:t>
      </w:r>
      <w:r w:rsidR="00724EB6">
        <w:t xml:space="preserve">their deadlines and requirements </w:t>
      </w:r>
      <w:r w:rsidR="00D25C00">
        <w:t>simply ignored</w:t>
      </w:r>
      <w:r w:rsidR="00F83B2E">
        <w:t>.  While it has long been recognized that unique features/</w:t>
      </w:r>
      <w:r w:rsidR="00724EB6">
        <w:t xml:space="preserve"> facilities</w:t>
      </w:r>
      <w:r w:rsidR="00F83B2E">
        <w:t xml:space="preserve">/circumstances of specific Counties need be </w:t>
      </w:r>
      <w:r w:rsidR="00724EB6">
        <w:t>recogniz</w:t>
      </w:r>
      <w:r w:rsidR="00F83B2E">
        <w:t xml:space="preserve">ed, expeditiously moving matters </w:t>
      </w:r>
      <w:r w:rsidR="00AF40A2">
        <w:t xml:space="preserve">to trial doesn’t seem a </w:t>
      </w:r>
      <w:r w:rsidR="00F83B2E">
        <w:t xml:space="preserve">subject </w:t>
      </w:r>
      <w:r w:rsidR="008B4012">
        <w:t xml:space="preserve">that would be </w:t>
      </w:r>
      <w:r w:rsidR="00F83B2E">
        <w:t>of grea</w:t>
      </w:r>
      <w:r w:rsidR="008B4012">
        <w:t xml:space="preserve">ter interest in </w:t>
      </w:r>
      <w:proofErr w:type="gramStart"/>
      <w:r w:rsidR="008B4012">
        <w:t>one</w:t>
      </w:r>
      <w:proofErr w:type="gramEnd"/>
      <w:r w:rsidR="008B4012">
        <w:t xml:space="preserve"> County</w:t>
      </w:r>
      <w:r w:rsidR="00170794">
        <w:t>,</w:t>
      </w:r>
      <w:r w:rsidR="008B4012">
        <w:t xml:space="preserve"> </w:t>
      </w:r>
      <w:r w:rsidR="00F83B2E">
        <w:t>than another.</w:t>
      </w:r>
    </w:p>
    <w:p w:rsidR="001C0CA4" w:rsidRDefault="001C0CA4" w:rsidP="002C1567"/>
    <w:p w:rsidR="001C0CA4" w:rsidRDefault="001C0CA4" w:rsidP="002C1567">
      <w:r>
        <w:tab/>
        <w:t>Within the Domestic context, early interactio</w:t>
      </w:r>
      <w:r w:rsidR="00BE70D7">
        <w:t>n between the Court and Parties,</w:t>
      </w:r>
      <w:r>
        <w:t xml:space="preserve"> early</w:t>
      </w:r>
      <w:r w:rsidR="00D25C00">
        <w:t xml:space="preserve"> and regular scheduling of hearings</w:t>
      </w:r>
      <w:r w:rsidR="00170794">
        <w:t>,</w:t>
      </w:r>
      <w:r>
        <w:t xml:space="preserve"> and </w:t>
      </w:r>
      <w:r w:rsidR="00D25C00">
        <w:t xml:space="preserve">the prompt </w:t>
      </w:r>
      <w:r w:rsidR="008B4012">
        <w:t>movement</w:t>
      </w:r>
      <w:r>
        <w:t xml:space="preserve"> </w:t>
      </w:r>
      <w:r w:rsidR="00D25C00">
        <w:t xml:space="preserve">of </w:t>
      </w:r>
      <w:r>
        <w:t>matters into an appropriate ADR venue as early in the process as possible</w:t>
      </w:r>
      <w:r w:rsidR="00170794">
        <w:t>,</w:t>
      </w:r>
      <w:r>
        <w:t xml:space="preserve"> has resulted in a substantial reduction in the period those matters remain on the Court’s calendar.  By extension, there is no reason to believe that treating the broader civil issues in similar fashion would produce a different result. </w:t>
      </w:r>
    </w:p>
    <w:p w:rsidR="00750F1E" w:rsidRDefault="00750F1E" w:rsidP="002C1567"/>
    <w:p w:rsidR="00F83B2E" w:rsidRDefault="00750F1E" w:rsidP="00F83B2E">
      <w:r>
        <w:tab/>
      </w:r>
      <w:r w:rsidR="00F83B2E">
        <w:t xml:space="preserve">Finally, </w:t>
      </w:r>
      <w:r w:rsidR="008B4012">
        <w:t>before accepting the notion</w:t>
      </w:r>
      <w:r w:rsidR="00AF40A2">
        <w:t xml:space="preserve"> that </w:t>
      </w:r>
      <w:r w:rsidR="00F83B2E">
        <w:t xml:space="preserve">litigation needs be </w:t>
      </w:r>
      <w:r w:rsidR="00AF40A2">
        <w:t xml:space="preserve">protracted as costs of </w:t>
      </w:r>
      <w:r w:rsidR="002A3B0F">
        <w:t xml:space="preserve">requiring efforts at </w:t>
      </w:r>
      <w:r w:rsidR="00AF40A2">
        <w:t>settlement</w:t>
      </w:r>
      <w:r w:rsidR="002A3B0F">
        <w:t xml:space="preserve"> </w:t>
      </w:r>
      <w:r w:rsidR="002713AD">
        <w:t xml:space="preserve">would be </w:t>
      </w:r>
      <w:r w:rsidR="001C0CA4">
        <w:t>too great, those costs should</w:t>
      </w:r>
      <w:r w:rsidR="00AF40A2">
        <w:t xml:space="preserve"> be carefully reviewed and compared to the </w:t>
      </w:r>
      <w:r w:rsidR="00977454">
        <w:t xml:space="preserve">actual and </w:t>
      </w:r>
      <w:r w:rsidR="00AF40A2">
        <w:t xml:space="preserve">attendant costs of </w:t>
      </w:r>
      <w:r w:rsidR="008B4012">
        <w:t xml:space="preserve">lengthy </w:t>
      </w:r>
      <w:r w:rsidR="00AF40A2">
        <w:t>litigation.</w:t>
      </w:r>
      <w:r w:rsidR="001C0CA4">
        <w:t xml:space="preserve">  The long-recognized saw</w:t>
      </w:r>
      <w:r w:rsidR="002A3B0F">
        <w:t xml:space="preserve"> regarding </w:t>
      </w:r>
      <w:r w:rsidR="00977454">
        <w:t>the tail wagging the do</w:t>
      </w:r>
      <w:r w:rsidR="002A3B0F">
        <w:t xml:space="preserve">g </w:t>
      </w:r>
      <w:r w:rsidR="00977454">
        <w:t xml:space="preserve">needs be understood early in all civil proceedings and particularly in times of economic downturn.  Recognition of the entrenchment that occurs over time and after it has become as costly to “roll the dice” as to settle is long-standing and legion.   </w:t>
      </w:r>
      <w:r w:rsidR="00AF40A2">
        <w:t xml:space="preserve">  </w:t>
      </w:r>
    </w:p>
    <w:p w:rsidR="00A34187" w:rsidRDefault="00A34187"/>
    <w:p w:rsidR="004564AC" w:rsidRDefault="004564AC">
      <w:r>
        <w:tab/>
        <w:t xml:space="preserve">Unquestionably, approval of the Bar’s Petition would result in change.  However, it is unlikely that when Rule 38.1 was originally adopted it was intended to create a “nine month plus fifty-nine day” hiatus following filing before a perfunctory Motion to </w:t>
      </w:r>
      <w:proofErr w:type="gramStart"/>
      <w:r>
        <w:t>Set</w:t>
      </w:r>
      <w:proofErr w:type="gramEnd"/>
      <w:r>
        <w:t xml:space="preserve"> and Certificate of Readiness was filed leading to a sche</w:t>
      </w:r>
      <w:r w:rsidR="00D7330A">
        <w:t xml:space="preserve">duling conference at which </w:t>
      </w:r>
      <w:r>
        <w:t>the Court would be advised t</w:t>
      </w:r>
      <w:r w:rsidR="008B4012">
        <w:t>hat little had taken place over the past year</w:t>
      </w:r>
      <w:r>
        <w:t>.</w:t>
      </w:r>
      <w:r w:rsidR="00D7330A">
        <w:t xml:space="preserve">  The proposed Rule</w:t>
      </w:r>
      <w:r w:rsidR="00326202">
        <w:t xml:space="preserve"> would correct what Rule 38.1 has become.</w:t>
      </w:r>
    </w:p>
    <w:p w:rsidR="00651BD4" w:rsidRDefault="00651BD4"/>
    <w:p w:rsidR="004564AC" w:rsidRDefault="004564AC"/>
    <w:p w:rsidR="00651BD4" w:rsidRDefault="002713AD">
      <w:r>
        <w:tab/>
        <w:t xml:space="preserve">Therefore, I am in support of </w:t>
      </w:r>
      <w:r w:rsidR="004564AC">
        <w:t xml:space="preserve">the change </w:t>
      </w:r>
      <w:r>
        <w:t>proposed through</w:t>
      </w:r>
      <w:r w:rsidR="004564AC">
        <w:t xml:space="preserve"> the Bar’s Petition. </w:t>
      </w:r>
    </w:p>
    <w:p w:rsidR="00651BD4" w:rsidRDefault="00651BD4" w:rsidP="00651BD4"/>
    <w:p w:rsidR="00651BD4" w:rsidRDefault="00651BD4" w:rsidP="00651BD4"/>
    <w:p w:rsidR="00651BD4" w:rsidRPr="00651BD4" w:rsidRDefault="00651BD4" w:rsidP="00651BD4">
      <w:r>
        <w:tab/>
      </w:r>
      <w:r>
        <w:tab/>
      </w:r>
      <w:r>
        <w:tab/>
      </w:r>
      <w:r>
        <w:tab/>
      </w:r>
      <w:r>
        <w:tab/>
      </w:r>
      <w:r>
        <w:tab/>
      </w:r>
      <w:r>
        <w:tab/>
      </w:r>
      <w:r>
        <w:tab/>
        <w:t>______________________________</w:t>
      </w:r>
    </w:p>
    <w:p w:rsidR="00967030" w:rsidRDefault="00651BD4" w:rsidP="00651BD4">
      <w:pPr>
        <w:tabs>
          <w:tab w:val="left" w:pos="6032"/>
        </w:tabs>
      </w:pPr>
      <w:r>
        <w:tab/>
        <w:t>Honorable Kenton D. Jones</w:t>
      </w:r>
    </w:p>
    <w:p w:rsidR="00651BD4" w:rsidRPr="00651BD4" w:rsidRDefault="00651BD4" w:rsidP="00651BD4">
      <w:pPr>
        <w:tabs>
          <w:tab w:val="left" w:pos="6032"/>
        </w:tabs>
      </w:pPr>
      <w:r>
        <w:tab/>
        <w:t>Yavapai County Superior Court</w:t>
      </w:r>
    </w:p>
    <w:sectPr w:rsidR="00651BD4" w:rsidRPr="00651BD4" w:rsidSect="00552746">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8C2" w:rsidRDefault="006D38C2" w:rsidP="006D38C2">
      <w:r>
        <w:separator/>
      </w:r>
    </w:p>
  </w:endnote>
  <w:endnote w:type="continuationSeparator" w:id="0">
    <w:p w:rsidR="006D38C2" w:rsidRDefault="006D38C2" w:rsidP="006D38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6669483"/>
      <w:docPartObj>
        <w:docPartGallery w:val="Page Numbers (Bottom of Page)"/>
        <w:docPartUnique/>
      </w:docPartObj>
    </w:sdtPr>
    <w:sdtContent>
      <w:p w:rsidR="006D38C2" w:rsidRDefault="00360C38">
        <w:pPr>
          <w:pStyle w:val="Footer"/>
          <w:jc w:val="center"/>
        </w:pPr>
        <w:fldSimple w:instr=" PAGE   \* MERGEFORMAT ">
          <w:r w:rsidR="009D3AB9">
            <w:rPr>
              <w:noProof/>
            </w:rPr>
            <w:t>2</w:t>
          </w:r>
        </w:fldSimple>
      </w:p>
    </w:sdtContent>
  </w:sdt>
  <w:p w:rsidR="006D38C2" w:rsidRDefault="006D38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8C2" w:rsidRDefault="006D38C2" w:rsidP="006D38C2">
      <w:r>
        <w:separator/>
      </w:r>
    </w:p>
  </w:footnote>
  <w:footnote w:type="continuationSeparator" w:id="0">
    <w:p w:rsidR="006D38C2" w:rsidRDefault="006D38C2" w:rsidP="006D38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C955F3"/>
    <w:multiLevelType w:val="hybridMultilevel"/>
    <w:tmpl w:val="3D2ADED2"/>
    <w:lvl w:ilvl="0" w:tplc="ABB84944">
      <w:start w:val="1"/>
      <w:numFmt w:val="decimal"/>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82D4862"/>
    <w:multiLevelType w:val="hybridMultilevel"/>
    <w:tmpl w:val="145C7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footnotePr>
    <w:footnote w:id="-1"/>
    <w:footnote w:id="0"/>
  </w:footnotePr>
  <w:endnotePr>
    <w:endnote w:id="-1"/>
    <w:endnote w:id="0"/>
  </w:endnotePr>
  <w:compat/>
  <w:rsids>
    <w:rsidRoot w:val="00374AB3"/>
    <w:rsid w:val="00077DFA"/>
    <w:rsid w:val="00170794"/>
    <w:rsid w:val="00175CB8"/>
    <w:rsid w:val="001843AD"/>
    <w:rsid w:val="00196B4A"/>
    <w:rsid w:val="001C0B6A"/>
    <w:rsid w:val="001C0CA4"/>
    <w:rsid w:val="002713AD"/>
    <w:rsid w:val="002A3B0F"/>
    <w:rsid w:val="002C1567"/>
    <w:rsid w:val="00326202"/>
    <w:rsid w:val="00360C38"/>
    <w:rsid w:val="00374AB3"/>
    <w:rsid w:val="00425002"/>
    <w:rsid w:val="004564AC"/>
    <w:rsid w:val="00476C60"/>
    <w:rsid w:val="004A23D2"/>
    <w:rsid w:val="004C3FDA"/>
    <w:rsid w:val="004C5553"/>
    <w:rsid w:val="004E4AC6"/>
    <w:rsid w:val="004F1BFE"/>
    <w:rsid w:val="00552746"/>
    <w:rsid w:val="0056275C"/>
    <w:rsid w:val="00651BD4"/>
    <w:rsid w:val="006D38C2"/>
    <w:rsid w:val="00724EB6"/>
    <w:rsid w:val="00732207"/>
    <w:rsid w:val="00750F1E"/>
    <w:rsid w:val="00796BFD"/>
    <w:rsid w:val="007F3030"/>
    <w:rsid w:val="00824544"/>
    <w:rsid w:val="008B4012"/>
    <w:rsid w:val="008C0607"/>
    <w:rsid w:val="008D1FE6"/>
    <w:rsid w:val="009516D6"/>
    <w:rsid w:val="00967030"/>
    <w:rsid w:val="00977454"/>
    <w:rsid w:val="009C01FD"/>
    <w:rsid w:val="009D3AB9"/>
    <w:rsid w:val="00A34187"/>
    <w:rsid w:val="00A46C95"/>
    <w:rsid w:val="00AF40A2"/>
    <w:rsid w:val="00BA0C02"/>
    <w:rsid w:val="00BE70D7"/>
    <w:rsid w:val="00C10EC5"/>
    <w:rsid w:val="00D25C00"/>
    <w:rsid w:val="00D7330A"/>
    <w:rsid w:val="00DD4F65"/>
    <w:rsid w:val="00DF58D1"/>
    <w:rsid w:val="00E6568E"/>
    <w:rsid w:val="00E76D14"/>
    <w:rsid w:val="00F55140"/>
    <w:rsid w:val="00F83B2E"/>
    <w:rsid w:val="00FB0E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607"/>
    <w:pPr>
      <w:spacing w:after="0" w:line="240" w:lineRule="auto"/>
      <w:contextualSpacing/>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BFE"/>
    <w:pPr>
      <w:ind w:left="720"/>
    </w:pPr>
  </w:style>
  <w:style w:type="paragraph" w:styleId="Header">
    <w:name w:val="header"/>
    <w:basedOn w:val="Normal"/>
    <w:link w:val="HeaderChar"/>
    <w:uiPriority w:val="99"/>
    <w:semiHidden/>
    <w:unhideWhenUsed/>
    <w:rsid w:val="006D38C2"/>
    <w:pPr>
      <w:tabs>
        <w:tab w:val="center" w:pos="4680"/>
        <w:tab w:val="right" w:pos="9360"/>
      </w:tabs>
    </w:pPr>
  </w:style>
  <w:style w:type="character" w:customStyle="1" w:styleId="HeaderChar">
    <w:name w:val="Header Char"/>
    <w:basedOn w:val="DefaultParagraphFont"/>
    <w:link w:val="Header"/>
    <w:uiPriority w:val="99"/>
    <w:semiHidden/>
    <w:rsid w:val="006D38C2"/>
    <w:rPr>
      <w:rFonts w:ascii="Times New Roman" w:hAnsi="Times New Roman"/>
      <w:sz w:val="24"/>
    </w:rPr>
  </w:style>
  <w:style w:type="paragraph" w:styleId="Footer">
    <w:name w:val="footer"/>
    <w:basedOn w:val="Normal"/>
    <w:link w:val="FooterChar"/>
    <w:uiPriority w:val="99"/>
    <w:unhideWhenUsed/>
    <w:rsid w:val="006D38C2"/>
    <w:pPr>
      <w:tabs>
        <w:tab w:val="center" w:pos="4680"/>
        <w:tab w:val="right" w:pos="9360"/>
      </w:tabs>
    </w:pPr>
  </w:style>
  <w:style w:type="character" w:customStyle="1" w:styleId="FooterChar">
    <w:name w:val="Footer Char"/>
    <w:basedOn w:val="DefaultParagraphFont"/>
    <w:link w:val="Footer"/>
    <w:uiPriority w:val="99"/>
    <w:rsid w:val="006D38C2"/>
    <w:rPr>
      <w:rFonts w:ascii="Times New Roman" w:hAnsi="Times New Roman"/>
      <w:sz w:val="24"/>
    </w:rPr>
  </w:style>
  <w:style w:type="paragraph" w:styleId="BalloonText">
    <w:name w:val="Balloon Text"/>
    <w:basedOn w:val="Normal"/>
    <w:link w:val="BalloonTextChar"/>
    <w:uiPriority w:val="99"/>
    <w:semiHidden/>
    <w:unhideWhenUsed/>
    <w:rsid w:val="006D38C2"/>
    <w:rPr>
      <w:rFonts w:ascii="Tahoma" w:hAnsi="Tahoma" w:cs="Tahoma"/>
      <w:sz w:val="16"/>
      <w:szCs w:val="16"/>
    </w:rPr>
  </w:style>
  <w:style w:type="character" w:customStyle="1" w:styleId="BalloonTextChar">
    <w:name w:val="Balloon Text Char"/>
    <w:basedOn w:val="DefaultParagraphFont"/>
    <w:link w:val="BalloonText"/>
    <w:uiPriority w:val="99"/>
    <w:semiHidden/>
    <w:rsid w:val="006D38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5673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9</cp:revision>
  <cp:lastPrinted>2013-04-01T12:45:00Z</cp:lastPrinted>
  <dcterms:created xsi:type="dcterms:W3CDTF">2013-04-01T18:44:00Z</dcterms:created>
  <dcterms:modified xsi:type="dcterms:W3CDTF">2013-04-01T22:08:00Z</dcterms:modified>
</cp:coreProperties>
</file>