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8AC" w:rsidRDefault="00215D72" w:rsidP="001E68AC">
      <w:pPr>
        <w:pStyle w:val="Caption-ClientInfo"/>
        <w:ind w:right="2556"/>
        <w:outlineLvl w:val="0"/>
        <w:rPr>
          <w:bCs/>
          <w:sz w:val="28"/>
        </w:rPr>
      </w:pPr>
      <w:r>
        <w:rPr>
          <w:bCs/>
          <w:sz w:val="28"/>
        </w:rPr>
        <w:t>Ann Birmingham Scheel</w:t>
      </w:r>
    </w:p>
    <w:p w:rsidR="00215D72" w:rsidRDefault="001E68AC" w:rsidP="001E68AC">
      <w:pPr>
        <w:pStyle w:val="Caption-ClientInfo"/>
        <w:ind w:right="2556"/>
        <w:outlineLvl w:val="0"/>
        <w:rPr>
          <w:bCs/>
          <w:sz w:val="28"/>
        </w:rPr>
      </w:pPr>
      <w:r>
        <w:rPr>
          <w:bCs/>
          <w:sz w:val="28"/>
        </w:rPr>
        <w:t>A</w:t>
      </w:r>
      <w:r w:rsidR="00215D72">
        <w:rPr>
          <w:bCs/>
          <w:sz w:val="28"/>
        </w:rPr>
        <w:t>rizona Bar No.</w:t>
      </w:r>
      <w:r w:rsidR="00101A2C">
        <w:rPr>
          <w:bCs/>
          <w:sz w:val="28"/>
        </w:rPr>
        <w:t xml:space="preserve"> </w:t>
      </w:r>
      <w:r>
        <w:rPr>
          <w:bCs/>
          <w:sz w:val="28"/>
        </w:rPr>
        <w:t>011399</w:t>
      </w:r>
    </w:p>
    <w:p w:rsidR="00875EEE" w:rsidRDefault="00215D72">
      <w:pPr>
        <w:pStyle w:val="Caption-ClientInfo"/>
        <w:rPr>
          <w:bCs/>
          <w:sz w:val="28"/>
        </w:rPr>
      </w:pPr>
      <w:r>
        <w:rPr>
          <w:bCs/>
          <w:sz w:val="28"/>
        </w:rPr>
        <w:t>Acting United States Attorney</w:t>
      </w:r>
    </w:p>
    <w:p w:rsidR="00215D72" w:rsidRDefault="00215D72">
      <w:pPr>
        <w:pStyle w:val="Caption-ClientInfo"/>
        <w:rPr>
          <w:bCs/>
          <w:sz w:val="28"/>
        </w:rPr>
      </w:pPr>
      <w:r>
        <w:rPr>
          <w:bCs/>
          <w:sz w:val="28"/>
        </w:rPr>
        <w:t>District of Arizona</w:t>
      </w:r>
    </w:p>
    <w:p w:rsidR="00D15F26" w:rsidRDefault="00215D72">
      <w:pPr>
        <w:pStyle w:val="Caption-ClientInfo"/>
        <w:rPr>
          <w:bCs/>
          <w:sz w:val="28"/>
        </w:rPr>
      </w:pPr>
      <w:r>
        <w:rPr>
          <w:bCs/>
          <w:sz w:val="28"/>
        </w:rPr>
        <w:t>40 N. Central Avenue</w:t>
      </w:r>
    </w:p>
    <w:p w:rsidR="00215D72" w:rsidRDefault="00215D72">
      <w:pPr>
        <w:pStyle w:val="Caption-ClientInfo"/>
        <w:rPr>
          <w:bCs/>
          <w:sz w:val="28"/>
        </w:rPr>
      </w:pPr>
      <w:r>
        <w:rPr>
          <w:bCs/>
          <w:sz w:val="28"/>
        </w:rPr>
        <w:t>Suite 1200</w:t>
      </w:r>
    </w:p>
    <w:p w:rsidR="00215D72" w:rsidRDefault="00215D72">
      <w:pPr>
        <w:pStyle w:val="Caption-ClientInfo"/>
        <w:rPr>
          <w:bCs/>
          <w:sz w:val="28"/>
        </w:rPr>
      </w:pPr>
      <w:r>
        <w:rPr>
          <w:bCs/>
          <w:sz w:val="28"/>
        </w:rPr>
        <w:t>Phoenix, Arizona 85004</w:t>
      </w:r>
    </w:p>
    <w:p w:rsidR="00215D72" w:rsidRDefault="00215D72">
      <w:pPr>
        <w:pStyle w:val="Caption-ClientInfo"/>
        <w:rPr>
          <w:bCs/>
          <w:sz w:val="28"/>
        </w:rPr>
      </w:pPr>
      <w:r>
        <w:rPr>
          <w:bCs/>
          <w:sz w:val="28"/>
        </w:rPr>
        <w:t>Tel: (602) 514-7518</w:t>
      </w:r>
    </w:p>
    <w:p w:rsidR="00215D72" w:rsidRDefault="00FE2F5B">
      <w:pPr>
        <w:pStyle w:val="Caption-ClientInfo"/>
        <w:rPr>
          <w:bCs/>
          <w:sz w:val="28"/>
        </w:rPr>
      </w:pPr>
      <w:r w:rsidRPr="00FE2F5B">
        <w:rPr>
          <w:bCs/>
          <w:sz w:val="28"/>
        </w:rPr>
        <w:t>Ann.Scheel@usdoj.gov</w:t>
      </w:r>
    </w:p>
    <w:p w:rsidR="00FE2F5B" w:rsidRDefault="00FE2F5B">
      <w:pPr>
        <w:pStyle w:val="Caption-ClientInfo"/>
        <w:rPr>
          <w:bCs/>
          <w:sz w:val="28"/>
        </w:rPr>
      </w:pPr>
    </w:p>
    <w:p w:rsidR="00FE2F5B" w:rsidRDefault="00FE2F5B">
      <w:pPr>
        <w:pStyle w:val="Caption-ClientInfo"/>
        <w:rPr>
          <w:bCs/>
          <w:sz w:val="28"/>
        </w:rPr>
      </w:pPr>
      <w:r>
        <w:rPr>
          <w:bCs/>
          <w:sz w:val="28"/>
        </w:rPr>
        <w:t>John R. Evans</w:t>
      </w:r>
    </w:p>
    <w:p w:rsidR="00FE2F5B" w:rsidRDefault="00FE2F5B">
      <w:pPr>
        <w:pStyle w:val="Caption-ClientInfo"/>
        <w:rPr>
          <w:bCs/>
          <w:sz w:val="28"/>
        </w:rPr>
      </w:pPr>
      <w:r>
        <w:rPr>
          <w:bCs/>
          <w:sz w:val="28"/>
        </w:rPr>
        <w:t>Arizona Bar No</w:t>
      </w:r>
      <w:r w:rsidR="00025849">
        <w:rPr>
          <w:bCs/>
          <w:sz w:val="28"/>
        </w:rPr>
        <w:t>. 05797</w:t>
      </w:r>
    </w:p>
    <w:p w:rsidR="00FE2F5B" w:rsidRDefault="00FE2F5B">
      <w:pPr>
        <w:pStyle w:val="Caption-ClientInfo"/>
        <w:rPr>
          <w:bCs/>
          <w:sz w:val="28"/>
        </w:rPr>
      </w:pPr>
      <w:r>
        <w:rPr>
          <w:bCs/>
          <w:sz w:val="28"/>
        </w:rPr>
        <w:t>Chief, Tucson Criminal Division</w:t>
      </w:r>
    </w:p>
    <w:p w:rsidR="00FE2F5B" w:rsidRDefault="00FE2F5B">
      <w:pPr>
        <w:pStyle w:val="Caption-ClientInfo"/>
        <w:rPr>
          <w:bCs/>
          <w:sz w:val="28"/>
        </w:rPr>
      </w:pPr>
      <w:r>
        <w:rPr>
          <w:bCs/>
          <w:sz w:val="28"/>
        </w:rPr>
        <w:t>District of Arizona</w:t>
      </w:r>
    </w:p>
    <w:p w:rsidR="00FE2F5B" w:rsidRDefault="00FE2F5B">
      <w:pPr>
        <w:pStyle w:val="Caption-ClientInfo"/>
        <w:rPr>
          <w:bCs/>
          <w:sz w:val="28"/>
        </w:rPr>
      </w:pPr>
      <w:r>
        <w:rPr>
          <w:bCs/>
          <w:sz w:val="28"/>
        </w:rPr>
        <w:t>405 W. Congress Street</w:t>
      </w:r>
    </w:p>
    <w:p w:rsidR="00FE2F5B" w:rsidRPr="00841706" w:rsidRDefault="00FE2F5B">
      <w:pPr>
        <w:pStyle w:val="Caption-ClientInfo"/>
        <w:rPr>
          <w:bCs/>
          <w:sz w:val="28"/>
          <w:lang w:val="es-MX"/>
        </w:rPr>
      </w:pPr>
      <w:r w:rsidRPr="00841706">
        <w:rPr>
          <w:bCs/>
          <w:sz w:val="28"/>
          <w:lang w:val="es-MX"/>
        </w:rPr>
        <w:t>Tucson, Arizona</w:t>
      </w:r>
    </w:p>
    <w:p w:rsidR="00FE2F5B" w:rsidRPr="00841706" w:rsidRDefault="00FE2F5B">
      <w:pPr>
        <w:pStyle w:val="Caption-ClientInfo"/>
        <w:rPr>
          <w:bCs/>
          <w:sz w:val="28"/>
          <w:lang w:val="es-MX"/>
        </w:rPr>
      </w:pPr>
      <w:r w:rsidRPr="00841706">
        <w:rPr>
          <w:bCs/>
          <w:sz w:val="28"/>
          <w:lang w:val="es-MX"/>
        </w:rPr>
        <w:t>Tel: (520) 620-7514</w:t>
      </w:r>
    </w:p>
    <w:p w:rsidR="00FE2F5B" w:rsidRPr="00841706" w:rsidRDefault="00FE2F5B">
      <w:pPr>
        <w:pStyle w:val="Caption-ClientInfo"/>
        <w:rPr>
          <w:bCs/>
          <w:sz w:val="28"/>
          <w:lang w:val="es-MX"/>
        </w:rPr>
      </w:pPr>
      <w:r w:rsidRPr="00841706">
        <w:rPr>
          <w:bCs/>
          <w:sz w:val="28"/>
          <w:lang w:val="es-MX"/>
        </w:rPr>
        <w:t>John.Evans2@usdoj.gov</w:t>
      </w:r>
    </w:p>
    <w:p w:rsidR="00FE2F5B" w:rsidRPr="00841706" w:rsidRDefault="00FE2F5B">
      <w:pPr>
        <w:pStyle w:val="Caption-ClientInfo"/>
        <w:rPr>
          <w:bCs/>
          <w:sz w:val="28"/>
          <w:lang w:val="es-MX"/>
        </w:rPr>
      </w:pPr>
    </w:p>
    <w:p w:rsidR="00FE2F5B" w:rsidRDefault="00FE2F5B">
      <w:pPr>
        <w:pStyle w:val="Caption-ClientInfo"/>
        <w:rPr>
          <w:bCs/>
          <w:sz w:val="28"/>
        </w:rPr>
      </w:pPr>
      <w:r>
        <w:rPr>
          <w:bCs/>
          <w:sz w:val="28"/>
        </w:rPr>
        <w:t>Gary M. Restaino</w:t>
      </w:r>
    </w:p>
    <w:p w:rsidR="00FE2F5B" w:rsidRDefault="00FE2F5B">
      <w:pPr>
        <w:pStyle w:val="Caption-ClientInfo"/>
        <w:rPr>
          <w:bCs/>
          <w:sz w:val="28"/>
        </w:rPr>
      </w:pPr>
      <w:r>
        <w:rPr>
          <w:bCs/>
          <w:sz w:val="28"/>
        </w:rPr>
        <w:t>Arizona Bar No. 017450</w:t>
      </w:r>
    </w:p>
    <w:p w:rsidR="00FE2F5B" w:rsidRDefault="00FE2F5B">
      <w:pPr>
        <w:pStyle w:val="Caption-ClientInfo"/>
        <w:rPr>
          <w:bCs/>
          <w:sz w:val="28"/>
        </w:rPr>
      </w:pPr>
      <w:r>
        <w:rPr>
          <w:bCs/>
          <w:sz w:val="28"/>
        </w:rPr>
        <w:t>Chief, Phoenix Criminal Division</w:t>
      </w:r>
    </w:p>
    <w:p w:rsidR="00FE2F5B" w:rsidRDefault="00FE2F5B">
      <w:pPr>
        <w:pStyle w:val="Caption-ClientInfo"/>
        <w:rPr>
          <w:bCs/>
          <w:sz w:val="28"/>
        </w:rPr>
      </w:pPr>
      <w:r>
        <w:rPr>
          <w:bCs/>
          <w:sz w:val="28"/>
        </w:rPr>
        <w:t>District of Arizona</w:t>
      </w:r>
    </w:p>
    <w:p w:rsidR="00FE2F5B" w:rsidRDefault="00FE2F5B">
      <w:pPr>
        <w:pStyle w:val="Caption-ClientInfo"/>
        <w:rPr>
          <w:bCs/>
          <w:sz w:val="28"/>
        </w:rPr>
      </w:pPr>
      <w:r>
        <w:rPr>
          <w:bCs/>
          <w:sz w:val="28"/>
        </w:rPr>
        <w:t>40 N. Central Avenue</w:t>
      </w:r>
    </w:p>
    <w:p w:rsidR="00FE2F5B" w:rsidRDefault="00FE2F5B">
      <w:pPr>
        <w:pStyle w:val="Caption-ClientInfo"/>
        <w:rPr>
          <w:bCs/>
          <w:sz w:val="28"/>
        </w:rPr>
      </w:pPr>
      <w:r>
        <w:rPr>
          <w:bCs/>
          <w:sz w:val="28"/>
        </w:rPr>
        <w:t>Suite 1200</w:t>
      </w:r>
    </w:p>
    <w:p w:rsidR="00FE2F5B" w:rsidRDefault="00FE2F5B">
      <w:pPr>
        <w:pStyle w:val="Caption-ClientInfo"/>
        <w:rPr>
          <w:bCs/>
          <w:sz w:val="28"/>
        </w:rPr>
      </w:pPr>
      <w:r>
        <w:rPr>
          <w:bCs/>
          <w:sz w:val="28"/>
        </w:rPr>
        <w:t>Phoenix, Arizona 85004</w:t>
      </w:r>
    </w:p>
    <w:p w:rsidR="00FE2F5B" w:rsidRDefault="00FE2F5B">
      <w:pPr>
        <w:pStyle w:val="Caption-ClientInfo"/>
        <w:rPr>
          <w:bCs/>
          <w:sz w:val="28"/>
        </w:rPr>
      </w:pPr>
      <w:r>
        <w:rPr>
          <w:bCs/>
          <w:sz w:val="28"/>
        </w:rPr>
        <w:t>Tel: (602) 514-7756</w:t>
      </w:r>
    </w:p>
    <w:p w:rsidR="00FE2F5B" w:rsidRDefault="00FE2F5B">
      <w:pPr>
        <w:pStyle w:val="Caption-ClientInfo"/>
        <w:rPr>
          <w:bCs/>
          <w:sz w:val="28"/>
        </w:rPr>
      </w:pPr>
      <w:r>
        <w:rPr>
          <w:bCs/>
          <w:sz w:val="28"/>
        </w:rPr>
        <w:t>Gary.Restaino@usdoj.gov</w:t>
      </w:r>
    </w:p>
    <w:p w:rsidR="00FE2F5B" w:rsidRDefault="00FE2F5B">
      <w:pPr>
        <w:pStyle w:val="Caption-ClientInfo"/>
        <w:rPr>
          <w:bCs/>
          <w:sz w:val="28"/>
        </w:rPr>
      </w:pPr>
    </w:p>
    <w:p w:rsidR="00D15F26" w:rsidRDefault="00D15F26" w:rsidP="00F21FA7">
      <w:pPr>
        <w:pStyle w:val="Caption-title"/>
        <w:outlineLvl w:val="0"/>
        <w:rPr>
          <w:sz w:val="28"/>
        </w:rPr>
      </w:pPr>
      <w:r>
        <w:rPr>
          <w:sz w:val="28"/>
        </w:rPr>
        <w:t>IN THE SUPREME COURT</w:t>
      </w:r>
    </w:p>
    <w:p w:rsidR="00D15F26" w:rsidRDefault="00D15F26">
      <w:pPr>
        <w:pStyle w:val="Caption-title"/>
        <w:rPr>
          <w:sz w:val="28"/>
        </w:rPr>
      </w:pPr>
    </w:p>
    <w:p w:rsidR="00D15F26" w:rsidRDefault="00D15F26" w:rsidP="004924B0">
      <w:pPr>
        <w:pStyle w:val="Caption-title"/>
        <w:outlineLvl w:val="0"/>
        <w:rPr>
          <w:sz w:val="28"/>
        </w:rPr>
      </w:pPr>
      <w:r>
        <w:rPr>
          <w:sz w:val="28"/>
        </w:rPr>
        <w:t>STATE OF ARIZONA</w:t>
      </w:r>
    </w:p>
    <w:p w:rsidR="00D15F26" w:rsidRDefault="00D15F26">
      <w:pPr>
        <w:pStyle w:val="Caption-title"/>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8"/>
        <w:gridCol w:w="4410"/>
      </w:tblGrid>
      <w:tr w:rsidR="00D15F26">
        <w:tc>
          <w:tcPr>
            <w:tcW w:w="4788" w:type="dxa"/>
            <w:tcBorders>
              <w:top w:val="nil"/>
              <w:left w:val="nil"/>
            </w:tcBorders>
          </w:tcPr>
          <w:p w:rsidR="00D15F26" w:rsidRDefault="00D15F26">
            <w:pPr>
              <w:pStyle w:val="Caption-PlaintiffDefendant"/>
              <w:jc w:val="left"/>
              <w:rPr>
                <w:sz w:val="28"/>
              </w:rPr>
            </w:pPr>
            <w:bookmarkStart w:id="0" w:name="PlaintiffInfo"/>
            <w:bookmarkEnd w:id="0"/>
          </w:p>
          <w:p w:rsidR="00D15F26" w:rsidRDefault="00D15F26">
            <w:pPr>
              <w:pStyle w:val="Caption-PlaintiffDefendant"/>
              <w:jc w:val="left"/>
              <w:rPr>
                <w:sz w:val="28"/>
              </w:rPr>
            </w:pPr>
          </w:p>
          <w:p w:rsidR="00D15F26" w:rsidRDefault="00D15F26">
            <w:pPr>
              <w:pStyle w:val="Caption-PlaintiffDefendant"/>
              <w:jc w:val="left"/>
              <w:rPr>
                <w:sz w:val="28"/>
              </w:rPr>
            </w:pPr>
            <w:r>
              <w:rPr>
                <w:sz w:val="28"/>
              </w:rPr>
              <w:t xml:space="preserve">In the Matter of </w:t>
            </w:r>
          </w:p>
          <w:p w:rsidR="00D15F26" w:rsidRDefault="00D15F26">
            <w:pPr>
              <w:pStyle w:val="Caption-PlaintiffDefendant"/>
              <w:jc w:val="left"/>
              <w:rPr>
                <w:sz w:val="28"/>
              </w:rPr>
            </w:pPr>
          </w:p>
          <w:p w:rsidR="00D15F26" w:rsidRDefault="00215D72" w:rsidP="00823457">
            <w:pPr>
              <w:pStyle w:val="Caption-PlaintiffDefendant"/>
              <w:rPr>
                <w:sz w:val="28"/>
              </w:rPr>
            </w:pPr>
            <w:r>
              <w:rPr>
                <w:sz w:val="28"/>
              </w:rPr>
              <w:t>PETITION TO AMEND RULE 3.8 OF THE ARIZONA RULES OF PROFESSIONAL CONDUCT (RULE 42 OF THE ARIZONA SUPREME COURT RULES)</w:t>
            </w:r>
          </w:p>
          <w:p w:rsidR="00D15F26" w:rsidRDefault="00D15F26">
            <w:pPr>
              <w:pStyle w:val="Caption-PlaintiffDefendant"/>
              <w:jc w:val="left"/>
              <w:rPr>
                <w:sz w:val="28"/>
              </w:rPr>
            </w:pPr>
          </w:p>
          <w:p w:rsidR="00D15F26" w:rsidRDefault="00D15F26">
            <w:pPr>
              <w:pStyle w:val="Caption-PlaintiffDefendant"/>
              <w:jc w:val="left"/>
              <w:rPr>
                <w:sz w:val="28"/>
              </w:rPr>
            </w:pPr>
          </w:p>
          <w:p w:rsidR="00D15F26" w:rsidRDefault="00D15F26">
            <w:pPr>
              <w:pStyle w:val="Caption-PlaintiffDefendant"/>
              <w:jc w:val="left"/>
              <w:rPr>
                <w:sz w:val="28"/>
              </w:rPr>
            </w:pPr>
          </w:p>
        </w:tc>
        <w:tc>
          <w:tcPr>
            <w:tcW w:w="4410" w:type="dxa"/>
            <w:tcBorders>
              <w:top w:val="nil"/>
              <w:bottom w:val="nil"/>
              <w:right w:val="nil"/>
            </w:tcBorders>
          </w:tcPr>
          <w:p w:rsidR="00D15F26" w:rsidRDefault="00D15F26">
            <w:pPr>
              <w:pStyle w:val="Caption-RightSide"/>
              <w:jc w:val="left"/>
              <w:rPr>
                <w:sz w:val="28"/>
              </w:rPr>
            </w:pPr>
          </w:p>
          <w:p w:rsidR="00D15F26" w:rsidRDefault="00D15F26">
            <w:pPr>
              <w:pStyle w:val="Caption-RightSide"/>
              <w:jc w:val="left"/>
              <w:rPr>
                <w:sz w:val="28"/>
              </w:rPr>
            </w:pPr>
          </w:p>
          <w:p w:rsidR="00D15F26" w:rsidRDefault="00D15F26">
            <w:pPr>
              <w:pStyle w:val="Caption-RightSide"/>
              <w:tabs>
                <w:tab w:val="right" w:pos="4122"/>
              </w:tabs>
              <w:jc w:val="left"/>
              <w:rPr>
                <w:sz w:val="28"/>
                <w:u w:val="single"/>
              </w:rPr>
            </w:pPr>
            <w:r>
              <w:rPr>
                <w:sz w:val="28"/>
              </w:rPr>
              <w:t xml:space="preserve">Supreme Court No. </w:t>
            </w:r>
            <w:bookmarkStart w:id="1" w:name="CaseNumber"/>
            <w:bookmarkEnd w:id="1"/>
            <w:r>
              <w:rPr>
                <w:sz w:val="28"/>
              </w:rPr>
              <w:t>R-</w:t>
            </w:r>
            <w:r w:rsidR="00215D72">
              <w:rPr>
                <w:sz w:val="28"/>
              </w:rPr>
              <w:t>11-0033</w:t>
            </w:r>
          </w:p>
          <w:p w:rsidR="00D15F26" w:rsidRDefault="00D15F26">
            <w:pPr>
              <w:pStyle w:val="Caption-RightSide"/>
              <w:jc w:val="left"/>
              <w:rPr>
                <w:sz w:val="28"/>
              </w:rPr>
            </w:pPr>
          </w:p>
          <w:p w:rsidR="00D15F26" w:rsidRDefault="002D7F06" w:rsidP="00823457">
            <w:pPr>
              <w:pStyle w:val="Caption-RightSide"/>
              <w:rPr>
                <w:b/>
                <w:sz w:val="28"/>
              </w:rPr>
            </w:pPr>
            <w:bookmarkStart w:id="2" w:name="Title"/>
            <w:bookmarkEnd w:id="2"/>
            <w:r>
              <w:rPr>
                <w:b/>
                <w:sz w:val="28"/>
              </w:rPr>
              <w:t xml:space="preserve">COMMENTS OF THE </w:t>
            </w:r>
            <w:r w:rsidR="00215D72">
              <w:rPr>
                <w:b/>
                <w:sz w:val="28"/>
              </w:rPr>
              <w:t>U.S. ATTORNEY</w:t>
            </w:r>
            <w:r w:rsidR="001B14E3">
              <w:rPr>
                <w:b/>
                <w:sz w:val="28"/>
              </w:rPr>
              <w:t>’S OFFICE</w:t>
            </w:r>
            <w:r w:rsidR="00215D72">
              <w:rPr>
                <w:b/>
                <w:sz w:val="28"/>
              </w:rPr>
              <w:t xml:space="preserve"> FOR THE DISTRICT OF ARIZONA</w:t>
            </w:r>
          </w:p>
          <w:p w:rsidR="00D15F26" w:rsidRDefault="00D15F26">
            <w:pPr>
              <w:pStyle w:val="Caption-RightSide"/>
              <w:rPr>
                <w:sz w:val="28"/>
              </w:rPr>
            </w:pPr>
            <w:bookmarkStart w:id="3" w:name="OralArgument"/>
            <w:bookmarkStart w:id="4" w:name="Judge"/>
            <w:bookmarkEnd w:id="3"/>
            <w:bookmarkEnd w:id="4"/>
          </w:p>
        </w:tc>
      </w:tr>
    </w:tbl>
    <w:p w:rsidR="0073075F" w:rsidRDefault="0073075F" w:rsidP="0073075F">
      <w:pPr>
        <w:pStyle w:val="PleadPara"/>
        <w:spacing w:line="360" w:lineRule="auto"/>
        <w:rPr>
          <w:sz w:val="28"/>
          <w:szCs w:val="28"/>
        </w:rPr>
      </w:pPr>
      <w:bookmarkStart w:id="5" w:name="StartHere"/>
      <w:bookmarkEnd w:id="5"/>
    </w:p>
    <w:p w:rsidR="003F1D8A" w:rsidRDefault="002F2EC6" w:rsidP="0073075F">
      <w:pPr>
        <w:pStyle w:val="PleadPara"/>
        <w:spacing w:line="360" w:lineRule="auto"/>
        <w:rPr>
          <w:sz w:val="28"/>
          <w:szCs w:val="28"/>
        </w:rPr>
      </w:pPr>
      <w:r w:rsidRPr="002D7F06">
        <w:rPr>
          <w:sz w:val="28"/>
          <w:szCs w:val="28"/>
        </w:rPr>
        <w:t>Pursuant to Ariz. Su</w:t>
      </w:r>
      <w:r w:rsidR="00971315" w:rsidRPr="002D7F06">
        <w:rPr>
          <w:sz w:val="28"/>
          <w:szCs w:val="28"/>
        </w:rPr>
        <w:t xml:space="preserve">p. Ct. R. 28(D), </w:t>
      </w:r>
      <w:r w:rsidR="00DE7D48">
        <w:rPr>
          <w:sz w:val="28"/>
          <w:szCs w:val="28"/>
        </w:rPr>
        <w:t xml:space="preserve">the </w:t>
      </w:r>
      <w:r w:rsidR="00DD7595">
        <w:rPr>
          <w:sz w:val="28"/>
          <w:szCs w:val="28"/>
        </w:rPr>
        <w:t>United States Attorney</w:t>
      </w:r>
      <w:r w:rsidR="00841706">
        <w:rPr>
          <w:sz w:val="28"/>
          <w:szCs w:val="28"/>
        </w:rPr>
        <w:t>’</w:t>
      </w:r>
      <w:r w:rsidR="00DD7595">
        <w:rPr>
          <w:sz w:val="28"/>
          <w:szCs w:val="28"/>
        </w:rPr>
        <w:t xml:space="preserve">s Office for the District of Arizona, by undersigned counsel, </w:t>
      </w:r>
      <w:r w:rsidR="001F4A69">
        <w:rPr>
          <w:sz w:val="28"/>
          <w:szCs w:val="28"/>
        </w:rPr>
        <w:t>respond</w:t>
      </w:r>
      <w:r w:rsidR="00841706">
        <w:rPr>
          <w:sz w:val="28"/>
          <w:szCs w:val="28"/>
        </w:rPr>
        <w:t>s</w:t>
      </w:r>
      <w:r w:rsidRPr="002D7F06">
        <w:rPr>
          <w:sz w:val="28"/>
          <w:szCs w:val="28"/>
        </w:rPr>
        <w:t xml:space="preserve"> to the above-referenced </w:t>
      </w:r>
      <w:r w:rsidR="00751A4B">
        <w:rPr>
          <w:sz w:val="28"/>
          <w:szCs w:val="28"/>
        </w:rPr>
        <w:lastRenderedPageBreak/>
        <w:t>P</w:t>
      </w:r>
      <w:r w:rsidRPr="002D7F06">
        <w:rPr>
          <w:sz w:val="28"/>
          <w:szCs w:val="28"/>
        </w:rPr>
        <w:t>etition</w:t>
      </w:r>
      <w:r w:rsidR="00DD7595">
        <w:rPr>
          <w:sz w:val="28"/>
          <w:szCs w:val="28"/>
        </w:rPr>
        <w:t xml:space="preserve"> and respectfully request</w:t>
      </w:r>
      <w:r w:rsidR="00841706">
        <w:rPr>
          <w:sz w:val="28"/>
          <w:szCs w:val="28"/>
        </w:rPr>
        <w:t>s</w:t>
      </w:r>
      <w:r w:rsidR="00DD7595">
        <w:rPr>
          <w:sz w:val="28"/>
          <w:szCs w:val="28"/>
        </w:rPr>
        <w:t xml:space="preserve"> that this Court deny the same</w:t>
      </w:r>
      <w:r w:rsidR="007F5E42">
        <w:rPr>
          <w:sz w:val="28"/>
          <w:szCs w:val="28"/>
        </w:rPr>
        <w:t xml:space="preserve">; or, in the alternative, prescribe </w:t>
      </w:r>
      <w:r w:rsidR="007C53E6">
        <w:rPr>
          <w:sz w:val="28"/>
          <w:szCs w:val="28"/>
        </w:rPr>
        <w:t>the additional</w:t>
      </w:r>
      <w:r w:rsidR="007F5E42">
        <w:rPr>
          <w:sz w:val="28"/>
          <w:szCs w:val="28"/>
        </w:rPr>
        <w:t xml:space="preserve"> obligations on all attorneys in the criminal justice system</w:t>
      </w:r>
      <w:r w:rsidR="00DD7595">
        <w:rPr>
          <w:sz w:val="28"/>
          <w:szCs w:val="28"/>
        </w:rPr>
        <w:t>.</w:t>
      </w:r>
      <w:r w:rsidR="003F1D8A">
        <w:rPr>
          <w:sz w:val="28"/>
          <w:szCs w:val="28"/>
        </w:rPr>
        <w:t xml:space="preserve">  </w:t>
      </w:r>
      <w:r w:rsidR="00DD7595">
        <w:rPr>
          <w:sz w:val="28"/>
          <w:szCs w:val="28"/>
        </w:rPr>
        <w:t xml:space="preserve">In its existing form, </w:t>
      </w:r>
      <w:r w:rsidR="001B3C34">
        <w:rPr>
          <w:sz w:val="28"/>
          <w:szCs w:val="28"/>
        </w:rPr>
        <w:t>Ethical Rule (“ER”) 3.8</w:t>
      </w:r>
      <w:r w:rsidR="00DD7595">
        <w:rPr>
          <w:sz w:val="28"/>
          <w:szCs w:val="28"/>
        </w:rPr>
        <w:t>’s imposition of special obligations on prosecutors</w:t>
      </w:r>
      <w:r w:rsidR="001B3C34">
        <w:rPr>
          <w:sz w:val="28"/>
          <w:szCs w:val="28"/>
        </w:rPr>
        <w:t xml:space="preserve"> appropriately imposes responsibilities on </w:t>
      </w:r>
      <w:r w:rsidR="007F5E42">
        <w:rPr>
          <w:sz w:val="28"/>
          <w:szCs w:val="28"/>
        </w:rPr>
        <w:t xml:space="preserve">city, county, state, and federal </w:t>
      </w:r>
      <w:r w:rsidR="001B3C34">
        <w:rPr>
          <w:sz w:val="28"/>
          <w:szCs w:val="28"/>
        </w:rPr>
        <w:t>prosecutor</w:t>
      </w:r>
      <w:r w:rsidR="007F5E42">
        <w:rPr>
          <w:sz w:val="28"/>
          <w:szCs w:val="28"/>
        </w:rPr>
        <w:t>s</w:t>
      </w:r>
      <w:r w:rsidR="001B3C34">
        <w:rPr>
          <w:sz w:val="28"/>
          <w:szCs w:val="28"/>
        </w:rPr>
        <w:t xml:space="preserve"> as “minister</w:t>
      </w:r>
      <w:r w:rsidR="007F5E42">
        <w:rPr>
          <w:sz w:val="28"/>
          <w:szCs w:val="28"/>
        </w:rPr>
        <w:t>[s]</w:t>
      </w:r>
      <w:r w:rsidR="001B3C34">
        <w:rPr>
          <w:sz w:val="28"/>
          <w:szCs w:val="28"/>
        </w:rPr>
        <w:t xml:space="preserve"> of justice” </w:t>
      </w:r>
      <w:r w:rsidR="00DD7595">
        <w:rPr>
          <w:sz w:val="28"/>
          <w:szCs w:val="28"/>
        </w:rPr>
        <w:t xml:space="preserve">beyond those </w:t>
      </w:r>
      <w:r w:rsidR="007F5E42">
        <w:rPr>
          <w:sz w:val="28"/>
          <w:szCs w:val="28"/>
        </w:rPr>
        <w:t xml:space="preserve">rules placed on non-government attorneys, </w:t>
      </w:r>
      <w:r w:rsidR="007C53E6">
        <w:rPr>
          <w:sz w:val="28"/>
          <w:szCs w:val="28"/>
        </w:rPr>
        <w:t>and also</w:t>
      </w:r>
      <w:r w:rsidR="007F5E42">
        <w:rPr>
          <w:sz w:val="28"/>
          <w:szCs w:val="28"/>
        </w:rPr>
        <w:t xml:space="preserve"> beyond those in the defense bar. </w:t>
      </w:r>
      <w:r w:rsidR="001B3C34">
        <w:rPr>
          <w:sz w:val="28"/>
          <w:szCs w:val="28"/>
        </w:rPr>
        <w:t>(</w:t>
      </w:r>
      <w:r w:rsidR="007C53E6" w:rsidRPr="007C53E6">
        <w:rPr>
          <w:sz w:val="28"/>
          <w:szCs w:val="28"/>
          <w:u w:val="single"/>
        </w:rPr>
        <w:t>See</w:t>
      </w:r>
      <w:r w:rsidR="007C53E6">
        <w:rPr>
          <w:sz w:val="28"/>
          <w:szCs w:val="28"/>
        </w:rPr>
        <w:t xml:space="preserve"> </w:t>
      </w:r>
      <w:r w:rsidR="001B3C34" w:rsidRPr="007C53E6">
        <w:rPr>
          <w:sz w:val="28"/>
          <w:szCs w:val="28"/>
        </w:rPr>
        <w:t>Comment</w:t>
      </w:r>
      <w:r w:rsidR="001B3C34">
        <w:rPr>
          <w:sz w:val="28"/>
          <w:szCs w:val="28"/>
        </w:rPr>
        <w:t xml:space="preserve"> ¶ 1)</w:t>
      </w:r>
      <w:r w:rsidR="007F5E42">
        <w:rPr>
          <w:sz w:val="28"/>
          <w:szCs w:val="28"/>
        </w:rPr>
        <w:t>.</w:t>
      </w:r>
      <w:r w:rsidR="00841706">
        <w:rPr>
          <w:sz w:val="28"/>
          <w:szCs w:val="28"/>
        </w:rPr>
        <w:t xml:space="preserve">  </w:t>
      </w:r>
      <w:r w:rsidR="007F5E42">
        <w:rPr>
          <w:sz w:val="28"/>
          <w:szCs w:val="28"/>
        </w:rPr>
        <w:t>Moreover,</w:t>
      </w:r>
      <w:r w:rsidR="001B3C34">
        <w:rPr>
          <w:sz w:val="28"/>
          <w:szCs w:val="28"/>
        </w:rPr>
        <w:t xml:space="preserve"> case law impose</w:t>
      </w:r>
      <w:r w:rsidR="00841706">
        <w:rPr>
          <w:sz w:val="28"/>
          <w:szCs w:val="28"/>
        </w:rPr>
        <w:t>s</w:t>
      </w:r>
      <w:r w:rsidR="001B3C34">
        <w:rPr>
          <w:sz w:val="28"/>
          <w:szCs w:val="28"/>
        </w:rPr>
        <w:t xml:space="preserve"> obligations on a prosecutor in post-conviction matters.  Petitioners</w:t>
      </w:r>
      <w:r w:rsidR="00266B65">
        <w:rPr>
          <w:sz w:val="28"/>
          <w:szCs w:val="28"/>
        </w:rPr>
        <w:t>’</w:t>
      </w:r>
      <w:r w:rsidR="001B3C34">
        <w:rPr>
          <w:sz w:val="28"/>
          <w:szCs w:val="28"/>
        </w:rPr>
        <w:t xml:space="preserve"> </w:t>
      </w:r>
      <w:r w:rsidR="00927FBF">
        <w:rPr>
          <w:sz w:val="28"/>
          <w:szCs w:val="28"/>
        </w:rPr>
        <w:t xml:space="preserve">well-intentioned </w:t>
      </w:r>
      <w:r w:rsidR="001B3C34">
        <w:rPr>
          <w:sz w:val="28"/>
          <w:szCs w:val="28"/>
        </w:rPr>
        <w:t xml:space="preserve">proposal to amend ER 3.8 by adding new subsections (g) and (h) with respect to new evidence obtained following a conviction is unnecessary, </w:t>
      </w:r>
      <w:r w:rsidR="00E228A8">
        <w:rPr>
          <w:sz w:val="28"/>
          <w:szCs w:val="28"/>
        </w:rPr>
        <w:t>inconsistent with existing obligations</w:t>
      </w:r>
      <w:r w:rsidR="001B3C34">
        <w:rPr>
          <w:sz w:val="28"/>
          <w:szCs w:val="28"/>
        </w:rPr>
        <w:t>, and</w:t>
      </w:r>
      <w:r w:rsidR="001F4A69">
        <w:rPr>
          <w:sz w:val="28"/>
          <w:szCs w:val="28"/>
        </w:rPr>
        <w:t xml:space="preserve"> (as to the investigation requirement)</w:t>
      </w:r>
      <w:r w:rsidR="001B3C34">
        <w:rPr>
          <w:sz w:val="28"/>
          <w:szCs w:val="28"/>
        </w:rPr>
        <w:t xml:space="preserve"> </w:t>
      </w:r>
      <w:r w:rsidR="007F5E42">
        <w:rPr>
          <w:sz w:val="28"/>
          <w:szCs w:val="28"/>
        </w:rPr>
        <w:t>contradictory to</w:t>
      </w:r>
      <w:r w:rsidR="001B3C34">
        <w:rPr>
          <w:sz w:val="28"/>
          <w:szCs w:val="28"/>
        </w:rPr>
        <w:t xml:space="preserve"> </w:t>
      </w:r>
      <w:r w:rsidR="007C53E6">
        <w:rPr>
          <w:sz w:val="28"/>
          <w:szCs w:val="28"/>
        </w:rPr>
        <w:t>a prosecutor’s</w:t>
      </w:r>
      <w:r w:rsidR="001B3C34">
        <w:rPr>
          <w:sz w:val="28"/>
          <w:szCs w:val="28"/>
        </w:rPr>
        <w:t xml:space="preserve"> role in the justice system.  In the alternative, </w:t>
      </w:r>
      <w:r w:rsidR="007F5E42">
        <w:rPr>
          <w:sz w:val="28"/>
          <w:szCs w:val="28"/>
        </w:rPr>
        <w:t xml:space="preserve">and in the interest of justice, </w:t>
      </w:r>
      <w:r w:rsidR="007C53E6">
        <w:rPr>
          <w:sz w:val="28"/>
          <w:szCs w:val="28"/>
        </w:rPr>
        <w:t>any additional</w:t>
      </w:r>
      <w:r w:rsidR="007F5E42">
        <w:rPr>
          <w:sz w:val="28"/>
          <w:szCs w:val="28"/>
        </w:rPr>
        <w:t xml:space="preserve"> </w:t>
      </w:r>
      <w:r w:rsidR="0056602F">
        <w:rPr>
          <w:sz w:val="28"/>
          <w:szCs w:val="28"/>
        </w:rPr>
        <w:t>obligations with respect to newly-discovered information are best imposed on all lawyers, consistent with every Arizona</w:t>
      </w:r>
      <w:r w:rsidR="00927FBF">
        <w:rPr>
          <w:sz w:val="28"/>
          <w:szCs w:val="28"/>
        </w:rPr>
        <w:t xml:space="preserve"> attorney’s obligation</w:t>
      </w:r>
      <w:r w:rsidR="0056602F">
        <w:rPr>
          <w:sz w:val="28"/>
          <w:szCs w:val="28"/>
        </w:rPr>
        <w:t xml:space="preserve"> as </w:t>
      </w:r>
      <w:r w:rsidR="00927FBF">
        <w:rPr>
          <w:sz w:val="28"/>
          <w:szCs w:val="28"/>
        </w:rPr>
        <w:t xml:space="preserve">an </w:t>
      </w:r>
      <w:r w:rsidR="007F5E42">
        <w:rPr>
          <w:sz w:val="28"/>
          <w:szCs w:val="28"/>
        </w:rPr>
        <w:t>officer o</w:t>
      </w:r>
      <w:r w:rsidR="00841706">
        <w:rPr>
          <w:sz w:val="28"/>
          <w:szCs w:val="28"/>
        </w:rPr>
        <w:t>f</w:t>
      </w:r>
      <w:r w:rsidR="007F5E42">
        <w:rPr>
          <w:sz w:val="28"/>
          <w:szCs w:val="28"/>
        </w:rPr>
        <w:t xml:space="preserve"> the court</w:t>
      </w:r>
      <w:r w:rsidR="0056602F">
        <w:rPr>
          <w:sz w:val="28"/>
          <w:szCs w:val="28"/>
        </w:rPr>
        <w:t>.</w:t>
      </w:r>
    </w:p>
    <w:p w:rsidR="0073075F" w:rsidRPr="0073075F" w:rsidRDefault="00927FBF" w:rsidP="00445D00">
      <w:pPr>
        <w:pStyle w:val="PleadPara"/>
        <w:numPr>
          <w:ilvl w:val="0"/>
          <w:numId w:val="7"/>
        </w:numPr>
        <w:spacing w:after="23" w:line="360" w:lineRule="auto"/>
        <w:rPr>
          <w:i/>
          <w:color w:val="000000"/>
          <w:sz w:val="28"/>
          <w:szCs w:val="28"/>
        </w:rPr>
      </w:pPr>
      <w:r w:rsidRPr="00445D00">
        <w:rPr>
          <w:sz w:val="28"/>
          <w:szCs w:val="28"/>
          <w:u w:val="single"/>
        </w:rPr>
        <w:t>The duty to disclose is already clear</w:t>
      </w:r>
      <w:r w:rsidRPr="0073075F">
        <w:rPr>
          <w:sz w:val="28"/>
          <w:szCs w:val="28"/>
        </w:rPr>
        <w:t>.</w:t>
      </w:r>
      <w:r w:rsidR="005815FF" w:rsidRPr="0073075F">
        <w:rPr>
          <w:sz w:val="28"/>
          <w:szCs w:val="28"/>
        </w:rPr>
        <w:t xml:space="preserve"> </w:t>
      </w:r>
    </w:p>
    <w:p w:rsidR="0073075F" w:rsidRDefault="005815FF" w:rsidP="0073075F">
      <w:pPr>
        <w:pStyle w:val="PleadPara"/>
        <w:spacing w:after="23" w:line="360" w:lineRule="auto"/>
        <w:rPr>
          <w:color w:val="000000"/>
          <w:sz w:val="28"/>
          <w:szCs w:val="28"/>
        </w:rPr>
      </w:pPr>
      <w:r w:rsidRPr="0073075F">
        <w:rPr>
          <w:sz w:val="28"/>
          <w:szCs w:val="28"/>
        </w:rPr>
        <w:t xml:space="preserve">Both the Ninth Circuit and this Court recognize the prosecutor’s duty to disclose exculpatory evidence post-conviction.  </w:t>
      </w:r>
      <w:r w:rsidRPr="0073075F">
        <w:rPr>
          <w:sz w:val="28"/>
          <w:szCs w:val="28"/>
          <w:u w:val="single"/>
        </w:rPr>
        <w:t>See, e.g.</w:t>
      </w:r>
      <w:r w:rsidRPr="0073075F">
        <w:rPr>
          <w:sz w:val="28"/>
          <w:szCs w:val="28"/>
        </w:rPr>
        <w:t xml:space="preserve"> </w:t>
      </w:r>
      <w:r w:rsidRPr="0073075F">
        <w:rPr>
          <w:sz w:val="28"/>
          <w:szCs w:val="28"/>
          <w:u w:val="single"/>
        </w:rPr>
        <w:t>Thomas v. Goldsmith</w:t>
      </w:r>
      <w:r w:rsidRPr="0073075F">
        <w:rPr>
          <w:sz w:val="28"/>
          <w:szCs w:val="28"/>
        </w:rPr>
        <w:t xml:space="preserve">, 979 F.2d 746 (9th Cir. 1992) (remanding for a determination of the existence of forensic evidence).  </w:t>
      </w:r>
      <w:r w:rsidRPr="0073075F">
        <w:rPr>
          <w:color w:val="000000"/>
          <w:sz w:val="28"/>
          <w:szCs w:val="28"/>
        </w:rPr>
        <w:t xml:space="preserve">“[W]e believe the state is under an obligation to come forward with any exculpatory semen evidence in its possession. We do not refer to the state's past duty to turn over exculpatory evidence at trial, but to its </w:t>
      </w:r>
      <w:bookmarkStart w:id="6" w:name="sp_350_750"/>
      <w:bookmarkStart w:id="7" w:name="SDU_750"/>
      <w:bookmarkStart w:id="8" w:name="citeas((Cite_as:_979_F.2d_746,_*750)"/>
      <w:bookmarkEnd w:id="6"/>
      <w:bookmarkEnd w:id="7"/>
      <w:bookmarkEnd w:id="8"/>
      <w:r w:rsidRPr="0073075F">
        <w:rPr>
          <w:color w:val="000000"/>
          <w:sz w:val="28"/>
          <w:szCs w:val="28"/>
        </w:rPr>
        <w:t xml:space="preserve">present duty to turn over exculpatory evidence relevant to the instant habeas corpus proceeding.”  </w:t>
      </w:r>
      <w:r w:rsidRPr="0073075F">
        <w:rPr>
          <w:color w:val="000000"/>
          <w:sz w:val="28"/>
          <w:szCs w:val="28"/>
          <w:u w:val="single"/>
        </w:rPr>
        <w:t>Id.</w:t>
      </w:r>
      <w:r w:rsidRPr="0073075F">
        <w:rPr>
          <w:color w:val="000000"/>
          <w:sz w:val="28"/>
          <w:szCs w:val="28"/>
        </w:rPr>
        <w:t xml:space="preserve"> at 749-50 (internal citation omitted).  </w:t>
      </w:r>
      <w:r w:rsidRPr="0073075F">
        <w:rPr>
          <w:color w:val="000000"/>
          <w:sz w:val="28"/>
          <w:szCs w:val="28"/>
          <w:u w:val="single"/>
        </w:rPr>
        <w:t>See also</w:t>
      </w:r>
      <w:r w:rsidRPr="0073075F">
        <w:rPr>
          <w:color w:val="000000"/>
          <w:sz w:val="28"/>
          <w:szCs w:val="28"/>
        </w:rPr>
        <w:t xml:space="preserve"> </w:t>
      </w:r>
      <w:r w:rsidRPr="0073075F">
        <w:rPr>
          <w:color w:val="000000"/>
          <w:sz w:val="28"/>
          <w:szCs w:val="28"/>
          <w:u w:val="single"/>
        </w:rPr>
        <w:t>Canion v. Cole</w:t>
      </w:r>
      <w:r w:rsidRPr="0073075F">
        <w:rPr>
          <w:color w:val="000000"/>
          <w:sz w:val="28"/>
          <w:szCs w:val="28"/>
        </w:rPr>
        <w:t xml:space="preserve">, 115 P. 3d 1261 (Ariz. 2005).  “The Court of Appeals found, and the State acknowledges, an ethical and constitutional obligation to disclose clearly exculpatory material that comes to its attention after the sentencing has occurred, and we affirm that the State does bear such a duty.”  </w:t>
      </w:r>
      <w:r w:rsidRPr="0073075F">
        <w:rPr>
          <w:color w:val="000000"/>
          <w:sz w:val="28"/>
          <w:szCs w:val="28"/>
          <w:u w:val="single"/>
        </w:rPr>
        <w:t>Id.</w:t>
      </w:r>
      <w:r w:rsidRPr="0073075F">
        <w:rPr>
          <w:color w:val="000000"/>
          <w:sz w:val="28"/>
          <w:szCs w:val="28"/>
        </w:rPr>
        <w:t xml:space="preserve"> at 1262.</w:t>
      </w:r>
      <w:r w:rsidR="0073075F" w:rsidRPr="0073075F">
        <w:rPr>
          <w:color w:val="000000"/>
          <w:sz w:val="28"/>
          <w:szCs w:val="28"/>
        </w:rPr>
        <w:t xml:space="preserve">  </w:t>
      </w:r>
      <w:r w:rsidR="0073075F">
        <w:rPr>
          <w:color w:val="000000"/>
          <w:sz w:val="28"/>
          <w:szCs w:val="28"/>
        </w:rPr>
        <w:t>Petitioner contends that the discussion</w:t>
      </w:r>
      <w:r w:rsidR="001F4A69">
        <w:rPr>
          <w:color w:val="000000"/>
          <w:sz w:val="28"/>
          <w:szCs w:val="28"/>
        </w:rPr>
        <w:t xml:space="preserve"> in </w:t>
      </w:r>
      <w:r w:rsidR="001F4A69">
        <w:rPr>
          <w:color w:val="000000"/>
          <w:sz w:val="28"/>
          <w:szCs w:val="28"/>
          <w:u w:val="single"/>
        </w:rPr>
        <w:t>Canion</w:t>
      </w:r>
      <w:r w:rsidR="0073075F">
        <w:rPr>
          <w:color w:val="000000"/>
          <w:sz w:val="28"/>
          <w:szCs w:val="28"/>
        </w:rPr>
        <w:t xml:space="preserve"> is mere “passing dictum,” (Pet. at 3-4 and n. 5), but this Court has </w:t>
      </w:r>
      <w:r w:rsidR="008D74A6">
        <w:rPr>
          <w:color w:val="000000"/>
          <w:sz w:val="28"/>
          <w:szCs w:val="28"/>
        </w:rPr>
        <w:t>eloquently established</w:t>
      </w:r>
      <w:r w:rsidR="0073075F">
        <w:rPr>
          <w:color w:val="000000"/>
          <w:sz w:val="28"/>
          <w:szCs w:val="28"/>
        </w:rPr>
        <w:t xml:space="preserve"> </w:t>
      </w:r>
      <w:r w:rsidR="0019080D">
        <w:rPr>
          <w:color w:val="000000"/>
          <w:sz w:val="28"/>
          <w:szCs w:val="28"/>
        </w:rPr>
        <w:t xml:space="preserve">in that case </w:t>
      </w:r>
      <w:r w:rsidR="0073075F">
        <w:rPr>
          <w:color w:val="000000"/>
          <w:sz w:val="28"/>
          <w:szCs w:val="28"/>
        </w:rPr>
        <w:t>a clearly defined standard</w:t>
      </w:r>
      <w:r w:rsidR="008D74A6">
        <w:rPr>
          <w:color w:val="000000"/>
          <w:sz w:val="28"/>
          <w:szCs w:val="28"/>
        </w:rPr>
        <w:t xml:space="preserve"> to guide Arizona’s prosecutors</w:t>
      </w:r>
      <w:r w:rsidR="0073075F">
        <w:rPr>
          <w:color w:val="000000"/>
          <w:sz w:val="28"/>
          <w:szCs w:val="28"/>
        </w:rPr>
        <w:t>.</w:t>
      </w:r>
    </w:p>
    <w:p w:rsidR="005815FF" w:rsidRDefault="0073075F" w:rsidP="0073075F">
      <w:pPr>
        <w:pStyle w:val="PleadPara"/>
        <w:spacing w:after="23" w:line="360" w:lineRule="auto"/>
        <w:rPr>
          <w:sz w:val="28"/>
          <w:szCs w:val="28"/>
        </w:rPr>
      </w:pPr>
      <w:r w:rsidRPr="0073075F">
        <w:rPr>
          <w:color w:val="000000"/>
          <w:sz w:val="28"/>
          <w:szCs w:val="28"/>
        </w:rPr>
        <w:t xml:space="preserve">Moreover, other Ethical Rules instill in the prosecutor related obligations.  </w:t>
      </w:r>
      <w:r w:rsidRPr="0073075F">
        <w:rPr>
          <w:sz w:val="28"/>
          <w:szCs w:val="28"/>
        </w:rPr>
        <w:t xml:space="preserve">ER 3.4, Fairness to Opposing Party and Counsel, requires that a lawyer shall not unlawfully conceal “material having potential evidentiary value.”  </w:t>
      </w:r>
      <w:r w:rsidR="004410B5">
        <w:rPr>
          <w:sz w:val="28"/>
          <w:szCs w:val="28"/>
        </w:rPr>
        <w:t xml:space="preserve">ER 3.3, Candor Toward the Tribunal, requires disclosure of information to correct false statements of law or fact, even if such disclosure is otherwise protected.  </w:t>
      </w:r>
      <w:r w:rsidRPr="0073075F">
        <w:rPr>
          <w:sz w:val="28"/>
          <w:szCs w:val="28"/>
        </w:rPr>
        <w:t xml:space="preserve">  ER 8.4(d) admonishes that it is professional misconduct to engage in conduct that is prejudicial to the administration of justice</w:t>
      </w:r>
      <w:r w:rsidR="00977303">
        <w:rPr>
          <w:sz w:val="28"/>
          <w:szCs w:val="28"/>
        </w:rPr>
        <w:t xml:space="preserve">, and </w:t>
      </w:r>
      <w:r w:rsidR="00445D00">
        <w:rPr>
          <w:sz w:val="28"/>
          <w:szCs w:val="28"/>
        </w:rPr>
        <w:t>that provision c</w:t>
      </w:r>
      <w:r w:rsidR="00977303">
        <w:rPr>
          <w:sz w:val="28"/>
          <w:szCs w:val="28"/>
        </w:rPr>
        <w:t>ould be violated by a prosecutor who knowingly suppresses evidence of actual innocence</w:t>
      </w:r>
      <w:r w:rsidRPr="0073075F">
        <w:rPr>
          <w:sz w:val="28"/>
          <w:szCs w:val="28"/>
        </w:rPr>
        <w:t xml:space="preserve">.  The existing rules, along with case law, </w:t>
      </w:r>
      <w:r w:rsidR="002D4541" w:rsidRPr="00841706">
        <w:rPr>
          <w:sz w:val="28"/>
          <w:szCs w:val="28"/>
        </w:rPr>
        <w:t xml:space="preserve">impose a duty on prosecutors to </w:t>
      </w:r>
      <w:r w:rsidR="007C53E6">
        <w:rPr>
          <w:sz w:val="28"/>
          <w:szCs w:val="28"/>
        </w:rPr>
        <w:t xml:space="preserve">disclose </w:t>
      </w:r>
      <w:r w:rsidR="002D4541" w:rsidRPr="00841706">
        <w:rPr>
          <w:sz w:val="28"/>
          <w:szCs w:val="28"/>
        </w:rPr>
        <w:t>clearly exculpatory evidence after sentencing</w:t>
      </w:r>
      <w:r w:rsidR="002D4541">
        <w:rPr>
          <w:sz w:val="28"/>
          <w:szCs w:val="28"/>
        </w:rPr>
        <w:t>.</w:t>
      </w:r>
    </w:p>
    <w:p w:rsidR="0056602F" w:rsidRPr="001F4A69" w:rsidRDefault="0073075F" w:rsidP="001F4A69">
      <w:pPr>
        <w:pStyle w:val="PleadPara"/>
        <w:spacing w:after="23" w:line="360" w:lineRule="auto"/>
        <w:rPr>
          <w:i/>
          <w:color w:val="000000"/>
          <w:sz w:val="28"/>
          <w:szCs w:val="28"/>
        </w:rPr>
      </w:pPr>
      <w:r>
        <w:rPr>
          <w:sz w:val="28"/>
          <w:szCs w:val="28"/>
        </w:rPr>
        <w:t xml:space="preserve">The Department of Justice has </w:t>
      </w:r>
      <w:r w:rsidR="00841706">
        <w:rPr>
          <w:sz w:val="28"/>
          <w:szCs w:val="28"/>
        </w:rPr>
        <w:t xml:space="preserve">regularly </w:t>
      </w:r>
      <w:r>
        <w:rPr>
          <w:sz w:val="28"/>
          <w:szCs w:val="28"/>
        </w:rPr>
        <w:t>opposed the ER 3.8 expansion efforts in other jurisdictions</w:t>
      </w:r>
      <w:r w:rsidR="001F4A69">
        <w:rPr>
          <w:sz w:val="28"/>
          <w:szCs w:val="28"/>
        </w:rPr>
        <w:t xml:space="preserve"> precisely</w:t>
      </w:r>
      <w:r>
        <w:rPr>
          <w:sz w:val="28"/>
          <w:szCs w:val="28"/>
        </w:rPr>
        <w:t xml:space="preserve"> because the obligation already exists.  </w:t>
      </w:r>
      <w:r w:rsidR="001F4A69">
        <w:rPr>
          <w:sz w:val="28"/>
          <w:szCs w:val="28"/>
        </w:rPr>
        <w:t>Moreover</w:t>
      </w:r>
      <w:r w:rsidRPr="004C2186">
        <w:rPr>
          <w:sz w:val="28"/>
          <w:szCs w:val="28"/>
        </w:rPr>
        <w:t xml:space="preserve">, the Department has adopted several internal procedures aimed at militating against </w:t>
      </w:r>
      <w:r w:rsidR="001F4A69">
        <w:rPr>
          <w:sz w:val="28"/>
          <w:szCs w:val="28"/>
        </w:rPr>
        <w:t xml:space="preserve">erroneous </w:t>
      </w:r>
      <w:r w:rsidR="004C2186" w:rsidRPr="004C2186">
        <w:rPr>
          <w:sz w:val="28"/>
          <w:szCs w:val="28"/>
        </w:rPr>
        <w:t>convictions</w:t>
      </w:r>
      <w:r w:rsidR="001F4A69">
        <w:rPr>
          <w:sz w:val="28"/>
          <w:szCs w:val="28"/>
        </w:rPr>
        <w:t xml:space="preserve"> based on flawed evidence</w:t>
      </w:r>
      <w:r w:rsidRPr="004C2186">
        <w:rPr>
          <w:sz w:val="28"/>
          <w:szCs w:val="28"/>
        </w:rPr>
        <w:t>, including requiring broader disclosure of potentially exculpatory information than is constitutionally required and providing our prosecutors with extensive yearly training on their discovery obligations.</w:t>
      </w:r>
      <w:r w:rsidR="004C2186">
        <w:rPr>
          <w:sz w:val="28"/>
          <w:szCs w:val="28"/>
        </w:rPr>
        <w:t xml:space="preserve">  We share the goals of the Petitioners, but as set forth below raise concerns of unanticipated consequences of a va</w:t>
      </w:r>
      <w:r w:rsidR="00445D00">
        <w:rPr>
          <w:sz w:val="28"/>
          <w:szCs w:val="28"/>
        </w:rPr>
        <w:t>gue set of standards that place</w:t>
      </w:r>
      <w:r w:rsidR="004C2186">
        <w:rPr>
          <w:sz w:val="28"/>
          <w:szCs w:val="28"/>
        </w:rPr>
        <w:t xml:space="preserve"> prosecutors into an investigative function.</w:t>
      </w:r>
      <w:r w:rsidR="00E228A8">
        <w:rPr>
          <w:sz w:val="28"/>
          <w:szCs w:val="28"/>
        </w:rPr>
        <w:tab/>
      </w:r>
    </w:p>
    <w:p w:rsidR="003F1D8A" w:rsidRDefault="00E228A8" w:rsidP="001231A9">
      <w:pPr>
        <w:pStyle w:val="PleadPara"/>
        <w:numPr>
          <w:ilvl w:val="0"/>
          <w:numId w:val="7"/>
        </w:numPr>
        <w:spacing w:line="276" w:lineRule="auto"/>
        <w:rPr>
          <w:sz w:val="28"/>
          <w:szCs w:val="28"/>
        </w:rPr>
      </w:pPr>
      <w:r>
        <w:rPr>
          <w:sz w:val="28"/>
          <w:szCs w:val="28"/>
        </w:rPr>
        <w:t xml:space="preserve"> </w:t>
      </w:r>
      <w:r w:rsidR="001F4A69" w:rsidRPr="00445D00">
        <w:rPr>
          <w:sz w:val="28"/>
          <w:szCs w:val="28"/>
          <w:u w:val="single"/>
        </w:rPr>
        <w:t xml:space="preserve">The proposed new Rule provisions are overly broad and </w:t>
      </w:r>
      <w:r w:rsidRPr="00445D00">
        <w:rPr>
          <w:sz w:val="28"/>
          <w:szCs w:val="28"/>
          <w:u w:val="single"/>
        </w:rPr>
        <w:t>inconsistent with the existing obligations</w:t>
      </w:r>
      <w:r w:rsidR="001F4A69">
        <w:rPr>
          <w:sz w:val="28"/>
          <w:szCs w:val="28"/>
        </w:rPr>
        <w:t>.</w:t>
      </w:r>
    </w:p>
    <w:p w:rsidR="001F4A69" w:rsidRPr="00841706" w:rsidRDefault="001F4A69" w:rsidP="001F4A69">
      <w:pPr>
        <w:pStyle w:val="PleadPara"/>
        <w:rPr>
          <w:sz w:val="28"/>
          <w:szCs w:val="28"/>
        </w:rPr>
      </w:pPr>
      <w:r>
        <w:rPr>
          <w:sz w:val="28"/>
          <w:szCs w:val="28"/>
        </w:rPr>
        <w:t xml:space="preserve">Subsection (g) </w:t>
      </w:r>
      <w:r w:rsidR="00E228A8">
        <w:rPr>
          <w:sz w:val="28"/>
          <w:szCs w:val="28"/>
        </w:rPr>
        <w:t xml:space="preserve">(1) </w:t>
      </w:r>
      <w:r>
        <w:rPr>
          <w:sz w:val="28"/>
          <w:szCs w:val="28"/>
        </w:rPr>
        <w:t xml:space="preserve">in particular is overly broad in its imposition of a disclosure obligation on all prosecutors in the state who </w:t>
      </w:r>
      <w:r w:rsidR="00E228A8">
        <w:rPr>
          <w:sz w:val="28"/>
          <w:szCs w:val="28"/>
        </w:rPr>
        <w:t xml:space="preserve">learn, through any forum, of evidence of actual innocence of any defendant who has been convicted anywhere.  It strains credulity to think that Arizona prosecutors should have an obligation to disclose to courts in other jurisdictions deficiencies in </w:t>
      </w:r>
      <w:r w:rsidR="00445D00">
        <w:rPr>
          <w:sz w:val="28"/>
          <w:szCs w:val="28"/>
        </w:rPr>
        <w:t xml:space="preserve">prosecutions or of </w:t>
      </w:r>
      <w:r w:rsidR="00E228A8">
        <w:rPr>
          <w:sz w:val="28"/>
          <w:szCs w:val="28"/>
        </w:rPr>
        <w:t>prosecutors licensed in those other jurisdictions.  To the extent this proposed new provision accomplished anything, it would likely encourage an onslaught of “I didn’t do it” letters directed to Arizona prosecutors</w:t>
      </w:r>
      <w:r w:rsidR="004410B5">
        <w:rPr>
          <w:sz w:val="28"/>
          <w:szCs w:val="28"/>
        </w:rPr>
        <w:t>, courts,</w:t>
      </w:r>
      <w:r w:rsidR="00E228A8">
        <w:rPr>
          <w:sz w:val="28"/>
          <w:szCs w:val="28"/>
        </w:rPr>
        <w:t xml:space="preserve"> </w:t>
      </w:r>
      <w:r w:rsidR="002D4541" w:rsidRPr="00841706">
        <w:rPr>
          <w:sz w:val="28"/>
          <w:szCs w:val="28"/>
        </w:rPr>
        <w:t>and the Arizona Bar</w:t>
      </w:r>
      <w:r w:rsidR="002D4541">
        <w:rPr>
          <w:sz w:val="28"/>
          <w:szCs w:val="28"/>
        </w:rPr>
        <w:t xml:space="preserve"> </w:t>
      </w:r>
      <w:r w:rsidR="00E228A8">
        <w:rPr>
          <w:sz w:val="28"/>
          <w:szCs w:val="28"/>
        </w:rPr>
        <w:t>by inmates housed in Arizona whose crimes were committed, charged and tried in another state.</w:t>
      </w:r>
      <w:r w:rsidR="002D4541">
        <w:rPr>
          <w:sz w:val="28"/>
          <w:szCs w:val="28"/>
        </w:rPr>
        <w:t xml:space="preserve">  </w:t>
      </w:r>
      <w:r w:rsidR="001E353A" w:rsidRPr="00841706">
        <w:rPr>
          <w:sz w:val="28"/>
          <w:szCs w:val="28"/>
        </w:rPr>
        <w:t xml:space="preserve">How is an Arizona prosecutor to know if the evidence presented shows actual innocence?  Equally important, how is disciplinary counsel for the Arizona State Bar to judge a well written, plaintive letter complaining about an Arizona prosecutor who did not remedy a claim of wrongful conviction, no matter </w:t>
      </w:r>
      <w:r w:rsidR="0019080D">
        <w:rPr>
          <w:sz w:val="28"/>
          <w:szCs w:val="28"/>
        </w:rPr>
        <w:t>the</w:t>
      </w:r>
      <w:r w:rsidR="001E353A" w:rsidRPr="00841706">
        <w:rPr>
          <w:sz w:val="28"/>
          <w:szCs w:val="28"/>
        </w:rPr>
        <w:t xml:space="preserve"> jurisdiction </w:t>
      </w:r>
      <w:r w:rsidR="0019080D">
        <w:rPr>
          <w:sz w:val="28"/>
          <w:szCs w:val="28"/>
        </w:rPr>
        <w:t>of</w:t>
      </w:r>
      <w:r w:rsidR="0019080D" w:rsidRPr="00841706">
        <w:rPr>
          <w:sz w:val="28"/>
          <w:szCs w:val="28"/>
        </w:rPr>
        <w:t xml:space="preserve"> </w:t>
      </w:r>
      <w:r w:rsidR="007C53E6">
        <w:rPr>
          <w:sz w:val="28"/>
          <w:szCs w:val="28"/>
        </w:rPr>
        <w:t>conviction</w:t>
      </w:r>
      <w:r w:rsidR="001E353A" w:rsidRPr="00841706">
        <w:rPr>
          <w:sz w:val="28"/>
          <w:szCs w:val="28"/>
        </w:rPr>
        <w:t>?</w:t>
      </w:r>
      <w:r w:rsidR="004410B5" w:rsidRPr="00841706">
        <w:rPr>
          <w:sz w:val="28"/>
          <w:szCs w:val="28"/>
        </w:rPr>
        <w:t xml:space="preserve"> Judging the proposed rule from the standpoint of mere practicality, its imposition would create an onslaught of Bar complaints against federal, state, and local prosecutors by prisoners seeking nothing more than an avenue to challenge their convictions. Such remedies are already provided, at least in the federal system, by petitioning the courts for habeas relief pursuant 28 U.S.C. §</w:t>
      </w:r>
      <w:r w:rsidR="00841706" w:rsidRPr="00841706">
        <w:rPr>
          <w:sz w:val="28"/>
          <w:szCs w:val="28"/>
        </w:rPr>
        <w:t>§</w:t>
      </w:r>
      <w:r w:rsidR="004410B5" w:rsidRPr="00841706">
        <w:rPr>
          <w:sz w:val="28"/>
          <w:szCs w:val="28"/>
        </w:rPr>
        <w:t xml:space="preserve"> </w:t>
      </w:r>
      <w:r w:rsidR="00521799" w:rsidRPr="00841706">
        <w:rPr>
          <w:sz w:val="28"/>
          <w:szCs w:val="28"/>
        </w:rPr>
        <w:t>2254, 2255, and 2241. The State Bar’s disciplinary system should not be substituted for the court system as a means of prisoners’ challenging their convictions.</w:t>
      </w:r>
    </w:p>
    <w:p w:rsidR="0076341F" w:rsidRDefault="0076341F" w:rsidP="001F4A69">
      <w:pPr>
        <w:pStyle w:val="PleadPara"/>
        <w:rPr>
          <w:sz w:val="28"/>
          <w:szCs w:val="28"/>
        </w:rPr>
      </w:pPr>
      <w:r w:rsidRPr="0076341F">
        <w:rPr>
          <w:sz w:val="28"/>
          <w:szCs w:val="28"/>
        </w:rPr>
        <w:t xml:space="preserve">Moreover, Petitioner’s efforts to define the phrase of art “new, credible and material evidence” </w:t>
      </w:r>
      <w:r w:rsidR="00DC6CB8">
        <w:rPr>
          <w:sz w:val="28"/>
          <w:szCs w:val="28"/>
        </w:rPr>
        <w:t xml:space="preserve">through commentary </w:t>
      </w:r>
      <w:r w:rsidRPr="0076341F">
        <w:rPr>
          <w:sz w:val="28"/>
          <w:szCs w:val="28"/>
        </w:rPr>
        <w:t>exacerbate the over-reaching</w:t>
      </w:r>
      <w:r w:rsidRPr="00841706">
        <w:rPr>
          <w:sz w:val="28"/>
          <w:szCs w:val="28"/>
        </w:rPr>
        <w:t>.</w:t>
      </w:r>
      <w:r w:rsidRPr="0076341F">
        <w:rPr>
          <w:sz w:val="28"/>
          <w:szCs w:val="28"/>
        </w:rPr>
        <w:t xml:space="preserve">  </w:t>
      </w:r>
      <w:r w:rsidRPr="0076341F">
        <w:rPr>
          <w:sz w:val="28"/>
          <w:szCs w:val="28"/>
          <w:lang w:val="en-CA"/>
        </w:rPr>
        <w:t>Because the proposed rule</w:t>
      </w:r>
      <w:r w:rsidRPr="0076341F">
        <w:rPr>
          <w:sz w:val="28"/>
          <w:szCs w:val="28"/>
        </w:rPr>
        <w:t xml:space="preserve"> imposes a requirement on </w:t>
      </w:r>
      <w:r w:rsidRPr="0076341F">
        <w:rPr>
          <w:bCs/>
          <w:i/>
          <w:iCs/>
          <w:sz w:val="28"/>
          <w:szCs w:val="28"/>
        </w:rPr>
        <w:t>all prosecutors</w:t>
      </w:r>
      <w:r w:rsidRPr="0076341F">
        <w:rPr>
          <w:sz w:val="28"/>
          <w:szCs w:val="28"/>
        </w:rPr>
        <w:t>, whether they have any prior involvement with the case or not, it is not clear how a prosecutor with no background in a case can meaningfully evaluate whether evidence is “new,” whether it is “credible,” and whether it is “material.”  In other words, a prosecutor may “know” of the existence of evidence, but have no basis to assess whether such evidence is in any sense material because it does not pertain to any case worked by that prosecutor.</w:t>
      </w:r>
    </w:p>
    <w:p w:rsidR="00B92039" w:rsidRPr="00B92039" w:rsidRDefault="00B92039" w:rsidP="00B92039">
      <w:pPr>
        <w:rPr>
          <w:sz w:val="28"/>
          <w:szCs w:val="28"/>
        </w:rPr>
      </w:pPr>
      <w:r w:rsidRPr="00F21FA7">
        <w:rPr>
          <w:sz w:val="28"/>
          <w:szCs w:val="28"/>
          <w:lang w:val="en-CA"/>
        </w:rPr>
        <w:t xml:space="preserve">Proposed sections </w:t>
      </w:r>
      <w:r w:rsidR="000C363F" w:rsidRPr="00F21FA7">
        <w:rPr>
          <w:sz w:val="28"/>
          <w:szCs w:val="28"/>
          <w:lang w:val="en-CA"/>
        </w:rPr>
        <w:fldChar w:fldCharType="begin"/>
      </w:r>
      <w:r w:rsidRPr="00F21FA7">
        <w:rPr>
          <w:sz w:val="28"/>
          <w:szCs w:val="28"/>
          <w:lang w:val="en-CA"/>
        </w:rPr>
        <w:instrText xml:space="preserve"> SEQ CHAPTER \h \r 1</w:instrText>
      </w:r>
      <w:r w:rsidR="000C363F" w:rsidRPr="00F21FA7">
        <w:rPr>
          <w:sz w:val="28"/>
          <w:szCs w:val="28"/>
          <w:lang w:val="en-CA"/>
        </w:rPr>
        <w:fldChar w:fldCharType="end"/>
      </w:r>
      <w:r w:rsidRPr="00F21FA7">
        <w:rPr>
          <w:sz w:val="28"/>
          <w:szCs w:val="28"/>
          <w:lang w:val="en-CA"/>
        </w:rPr>
        <w:t xml:space="preserve"> 3</w:t>
      </w:r>
      <w:r w:rsidRPr="00F21FA7">
        <w:rPr>
          <w:sz w:val="28"/>
          <w:szCs w:val="28"/>
        </w:rPr>
        <w:t xml:space="preserve">.8(g)(1) and(2) compound this confusion by requiring a prosecutor to act upon such </w:t>
      </w:r>
      <w:r w:rsidRPr="007C53E6">
        <w:rPr>
          <w:sz w:val="28"/>
          <w:szCs w:val="28"/>
        </w:rPr>
        <w:t>knowledge</w:t>
      </w:r>
      <w:r w:rsidRPr="00F21FA7">
        <w:rPr>
          <w:sz w:val="28"/>
          <w:szCs w:val="28"/>
        </w:rPr>
        <w:t xml:space="preserve"> “promptly.”  Although the proposed rule does not define “promptly,” presumably it requires significant dispatch.  Yet the proposed rule does not reasonably inform prosecutors when they must act.  Is that duty of speed triggered when the prosecutor receives the evidence or only when the prosecutor learns that the evidence is new, credible, and material?  Put differently, how will a prosecutor with no background knowledge of a prosecution be able to act “promptly” when that prosecutor may know nothing about the charges, nothing about the witnesses, nothing about the broader investigation, nothing about the discovery that occurred, nothing about discussions had between the prosecutor in charge of the case and the defense counsel, and so on?</w:t>
      </w:r>
      <w:r w:rsidRPr="00B92039">
        <w:rPr>
          <w:sz w:val="28"/>
          <w:szCs w:val="28"/>
        </w:rPr>
        <w:t xml:space="preserve">  </w:t>
      </w:r>
    </w:p>
    <w:p w:rsidR="00E228A8" w:rsidRDefault="00E228A8" w:rsidP="001F4A69">
      <w:pPr>
        <w:pStyle w:val="PleadPara"/>
        <w:rPr>
          <w:sz w:val="28"/>
          <w:szCs w:val="28"/>
        </w:rPr>
      </w:pPr>
      <w:r>
        <w:rPr>
          <w:sz w:val="28"/>
          <w:szCs w:val="28"/>
        </w:rPr>
        <w:t xml:space="preserve">Aside from the overbreadth, </w:t>
      </w:r>
      <w:r w:rsidR="00977303">
        <w:rPr>
          <w:sz w:val="28"/>
          <w:szCs w:val="28"/>
        </w:rPr>
        <w:t>proposed new subsection “g” is</w:t>
      </w:r>
      <w:r>
        <w:rPr>
          <w:sz w:val="28"/>
          <w:szCs w:val="28"/>
        </w:rPr>
        <w:t xml:space="preserve"> inconsistent with the existing duty to disclose “clearly exculpatory material.”  </w:t>
      </w:r>
      <w:r w:rsidR="00977303">
        <w:rPr>
          <w:sz w:val="28"/>
          <w:szCs w:val="28"/>
        </w:rPr>
        <w:t xml:space="preserve">Petitioner seeks to overrule </w:t>
      </w:r>
      <w:r w:rsidR="00977303">
        <w:rPr>
          <w:sz w:val="28"/>
          <w:szCs w:val="28"/>
          <w:u w:val="single"/>
        </w:rPr>
        <w:t>Canion</w:t>
      </w:r>
      <w:r w:rsidR="00977303">
        <w:rPr>
          <w:sz w:val="28"/>
          <w:szCs w:val="28"/>
        </w:rPr>
        <w:t xml:space="preserve"> through the rule-making process rather than through an actual case or controversy.  </w:t>
      </w:r>
      <w:r w:rsidR="001E353A">
        <w:rPr>
          <w:sz w:val="28"/>
          <w:szCs w:val="28"/>
        </w:rPr>
        <w:t>T</w:t>
      </w:r>
      <w:r w:rsidR="00977303">
        <w:rPr>
          <w:sz w:val="28"/>
          <w:szCs w:val="28"/>
        </w:rPr>
        <w:t xml:space="preserve">o the extent that Petitioner intends the proposed language to merely mirror existing law, </w:t>
      </w:r>
      <w:r w:rsidR="00171A0C" w:rsidRPr="00841706">
        <w:rPr>
          <w:sz w:val="28"/>
          <w:szCs w:val="28"/>
        </w:rPr>
        <w:t xml:space="preserve">it fails. </w:t>
      </w:r>
      <w:r w:rsidR="004B1E32" w:rsidRPr="00841706">
        <w:rPr>
          <w:sz w:val="28"/>
          <w:szCs w:val="28"/>
        </w:rPr>
        <w:t xml:space="preserve">There is a difference between “new, credible and material” and “clearly exculpatory” evidence.  For example, </w:t>
      </w:r>
      <w:r w:rsidR="007C31BC" w:rsidRPr="00841706">
        <w:rPr>
          <w:sz w:val="28"/>
          <w:szCs w:val="28"/>
        </w:rPr>
        <w:t xml:space="preserve">it is not uncommon for convicted persons who are faced with sex offender registration requirements to seek to persuade a victim (sometimes a family member) to recant the victim’s testimony.  </w:t>
      </w:r>
      <w:r w:rsidR="00F56B0C" w:rsidRPr="00841706">
        <w:rPr>
          <w:sz w:val="28"/>
          <w:szCs w:val="28"/>
        </w:rPr>
        <w:t>The proposed</w:t>
      </w:r>
      <w:r w:rsidR="007C53E6">
        <w:rPr>
          <w:sz w:val="28"/>
          <w:szCs w:val="28"/>
        </w:rPr>
        <w:t xml:space="preserve"> modification to</w:t>
      </w:r>
      <w:r w:rsidR="007C31BC" w:rsidRPr="00841706">
        <w:rPr>
          <w:sz w:val="28"/>
          <w:szCs w:val="28"/>
        </w:rPr>
        <w:t xml:space="preserve"> Rule 3.8 would raise the risk that a prosecutor must deem such post-hoc recantation to be “credible” and “material” </w:t>
      </w:r>
      <w:r w:rsidR="0019080D">
        <w:rPr>
          <w:sz w:val="28"/>
          <w:szCs w:val="28"/>
        </w:rPr>
        <w:t>even where</w:t>
      </w:r>
      <w:r w:rsidR="0067094C" w:rsidRPr="00841706">
        <w:rPr>
          <w:sz w:val="28"/>
          <w:szCs w:val="28"/>
        </w:rPr>
        <w:t xml:space="preserve"> not “clearly exculpatory</w:t>
      </w:r>
      <w:r w:rsidR="00823457">
        <w:rPr>
          <w:sz w:val="28"/>
          <w:szCs w:val="28"/>
        </w:rPr>
        <w:t>.</w:t>
      </w:r>
      <w:r w:rsidR="0067094C" w:rsidRPr="00841706">
        <w:rPr>
          <w:sz w:val="28"/>
          <w:szCs w:val="28"/>
        </w:rPr>
        <w:t xml:space="preserve">”  </w:t>
      </w:r>
      <w:r w:rsidR="00823457">
        <w:rPr>
          <w:sz w:val="28"/>
          <w:szCs w:val="28"/>
        </w:rPr>
        <w:t>A</w:t>
      </w:r>
      <w:r w:rsidR="0067094C" w:rsidRPr="00841706">
        <w:rPr>
          <w:sz w:val="28"/>
          <w:szCs w:val="28"/>
        </w:rPr>
        <w:t xml:space="preserve"> prosecutor may </w:t>
      </w:r>
      <w:r w:rsidR="00823457">
        <w:rPr>
          <w:sz w:val="28"/>
          <w:szCs w:val="28"/>
        </w:rPr>
        <w:t xml:space="preserve">thus </w:t>
      </w:r>
      <w:r w:rsidR="0019080D">
        <w:rPr>
          <w:sz w:val="28"/>
          <w:szCs w:val="28"/>
        </w:rPr>
        <w:t xml:space="preserve">be required to </w:t>
      </w:r>
      <w:r w:rsidR="007C31BC" w:rsidRPr="00841706">
        <w:rPr>
          <w:sz w:val="28"/>
          <w:szCs w:val="28"/>
        </w:rPr>
        <w:t>undertake</w:t>
      </w:r>
      <w:r w:rsidR="0067094C" w:rsidRPr="00841706">
        <w:rPr>
          <w:sz w:val="28"/>
          <w:szCs w:val="28"/>
        </w:rPr>
        <w:t xml:space="preserve"> an investigation of this </w:t>
      </w:r>
      <w:r w:rsidR="00823457">
        <w:rPr>
          <w:sz w:val="28"/>
          <w:szCs w:val="28"/>
        </w:rPr>
        <w:t xml:space="preserve">type of </w:t>
      </w:r>
      <w:r w:rsidR="0067094C" w:rsidRPr="00841706">
        <w:rPr>
          <w:sz w:val="28"/>
          <w:szCs w:val="28"/>
        </w:rPr>
        <w:t xml:space="preserve">claim to avoid </w:t>
      </w:r>
      <w:r w:rsidR="007C31BC" w:rsidRPr="00841706">
        <w:rPr>
          <w:sz w:val="28"/>
          <w:szCs w:val="28"/>
        </w:rPr>
        <w:t xml:space="preserve">a disciplinary complaint and the necessity of preparing a response to </w:t>
      </w:r>
      <w:r w:rsidR="0019080D">
        <w:rPr>
          <w:sz w:val="28"/>
          <w:szCs w:val="28"/>
        </w:rPr>
        <w:t>the</w:t>
      </w:r>
      <w:r w:rsidR="0019080D" w:rsidRPr="00841706">
        <w:rPr>
          <w:sz w:val="28"/>
          <w:szCs w:val="28"/>
        </w:rPr>
        <w:t xml:space="preserve"> </w:t>
      </w:r>
      <w:r w:rsidR="007C31BC" w:rsidRPr="00841706">
        <w:rPr>
          <w:sz w:val="28"/>
          <w:szCs w:val="28"/>
        </w:rPr>
        <w:t>State Bar.</w:t>
      </w:r>
      <w:r w:rsidR="004B1E32" w:rsidRPr="00841706">
        <w:rPr>
          <w:sz w:val="28"/>
          <w:szCs w:val="28"/>
        </w:rPr>
        <w:t xml:space="preserve"> </w:t>
      </w:r>
    </w:p>
    <w:p w:rsidR="001231A9" w:rsidRPr="00977303" w:rsidRDefault="001231A9" w:rsidP="001F4A69">
      <w:pPr>
        <w:pStyle w:val="PleadPara"/>
        <w:rPr>
          <w:sz w:val="28"/>
          <w:szCs w:val="28"/>
        </w:rPr>
      </w:pPr>
    </w:p>
    <w:p w:rsidR="003F1D8A" w:rsidRDefault="0076341F" w:rsidP="001231A9">
      <w:pPr>
        <w:pStyle w:val="PleadPara"/>
        <w:numPr>
          <w:ilvl w:val="0"/>
          <w:numId w:val="7"/>
        </w:numPr>
        <w:spacing w:line="276" w:lineRule="auto"/>
        <w:rPr>
          <w:sz w:val="28"/>
          <w:szCs w:val="28"/>
        </w:rPr>
      </w:pPr>
      <w:r w:rsidRPr="00445D00">
        <w:rPr>
          <w:sz w:val="28"/>
          <w:szCs w:val="28"/>
          <w:u w:val="single"/>
        </w:rPr>
        <w:t>Investigative duties are inconsistent with the role of a federal prosecutor</w:t>
      </w:r>
      <w:r>
        <w:rPr>
          <w:sz w:val="28"/>
          <w:szCs w:val="28"/>
        </w:rPr>
        <w:t>.</w:t>
      </w:r>
    </w:p>
    <w:p w:rsidR="0019080D" w:rsidRDefault="008A3062" w:rsidP="008A3062">
      <w:pPr>
        <w:pStyle w:val="PleadPara"/>
        <w:rPr>
          <w:sz w:val="28"/>
          <w:szCs w:val="28"/>
        </w:rPr>
      </w:pPr>
      <w:r>
        <w:rPr>
          <w:sz w:val="28"/>
          <w:szCs w:val="28"/>
        </w:rPr>
        <w:t xml:space="preserve">Petitioner carefully notes that it does not seek to require a prosecutor to undertake an investigation, but rather to “make reasonable efforts to cause an investigation.”  </w:t>
      </w:r>
      <w:r w:rsidR="00445D00">
        <w:rPr>
          <w:sz w:val="28"/>
          <w:szCs w:val="28"/>
        </w:rPr>
        <w:t xml:space="preserve">(Pet. at </w:t>
      </w:r>
      <w:r w:rsidR="00CF6A41">
        <w:rPr>
          <w:sz w:val="28"/>
          <w:szCs w:val="28"/>
        </w:rPr>
        <w:t xml:space="preserve">8.)  </w:t>
      </w:r>
      <w:r w:rsidR="00521799">
        <w:rPr>
          <w:sz w:val="28"/>
          <w:szCs w:val="28"/>
        </w:rPr>
        <w:t xml:space="preserve">The argument is a stratagem aimed at getting the same result. </w:t>
      </w:r>
      <w:r>
        <w:rPr>
          <w:sz w:val="28"/>
          <w:szCs w:val="28"/>
        </w:rPr>
        <w:t xml:space="preserve">Particularly in the federal system, </w:t>
      </w:r>
      <w:r w:rsidR="00CF6A41">
        <w:rPr>
          <w:sz w:val="28"/>
          <w:szCs w:val="28"/>
        </w:rPr>
        <w:t xml:space="preserve">and in contrast to many Arizona counties, </w:t>
      </w:r>
      <w:r>
        <w:rPr>
          <w:sz w:val="28"/>
          <w:szCs w:val="28"/>
        </w:rPr>
        <w:t>prosecutors have no in-house investigators and must obtain the assistance of other federal agencies, or of other components within the Department of Justice</w:t>
      </w:r>
      <w:r w:rsidR="00A51B43">
        <w:rPr>
          <w:sz w:val="28"/>
          <w:szCs w:val="28"/>
        </w:rPr>
        <w:t>,</w:t>
      </w:r>
      <w:r w:rsidR="00521799">
        <w:rPr>
          <w:sz w:val="28"/>
          <w:szCs w:val="28"/>
        </w:rPr>
        <w:t xml:space="preserve"> to investigate a crime</w:t>
      </w:r>
      <w:r>
        <w:rPr>
          <w:sz w:val="28"/>
          <w:szCs w:val="28"/>
        </w:rPr>
        <w:t xml:space="preserve">.  Federal prosecutors have no general investigative powers, and cannot compel testimony or subpoena evidence post-conviction.  </w:t>
      </w:r>
    </w:p>
    <w:p w:rsidR="008A3062" w:rsidRDefault="008A3062" w:rsidP="0019080D">
      <w:pPr>
        <w:pStyle w:val="PleadPara"/>
        <w:rPr>
          <w:sz w:val="28"/>
          <w:szCs w:val="28"/>
        </w:rPr>
      </w:pPr>
      <w:r>
        <w:rPr>
          <w:sz w:val="28"/>
          <w:szCs w:val="28"/>
        </w:rPr>
        <w:t>A further practical reality imped</w:t>
      </w:r>
      <w:r w:rsidR="008D0001">
        <w:rPr>
          <w:sz w:val="28"/>
          <w:szCs w:val="28"/>
        </w:rPr>
        <w:t>e</w:t>
      </w:r>
      <w:r>
        <w:rPr>
          <w:sz w:val="28"/>
          <w:szCs w:val="28"/>
        </w:rPr>
        <w:t xml:space="preserve">s </w:t>
      </w:r>
      <w:r w:rsidR="008D0001">
        <w:rPr>
          <w:sz w:val="28"/>
          <w:szCs w:val="28"/>
        </w:rPr>
        <w:t xml:space="preserve">the proposed investigation mandate.  Such a mandate could blur the lines between the qualified immunity generally afforded to investigators and the absolute immunity for prosecution (and judicial) functions.  </w:t>
      </w:r>
      <w:r w:rsidR="008D0001">
        <w:rPr>
          <w:sz w:val="28"/>
          <w:szCs w:val="28"/>
          <w:u w:val="single"/>
        </w:rPr>
        <w:t>E.g.</w:t>
      </w:r>
      <w:r w:rsidR="008D0001">
        <w:rPr>
          <w:sz w:val="28"/>
          <w:szCs w:val="28"/>
        </w:rPr>
        <w:t xml:space="preserve"> </w:t>
      </w:r>
      <w:r w:rsidR="00DC6CB8">
        <w:rPr>
          <w:sz w:val="28"/>
          <w:szCs w:val="28"/>
          <w:u w:val="single"/>
        </w:rPr>
        <w:t>Buckley v. Fitzsimmons</w:t>
      </w:r>
      <w:r w:rsidR="00DC6CB8">
        <w:rPr>
          <w:sz w:val="28"/>
          <w:szCs w:val="28"/>
        </w:rPr>
        <w:t>, 509 U.S. 259, 274 (1993):</w:t>
      </w:r>
    </w:p>
    <w:p w:rsidR="00DC6CB8" w:rsidRDefault="00DC6CB8" w:rsidP="008A3062">
      <w:pPr>
        <w:pStyle w:val="PleadPara"/>
        <w:rPr>
          <w:sz w:val="28"/>
          <w:szCs w:val="28"/>
        </w:rPr>
      </w:pPr>
    </w:p>
    <w:p w:rsidR="00DC6CB8" w:rsidRPr="00DC6CB8" w:rsidRDefault="00DC6CB8" w:rsidP="00DC6CB8">
      <w:pPr>
        <w:spacing w:after="23" w:line="240" w:lineRule="auto"/>
        <w:ind w:left="720" w:right="576" w:firstLine="0"/>
        <w:rPr>
          <w:color w:val="000000"/>
          <w:sz w:val="28"/>
          <w:szCs w:val="28"/>
        </w:rPr>
      </w:pPr>
      <w:r w:rsidRPr="006C2C23">
        <w:rPr>
          <w:color w:val="000000"/>
          <w:sz w:val="28"/>
          <w:szCs w:val="28"/>
        </w:rPr>
        <w:t xml:space="preserve">There is a difference between the advocate's role in evaluating evidence and interviewing witnesses as he prepares for trial, on the one hand, and the detective's role in searching for the clues and corroboration that might give him probable cause to recommend that a suspect be arrested, on the other hand. When a prosecutor performs the investigative functions normally performed by a detective or police officer, it is “neither appropriate nor justifiable that, for the same act, immunity should protect the one and not the other.” Thus, if a prosecutor plans and executes a raid on a suspected weapons cache, he “has no greater claim to complete immunity than activities of police officers allegedly acting under his direction.” </w:t>
      </w:r>
      <w:r w:rsidRPr="00DC6CB8">
        <w:rPr>
          <w:color w:val="000000"/>
          <w:sz w:val="28"/>
          <w:szCs w:val="28"/>
        </w:rPr>
        <w:t xml:space="preserve"> </w:t>
      </w:r>
    </w:p>
    <w:p w:rsidR="00DC6CB8" w:rsidRDefault="00DC6CB8" w:rsidP="00DC6CB8">
      <w:pPr>
        <w:spacing w:after="23" w:line="240" w:lineRule="auto"/>
        <w:ind w:right="576" w:firstLine="0"/>
        <w:rPr>
          <w:rFonts w:ascii="Verdana" w:hAnsi="Verdana"/>
          <w:color w:val="000000"/>
          <w:sz w:val="19"/>
          <w:szCs w:val="19"/>
        </w:rPr>
      </w:pPr>
    </w:p>
    <w:p w:rsidR="00DC6CB8" w:rsidRPr="00CF6A41" w:rsidRDefault="00DC6CB8" w:rsidP="00F21FA7">
      <w:pPr>
        <w:spacing w:after="23" w:line="360" w:lineRule="auto"/>
        <w:ind w:right="36" w:firstLine="0"/>
        <w:rPr>
          <w:color w:val="000000"/>
          <w:sz w:val="28"/>
          <w:szCs w:val="28"/>
        </w:rPr>
      </w:pPr>
      <w:r w:rsidRPr="00DC6CB8">
        <w:rPr>
          <w:color w:val="000000"/>
          <w:sz w:val="28"/>
          <w:szCs w:val="28"/>
          <w:u w:val="single"/>
        </w:rPr>
        <w:t>Id.</w:t>
      </w:r>
      <w:r w:rsidRPr="00DC6CB8">
        <w:rPr>
          <w:color w:val="000000"/>
          <w:sz w:val="28"/>
          <w:szCs w:val="28"/>
        </w:rPr>
        <w:t xml:space="preserve"> (internal and external citations omitted).</w:t>
      </w:r>
      <w:r>
        <w:rPr>
          <w:color w:val="000000"/>
          <w:sz w:val="28"/>
          <w:szCs w:val="28"/>
        </w:rPr>
        <w:t xml:space="preserve">  </w:t>
      </w:r>
      <w:r w:rsidR="00CF6A41">
        <w:rPr>
          <w:color w:val="000000"/>
          <w:sz w:val="28"/>
          <w:szCs w:val="28"/>
        </w:rPr>
        <w:t>This Court should not abrogate</w:t>
      </w:r>
      <w:r w:rsidR="00F21FA7">
        <w:rPr>
          <w:color w:val="000000"/>
          <w:sz w:val="28"/>
          <w:szCs w:val="28"/>
        </w:rPr>
        <w:t xml:space="preserve"> </w:t>
      </w:r>
      <w:r w:rsidR="00CF6A41">
        <w:rPr>
          <w:color w:val="000000"/>
          <w:sz w:val="28"/>
          <w:szCs w:val="28"/>
        </w:rPr>
        <w:t>immunity through Rule.</w:t>
      </w:r>
    </w:p>
    <w:p w:rsidR="0076341F" w:rsidRDefault="00807784" w:rsidP="001231A9">
      <w:pPr>
        <w:pStyle w:val="PleadPara"/>
        <w:rPr>
          <w:sz w:val="28"/>
          <w:szCs w:val="28"/>
        </w:rPr>
      </w:pPr>
      <w:r>
        <w:rPr>
          <w:sz w:val="28"/>
          <w:szCs w:val="28"/>
        </w:rPr>
        <w:t xml:space="preserve">Finally, we raise the important issue of a crime victim’s rights.  Although in the federal system a crime victim’s rights are not of a constitutional magnitude, as </w:t>
      </w:r>
      <w:r w:rsidR="00A51B43">
        <w:rPr>
          <w:sz w:val="28"/>
          <w:szCs w:val="28"/>
        </w:rPr>
        <w:t xml:space="preserve">they are </w:t>
      </w:r>
      <w:r>
        <w:rPr>
          <w:sz w:val="28"/>
          <w:szCs w:val="28"/>
        </w:rPr>
        <w:t>in the State of Arizona,</w:t>
      </w:r>
      <w:r w:rsidR="00A51B43">
        <w:rPr>
          <w:sz w:val="28"/>
          <w:szCs w:val="28"/>
        </w:rPr>
        <w:t xml:space="preserve"> a federal crime victim is nonetheless</w:t>
      </w:r>
      <w:r>
        <w:rPr>
          <w:sz w:val="28"/>
          <w:szCs w:val="28"/>
        </w:rPr>
        <w:t xml:space="preserve"> entitled by statute to “[t]he right to be treated with fairness and with respect for the victim’s dignity and privacy.”  18 U.S.C. § 3771(a)(8).  The imposition of an investigation requirement could impede this right.  Take, for example, a federal prisoner who writes a letter to a prosecutor contending that a family member of the victim coerced the testimony of a key witness.  </w:t>
      </w:r>
      <w:r w:rsidR="0067094C" w:rsidRPr="00841706">
        <w:rPr>
          <w:sz w:val="28"/>
          <w:szCs w:val="28"/>
        </w:rPr>
        <w:t>Would this allegation qualify as “credible, new and material?</w:t>
      </w:r>
      <w:r w:rsidR="0019080D">
        <w:rPr>
          <w:sz w:val="28"/>
          <w:szCs w:val="28"/>
        </w:rPr>
        <w:t>”</w:t>
      </w:r>
      <w:r w:rsidR="0067094C" w:rsidRPr="00841706">
        <w:rPr>
          <w:sz w:val="28"/>
          <w:szCs w:val="28"/>
        </w:rPr>
        <w:t xml:space="preserve">  M</w:t>
      </w:r>
      <w:r w:rsidRPr="00841706">
        <w:rPr>
          <w:sz w:val="28"/>
          <w:szCs w:val="28"/>
        </w:rPr>
        <w:t xml:space="preserve">ust a prudent prosecutor really investigate the family </w:t>
      </w:r>
      <w:r w:rsidR="0067094C" w:rsidRPr="00841706">
        <w:rPr>
          <w:sz w:val="28"/>
          <w:szCs w:val="28"/>
        </w:rPr>
        <w:t>member of</w:t>
      </w:r>
      <w:r w:rsidRPr="00841706">
        <w:rPr>
          <w:sz w:val="28"/>
          <w:szCs w:val="28"/>
        </w:rPr>
        <w:t xml:space="preserve"> the crime victim in order to protect the prosecutor’s license to practice l</w:t>
      </w:r>
      <w:r w:rsidR="008A3062" w:rsidRPr="00841706">
        <w:rPr>
          <w:sz w:val="28"/>
          <w:szCs w:val="28"/>
        </w:rPr>
        <w:t>aw?  Significant opportunity exists for malingerers in the system to exploit such a rule change</w:t>
      </w:r>
      <w:r w:rsidR="0067094C" w:rsidRPr="00841706">
        <w:rPr>
          <w:sz w:val="28"/>
          <w:szCs w:val="28"/>
        </w:rPr>
        <w:t xml:space="preserve"> with claims that require an investigation and response by the prosecutors.</w:t>
      </w:r>
    </w:p>
    <w:p w:rsidR="001231A9" w:rsidRDefault="001231A9" w:rsidP="001231A9">
      <w:pPr>
        <w:pStyle w:val="PleadPara"/>
        <w:rPr>
          <w:sz w:val="28"/>
          <w:szCs w:val="28"/>
        </w:rPr>
      </w:pPr>
    </w:p>
    <w:p w:rsidR="00025849" w:rsidRDefault="00766A81" w:rsidP="001231A9">
      <w:pPr>
        <w:pStyle w:val="PleadPara"/>
        <w:numPr>
          <w:ilvl w:val="0"/>
          <w:numId w:val="7"/>
        </w:numPr>
        <w:spacing w:line="276" w:lineRule="auto"/>
        <w:ind w:left="1260"/>
        <w:rPr>
          <w:sz w:val="28"/>
          <w:szCs w:val="28"/>
        </w:rPr>
      </w:pPr>
      <w:r w:rsidRPr="00CF6A41">
        <w:rPr>
          <w:sz w:val="28"/>
          <w:szCs w:val="28"/>
          <w:u w:val="single"/>
        </w:rPr>
        <w:t>In the alternative, this Court should impose a universal obligation on all Arizona attorneys</w:t>
      </w:r>
      <w:r>
        <w:rPr>
          <w:sz w:val="28"/>
          <w:szCs w:val="28"/>
        </w:rPr>
        <w:t>.</w:t>
      </w:r>
    </w:p>
    <w:p w:rsidR="00680D92" w:rsidRDefault="0043377B" w:rsidP="0043377B">
      <w:pPr>
        <w:pStyle w:val="PleadPara"/>
        <w:rPr>
          <w:sz w:val="28"/>
          <w:szCs w:val="28"/>
        </w:rPr>
      </w:pPr>
      <w:r>
        <w:rPr>
          <w:sz w:val="28"/>
          <w:szCs w:val="28"/>
        </w:rPr>
        <w:t xml:space="preserve">In the alternative, to the extent this Court seeks a mechanism to provide greater protections to convicted defendants, that mechanism should appropriately place an obligation on all Arizona attorneys.  The Preamble to the Ethical Rules confirms that “[a] lawyer, as a member of the legal profession, is a representative of clients, an officer of the legal system, and a public citizen having special responsibility for the quality of justice.”  (Preamble, at ¶ 1.)  This general admonition is consistent with common sense, because prosecutors are not endowed with exclusive access to potentially exculpatory information.  </w:t>
      </w:r>
    </w:p>
    <w:p w:rsidR="0043377B" w:rsidRDefault="0043377B" w:rsidP="00680D92">
      <w:pPr>
        <w:pStyle w:val="PleadPara"/>
        <w:rPr>
          <w:sz w:val="28"/>
          <w:szCs w:val="28"/>
        </w:rPr>
      </w:pPr>
      <w:r>
        <w:rPr>
          <w:sz w:val="28"/>
          <w:szCs w:val="28"/>
        </w:rPr>
        <w:t xml:space="preserve">Indeed, many non-prosecutors may have ready access to </w:t>
      </w:r>
      <w:r w:rsidR="00841706">
        <w:rPr>
          <w:sz w:val="28"/>
          <w:szCs w:val="28"/>
        </w:rPr>
        <w:t xml:space="preserve">potentially </w:t>
      </w:r>
      <w:r>
        <w:rPr>
          <w:sz w:val="28"/>
          <w:szCs w:val="28"/>
        </w:rPr>
        <w:t xml:space="preserve">exculpating </w:t>
      </w:r>
      <w:r w:rsidR="00680D92">
        <w:rPr>
          <w:sz w:val="28"/>
          <w:szCs w:val="28"/>
        </w:rPr>
        <w:t xml:space="preserve">and/or impeaching </w:t>
      </w:r>
      <w:r>
        <w:rPr>
          <w:sz w:val="28"/>
          <w:szCs w:val="28"/>
        </w:rPr>
        <w:t xml:space="preserve">material, to include by way of example and not limitation: a) an in-house counsel for a forensic laboratory who learns of tainted DNA results; b) </w:t>
      </w:r>
      <w:r w:rsidR="00680D92">
        <w:rPr>
          <w:sz w:val="28"/>
          <w:szCs w:val="28"/>
        </w:rPr>
        <w:t>the family law practitioner who, in the course of deposing a party-opponent who was a percipient witness in a</w:t>
      </w:r>
      <w:r w:rsidR="00766A81">
        <w:rPr>
          <w:sz w:val="28"/>
          <w:szCs w:val="28"/>
        </w:rPr>
        <w:t>n unrelated</w:t>
      </w:r>
      <w:r w:rsidR="00680D92">
        <w:rPr>
          <w:sz w:val="28"/>
          <w:szCs w:val="28"/>
        </w:rPr>
        <w:t xml:space="preserve"> criminal trial, learns of significant impeachment evidence casting doubt on the testimony in the criminal trial; and c) a criminal</w:t>
      </w:r>
      <w:r w:rsidR="00766A81">
        <w:rPr>
          <w:sz w:val="28"/>
          <w:szCs w:val="28"/>
        </w:rPr>
        <w:t xml:space="preserve"> defense attorney for a third party unrelated to the party claiming innocence</w:t>
      </w:r>
      <w:r w:rsidR="00680D92">
        <w:rPr>
          <w:sz w:val="28"/>
          <w:szCs w:val="28"/>
        </w:rPr>
        <w:t>, whose client provides anecdotal information suggesting that someone else committed the crime.  Any of these individuals may likely come forward under our current rule (ER 1.6) for maintaining client confidences, but none would be required to do so.</w:t>
      </w:r>
    </w:p>
    <w:p w:rsidR="00766A81" w:rsidRDefault="00766A81" w:rsidP="00680D92">
      <w:pPr>
        <w:pStyle w:val="PleadPara"/>
        <w:rPr>
          <w:sz w:val="28"/>
          <w:szCs w:val="28"/>
        </w:rPr>
      </w:pPr>
      <w:r>
        <w:rPr>
          <w:sz w:val="28"/>
          <w:szCs w:val="28"/>
        </w:rPr>
        <w:t>In each of these scenarios, and the myriad of others that may occur, all Arizona attorneys might reasonably have an enhanced duty of candor to the tribunal under ER 3.3, which could be modified to add the following additional language:</w:t>
      </w:r>
    </w:p>
    <w:p w:rsidR="00766A81" w:rsidRDefault="00766A81" w:rsidP="00766A81">
      <w:pPr>
        <w:pStyle w:val="PleadPara"/>
        <w:ind w:left="1440" w:firstLine="0"/>
        <w:rPr>
          <w:sz w:val="28"/>
          <w:szCs w:val="28"/>
        </w:rPr>
      </w:pPr>
      <w:r>
        <w:rPr>
          <w:sz w:val="28"/>
          <w:szCs w:val="28"/>
        </w:rPr>
        <w:t>(e) When an attorney knows of new, credible and material evidence creating a reasonable likelihood that a convicted defendant did not commit an offense of which the defendant was convicted, the attorney shall, subject to the restrictions in ER 1.6:</w:t>
      </w:r>
    </w:p>
    <w:p w:rsidR="00766A81" w:rsidRDefault="00766A81" w:rsidP="00766A81">
      <w:pPr>
        <w:pStyle w:val="PleadPara"/>
        <w:ind w:left="2160" w:firstLine="0"/>
        <w:rPr>
          <w:sz w:val="28"/>
          <w:szCs w:val="28"/>
        </w:rPr>
      </w:pPr>
      <w:r>
        <w:rPr>
          <w:sz w:val="28"/>
          <w:szCs w:val="28"/>
        </w:rPr>
        <w:t>(1) promptly disclose that evidence to an appropriate court or authority.</w:t>
      </w:r>
    </w:p>
    <w:p w:rsidR="00F21FA7" w:rsidRDefault="00766A81" w:rsidP="00766A81">
      <w:pPr>
        <w:pStyle w:val="PleadPara"/>
        <w:rPr>
          <w:sz w:val="28"/>
          <w:szCs w:val="28"/>
        </w:rPr>
      </w:pPr>
      <w:r>
        <w:rPr>
          <w:sz w:val="28"/>
          <w:szCs w:val="28"/>
        </w:rPr>
        <w:t xml:space="preserve">Mutuality of obligations </w:t>
      </w:r>
      <w:r w:rsidR="006B783E">
        <w:rPr>
          <w:sz w:val="28"/>
          <w:szCs w:val="28"/>
        </w:rPr>
        <w:t>with respect</w:t>
      </w:r>
      <w:r>
        <w:rPr>
          <w:sz w:val="28"/>
          <w:szCs w:val="28"/>
        </w:rPr>
        <w:t xml:space="preserve"> to evidence that may provide post-conviction relief may also help to increase civility among the bar, and to militate against prosecutorial misconduct allegations which are raised tactically, rather than </w:t>
      </w:r>
      <w:r w:rsidR="00927FBF">
        <w:rPr>
          <w:sz w:val="28"/>
          <w:szCs w:val="28"/>
        </w:rPr>
        <w:t>as a means to protect the system.</w:t>
      </w:r>
      <w:r w:rsidR="001F4A69">
        <w:rPr>
          <w:rStyle w:val="FootnoteReference"/>
          <w:sz w:val="28"/>
          <w:szCs w:val="28"/>
        </w:rPr>
        <w:footnoteReference w:id="1"/>
      </w:r>
      <w:r w:rsidR="00927FBF">
        <w:rPr>
          <w:sz w:val="28"/>
          <w:szCs w:val="28"/>
        </w:rPr>
        <w:t xml:space="preserve">  Inclusion of the </w:t>
      </w:r>
      <w:r w:rsidR="007C53E6">
        <w:rPr>
          <w:sz w:val="28"/>
          <w:szCs w:val="28"/>
        </w:rPr>
        <w:t xml:space="preserve">post-conviction </w:t>
      </w:r>
      <w:r w:rsidR="00927FBF">
        <w:rPr>
          <w:sz w:val="28"/>
          <w:szCs w:val="28"/>
        </w:rPr>
        <w:t>disclosure obligation in ER 3.8 gives a powerful new weapon to that rare group of defense lawyers who may seek to misuse misconduct allegations to leverage a better result in a case.  Mutuality of the obligation, in contrast, comports more closely with every Arizona attorney’s obligations.  “A lawyer should demonstrate respect for the legal system and for those who serve it, including judges, other lawyers and public officials.  While it is a lawyer’s duty, when necessary, to challenge the rectitude of official action, it is also a lawyer’s duty to uphold legal process.”  (Preamble, at ¶ 5.)</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660CD8" w:rsidRDefault="00660CD8" w:rsidP="00660CD8">
      <w:pPr>
        <w:pStyle w:val="PleadPara"/>
        <w:ind w:firstLine="0"/>
        <w:rPr>
          <w:sz w:val="28"/>
          <w:szCs w:val="28"/>
        </w:rPr>
      </w:pPr>
      <w:r>
        <w:rPr>
          <w:sz w:val="28"/>
          <w:szCs w:val="28"/>
        </w:rPr>
        <w:t>/ / /</w:t>
      </w:r>
    </w:p>
    <w:p w:rsidR="00F21FA7" w:rsidRDefault="00660CD8" w:rsidP="00660CD8">
      <w:pPr>
        <w:pStyle w:val="PleadPara"/>
        <w:ind w:firstLine="0"/>
        <w:rPr>
          <w:sz w:val="28"/>
          <w:szCs w:val="28"/>
        </w:rPr>
      </w:pPr>
      <w:r>
        <w:rPr>
          <w:sz w:val="28"/>
          <w:szCs w:val="28"/>
        </w:rPr>
        <w:t>/ / /</w:t>
      </w:r>
      <w:r w:rsidR="00F21FA7">
        <w:rPr>
          <w:sz w:val="28"/>
          <w:szCs w:val="28"/>
        </w:rPr>
        <w:br w:type="page"/>
      </w:r>
    </w:p>
    <w:p w:rsidR="002D7F06" w:rsidRPr="002D7F06" w:rsidRDefault="0043377B" w:rsidP="001231A9">
      <w:pPr>
        <w:pStyle w:val="PleadPara"/>
        <w:ind w:left="1260" w:hanging="360"/>
        <w:rPr>
          <w:sz w:val="28"/>
          <w:szCs w:val="28"/>
        </w:rPr>
      </w:pPr>
      <w:r>
        <w:rPr>
          <w:sz w:val="28"/>
          <w:szCs w:val="28"/>
        </w:rPr>
        <w:t>E</w:t>
      </w:r>
      <w:r w:rsidR="002D7F06" w:rsidRPr="002D7F06">
        <w:rPr>
          <w:sz w:val="28"/>
          <w:szCs w:val="28"/>
        </w:rPr>
        <w:t>.</w:t>
      </w:r>
      <w:r w:rsidR="002D7F06" w:rsidRPr="002D7F06">
        <w:rPr>
          <w:sz w:val="28"/>
          <w:szCs w:val="28"/>
        </w:rPr>
        <w:tab/>
      </w:r>
      <w:r w:rsidR="002D7F06" w:rsidRPr="00444BFF">
        <w:rPr>
          <w:sz w:val="28"/>
          <w:szCs w:val="28"/>
          <w:u w:val="single"/>
        </w:rPr>
        <w:t>Conclusion</w:t>
      </w:r>
      <w:r w:rsidR="001231A9">
        <w:rPr>
          <w:sz w:val="28"/>
          <w:szCs w:val="28"/>
          <w:u w:val="single"/>
        </w:rPr>
        <w:t>.</w:t>
      </w:r>
    </w:p>
    <w:p w:rsidR="002D7F06" w:rsidRPr="002D7F06" w:rsidRDefault="002D7F06" w:rsidP="002D7F06">
      <w:pPr>
        <w:pStyle w:val="PleadPara"/>
        <w:ind w:firstLine="0"/>
        <w:rPr>
          <w:sz w:val="28"/>
          <w:szCs w:val="28"/>
        </w:rPr>
      </w:pPr>
      <w:r w:rsidRPr="002D7F06">
        <w:rPr>
          <w:sz w:val="28"/>
          <w:szCs w:val="28"/>
        </w:rPr>
        <w:tab/>
      </w:r>
      <w:r w:rsidR="00DC6CB8">
        <w:rPr>
          <w:sz w:val="28"/>
          <w:szCs w:val="28"/>
        </w:rPr>
        <w:t xml:space="preserve">While respecting Petitioner’s intentions and laudable goals, we object to the proposed modifications to the special duties of prosecutors for the reasons set forth above.  </w:t>
      </w:r>
    </w:p>
    <w:p w:rsidR="00D15F26" w:rsidRDefault="00D15F26">
      <w:pPr>
        <w:keepNext/>
        <w:rPr>
          <w:sz w:val="28"/>
        </w:rPr>
      </w:pPr>
      <w:bookmarkStart w:id="9" w:name="Signature"/>
      <w:bookmarkEnd w:id="9"/>
      <w:r>
        <w:rPr>
          <w:sz w:val="28"/>
        </w:rPr>
        <w:t>RE</w:t>
      </w:r>
      <w:r w:rsidR="00E91731">
        <w:rPr>
          <w:sz w:val="28"/>
        </w:rPr>
        <w:t xml:space="preserve">SPECTFULLY SUBMITTED this </w:t>
      </w:r>
      <w:r w:rsidR="00F21FA7">
        <w:rPr>
          <w:sz w:val="28"/>
        </w:rPr>
        <w:t>20th</w:t>
      </w:r>
      <w:r w:rsidR="00DE7D48">
        <w:rPr>
          <w:sz w:val="28"/>
        </w:rPr>
        <w:t xml:space="preserve"> day of May, 2012.</w:t>
      </w:r>
    </w:p>
    <w:p w:rsidR="00DE7D48" w:rsidRDefault="00DE7D48">
      <w:pPr>
        <w:keepNext/>
        <w:rPr>
          <w:sz w:val="28"/>
        </w:rPr>
      </w:pPr>
    </w:p>
    <w:p w:rsidR="00DE7D48" w:rsidRPr="00F21FA7" w:rsidRDefault="00DE7D48" w:rsidP="00DE7D48">
      <w:pPr>
        <w:keepNext/>
        <w:spacing w:line="240" w:lineRule="auto"/>
        <w:rPr>
          <w:sz w:val="28"/>
          <w:szCs w:val="28"/>
          <w:u w:val="single"/>
        </w:rPr>
      </w:pPr>
      <w:r>
        <w:rPr>
          <w:sz w:val="28"/>
        </w:rPr>
        <w:tab/>
      </w:r>
      <w:r>
        <w:rPr>
          <w:sz w:val="28"/>
        </w:rPr>
        <w:tab/>
      </w:r>
      <w:r>
        <w:rPr>
          <w:sz w:val="28"/>
        </w:rPr>
        <w:tab/>
      </w:r>
      <w:r>
        <w:rPr>
          <w:sz w:val="28"/>
        </w:rPr>
        <w:tab/>
      </w:r>
      <w:r>
        <w:rPr>
          <w:sz w:val="28"/>
        </w:rPr>
        <w:tab/>
      </w:r>
      <w:r w:rsidR="00F21FA7" w:rsidRPr="00F21FA7">
        <w:rPr>
          <w:sz w:val="28"/>
          <w:szCs w:val="28"/>
          <w:u w:val="single"/>
        </w:rPr>
        <w:t xml:space="preserve">s/ Ann Birmingham Scheel    </w:t>
      </w:r>
    </w:p>
    <w:p w:rsidR="00DE7D48" w:rsidRPr="00F21FA7" w:rsidRDefault="00DE7D48" w:rsidP="00DE7D48">
      <w:pPr>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ANN BIRMINGHAM SCHEEL</w:t>
      </w:r>
    </w:p>
    <w:p w:rsidR="00DE7D48" w:rsidRPr="00F21FA7" w:rsidRDefault="00DE7D48" w:rsidP="00DE7D48">
      <w:pPr>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Acting United States Attorney</w:t>
      </w:r>
    </w:p>
    <w:p w:rsidR="002F2EC6" w:rsidRPr="00F21FA7" w:rsidRDefault="00DE7D4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District of Arizona</w:t>
      </w:r>
    </w:p>
    <w:p w:rsidR="00F21FA7" w:rsidRPr="00F21FA7" w:rsidRDefault="00F21FA7" w:rsidP="00DE7D48">
      <w:pPr>
        <w:keepNext/>
        <w:spacing w:line="240" w:lineRule="auto"/>
        <w:rPr>
          <w:sz w:val="28"/>
          <w:szCs w:val="28"/>
        </w:rPr>
      </w:pPr>
    </w:p>
    <w:p w:rsidR="00DC6CB8" w:rsidRPr="00F21FA7" w:rsidRDefault="00F21FA7" w:rsidP="00DE7D48">
      <w:pPr>
        <w:keepNext/>
        <w:spacing w:line="240" w:lineRule="auto"/>
        <w:rPr>
          <w:sz w:val="28"/>
          <w:szCs w:val="28"/>
          <w:u w:val="single"/>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u w:val="single"/>
        </w:rPr>
        <w:t xml:space="preserve">s/ John R. Evans           </w:t>
      </w:r>
    </w:p>
    <w:p w:rsidR="00DC6CB8" w:rsidRPr="00F21FA7" w:rsidRDefault="00DC6CB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JOHN R. EVANS</w:t>
      </w:r>
    </w:p>
    <w:p w:rsidR="00DC6CB8" w:rsidRPr="00F21FA7" w:rsidRDefault="00DC6CB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Chief, Tucson Criminal Division</w:t>
      </w:r>
    </w:p>
    <w:p w:rsidR="00F21FA7" w:rsidRPr="00F21FA7" w:rsidRDefault="00F21FA7" w:rsidP="00DE7D48">
      <w:pPr>
        <w:keepNext/>
        <w:spacing w:line="240" w:lineRule="auto"/>
        <w:rPr>
          <w:sz w:val="28"/>
          <w:szCs w:val="28"/>
        </w:rPr>
      </w:pPr>
    </w:p>
    <w:p w:rsidR="00DC6CB8" w:rsidRPr="00F21FA7" w:rsidRDefault="00F21FA7" w:rsidP="00DE7D48">
      <w:pPr>
        <w:keepNext/>
        <w:spacing w:line="240" w:lineRule="auto"/>
        <w:rPr>
          <w:sz w:val="28"/>
          <w:szCs w:val="28"/>
          <w:u w:val="single"/>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u w:val="single"/>
        </w:rPr>
        <w:t xml:space="preserve">s/ Gary M. Restaino        </w:t>
      </w:r>
    </w:p>
    <w:p w:rsidR="00DC6CB8" w:rsidRPr="00F21FA7" w:rsidRDefault="00DC6CB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GARY M. RESTAINO</w:t>
      </w:r>
    </w:p>
    <w:p w:rsidR="00E3678E" w:rsidRPr="00241104" w:rsidRDefault="00DC6CB8" w:rsidP="00DD6036">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Chief, Phoenix Criminal Division</w:t>
      </w:r>
    </w:p>
    <w:p w:rsidR="00DC6CB8" w:rsidRPr="00F21FA7" w:rsidRDefault="00DC6CB8" w:rsidP="00E3678E">
      <w:pPr>
        <w:keepNext/>
        <w:spacing w:line="240" w:lineRule="auto"/>
        <w:ind w:firstLine="0"/>
        <w:rPr>
          <w:sz w:val="28"/>
          <w:szCs w:val="28"/>
        </w:rPr>
      </w:pPr>
    </w:p>
    <w:sectPr w:rsidR="00DC6CB8" w:rsidRPr="00F21FA7" w:rsidSect="00104278">
      <w:headerReference w:type="default" r:id="rId8"/>
      <w:footerReference w:type="even" r:id="rId9"/>
      <w:footerReference w:type="default" r:id="rId10"/>
      <w:headerReference w:type="first" r:id="rId11"/>
      <w:footerReference w:type="first" r:id="rId12"/>
      <w:pgSz w:w="12240" w:h="15840" w:code="1"/>
      <w:pgMar w:top="2160" w:right="864" w:bottom="1440" w:left="216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FD2" w:rsidRDefault="00C72FD2">
      <w:r>
        <w:separator/>
      </w:r>
    </w:p>
  </w:endnote>
  <w:endnote w:type="continuationSeparator" w:id="0">
    <w:p w:rsidR="00C72FD2" w:rsidRDefault="00C72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FD2" w:rsidRDefault="00C72F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2FD2" w:rsidRDefault="00C72FD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FD2" w:rsidRDefault="00C72FD2">
    <w:pPr>
      <w:pStyle w:val="Footer"/>
      <w:jc w:val="center"/>
    </w:pPr>
    <w:r>
      <w:rPr>
        <w:rStyle w:val="PageNumber"/>
      </w:rPr>
      <w:fldChar w:fldCharType="begin"/>
    </w:r>
    <w:r>
      <w:rPr>
        <w:rStyle w:val="PageNumber"/>
      </w:rPr>
      <w:instrText xml:space="preserve"> PAGE </w:instrText>
    </w:r>
    <w:r>
      <w:rPr>
        <w:rStyle w:val="PageNumber"/>
      </w:rPr>
      <w:fldChar w:fldCharType="separate"/>
    </w:r>
    <w:r w:rsidR="00533953">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FD2" w:rsidRDefault="00C72FD2">
    <w:pPr>
      <w:pStyle w:val="Footer"/>
    </w:pPr>
  </w:p>
  <w:p w:rsidR="00C72FD2" w:rsidRDefault="00C72FD2">
    <w:pPr>
      <w:pStyle w:val="Footer"/>
    </w:pPr>
  </w:p>
  <w:p w:rsidR="00C72FD2" w:rsidRDefault="00C72FD2">
    <w:pPr>
      <w:pStyle w:val="Footer"/>
    </w:pPr>
  </w:p>
  <w:p w:rsidR="00C72FD2" w:rsidRDefault="00C72F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FD2" w:rsidRDefault="00C72FD2">
      <w:r>
        <w:separator/>
      </w:r>
    </w:p>
  </w:footnote>
  <w:footnote w:type="continuationSeparator" w:id="0">
    <w:p w:rsidR="00C72FD2" w:rsidRDefault="00C72FD2">
      <w:r>
        <w:continuationSeparator/>
      </w:r>
    </w:p>
  </w:footnote>
  <w:footnote w:id="1">
    <w:p w:rsidR="00C72FD2" w:rsidRDefault="00C72FD2">
      <w:pPr>
        <w:pStyle w:val="FootnoteText"/>
      </w:pPr>
      <w:r>
        <w:rPr>
          <w:rStyle w:val="FootnoteReference"/>
        </w:rPr>
        <w:footnoteRef/>
      </w:r>
      <w:r>
        <w:t xml:space="preserve"> Moreover, although clearly this Court has an important role in ensuring that attorneys adhere to Arizona’s ethical rules, this Court and other state and federal courts are in a better position to judge counsel directly, in the context of a particular matter, rather than derivatively, through a disciplinary process begun in an administrative forum.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FD2" w:rsidRDefault="00C72FD2">
    <w:pPr>
      <w:pStyle w:val="Header"/>
    </w:pPr>
    <w:r>
      <w:rPr>
        <w:noProof/>
      </w:rPr>
      <w:pict>
        <v:shapetype id="_x0000_t202" coordsize="21600,21600" o:spt="202" path="m,l,21600r21600,l21600,xe">
          <v:stroke joinstyle="miter"/>
          <v:path gradientshapeok="t" o:connecttype="rect"/>
        </v:shapetype>
        <v:shape id="_x0000_s2052" type="#_x0000_t202" style="position:absolute;left:0;text-align:left;margin-left:580.05pt;margin-top:-14.4pt;width:36pt;height:806.4pt;z-index:251658240;mso-position-horizontal-relative:page;mso-position-vertical-relative:page" stroked="f" strokeweight=".5pt">
          <v:textbox style="mso-next-textbox:#_x0000_s2052" inset=",0,,0">
            <w:txbxContent>
              <w:p w:rsidR="00C72FD2" w:rsidRDefault="00C72FD2">
                <w:pPr>
                  <w:pStyle w:val="LineNumbering"/>
                  <w:pBdr>
                    <w:left w:val="single" w:sz="4" w:space="4" w:color="auto"/>
                    <w:right w:val="none" w:sz="0" w:space="0" w:color="auto"/>
                  </w:pBdr>
                  <w:jc w:val="left"/>
                </w:pPr>
              </w:p>
            </w:txbxContent>
          </v:textbox>
          <w10:wrap anchorx="page" anchory="page"/>
        </v:shape>
      </w:pict>
    </w:r>
    <w:r>
      <w:rPr>
        <w:noProof/>
      </w:rPr>
      <w:pict>
        <v:shape id="_x0000_s2051" type="#_x0000_t202" style="position:absolute;left:0;text-align:left;margin-left:-46.35pt;margin-top:0;width:36pt;height:813.6pt;z-index:251657216;mso-position-horizontal-relative:margin;mso-position-vertical-relative:page" o:allowincell="f" stroked="f">
          <v:textbox style="mso-next-textbox:#_x0000_s2051" inset=",0,,0">
            <w:txbxContent>
              <w:p w:rsidR="00C72FD2" w:rsidRDefault="00C72FD2">
                <w:pPr>
                  <w:pStyle w:val="LineNumbering"/>
                  <w:spacing w:before="2160"/>
                </w:pPr>
                <w:r>
                  <w:t>1</w:t>
                </w:r>
              </w:p>
              <w:p w:rsidR="00C72FD2" w:rsidRDefault="00C72FD2">
                <w:pPr>
                  <w:pStyle w:val="LineNumbering"/>
                </w:pPr>
                <w:r>
                  <w:t>2</w:t>
                </w:r>
              </w:p>
              <w:p w:rsidR="00C72FD2" w:rsidRDefault="00C72FD2">
                <w:pPr>
                  <w:pStyle w:val="LineNumbering"/>
                </w:pPr>
                <w:r>
                  <w:t>3</w:t>
                </w:r>
              </w:p>
              <w:p w:rsidR="00C72FD2" w:rsidRDefault="00C72FD2">
                <w:pPr>
                  <w:pStyle w:val="LineNumbering"/>
                </w:pPr>
                <w:r>
                  <w:t>4</w:t>
                </w:r>
              </w:p>
              <w:p w:rsidR="00C72FD2" w:rsidRDefault="00C72FD2">
                <w:pPr>
                  <w:pStyle w:val="LineNumbering"/>
                </w:pPr>
                <w:r>
                  <w:t>5</w:t>
                </w:r>
              </w:p>
              <w:p w:rsidR="00C72FD2" w:rsidRDefault="00C72FD2">
                <w:pPr>
                  <w:pStyle w:val="LineNumbering"/>
                </w:pPr>
                <w:r>
                  <w:t>6</w:t>
                </w:r>
              </w:p>
              <w:p w:rsidR="00C72FD2" w:rsidRDefault="00C72FD2">
                <w:pPr>
                  <w:pStyle w:val="LineNumbering"/>
                </w:pPr>
                <w:r>
                  <w:t>7</w:t>
                </w:r>
              </w:p>
              <w:p w:rsidR="00C72FD2" w:rsidRDefault="00C72FD2">
                <w:pPr>
                  <w:pStyle w:val="LineNumbering"/>
                </w:pPr>
                <w:r>
                  <w:t>8</w:t>
                </w:r>
              </w:p>
              <w:p w:rsidR="00C72FD2" w:rsidRDefault="00C72FD2">
                <w:pPr>
                  <w:pStyle w:val="LineNumbering"/>
                </w:pPr>
                <w:r>
                  <w:t>9</w:t>
                </w:r>
              </w:p>
              <w:p w:rsidR="00C72FD2" w:rsidRDefault="00C72FD2">
                <w:pPr>
                  <w:pStyle w:val="LineNumbering"/>
                </w:pPr>
                <w:r>
                  <w:t>10</w:t>
                </w:r>
              </w:p>
              <w:p w:rsidR="00C72FD2" w:rsidRDefault="00C72FD2">
                <w:pPr>
                  <w:pStyle w:val="LineNumbering"/>
                </w:pPr>
                <w:r>
                  <w:t>11</w:t>
                </w:r>
              </w:p>
              <w:p w:rsidR="00C72FD2" w:rsidRDefault="00C72FD2">
                <w:pPr>
                  <w:pStyle w:val="LineNumbering"/>
                </w:pPr>
                <w:r>
                  <w:t>12</w:t>
                </w:r>
              </w:p>
              <w:p w:rsidR="00C72FD2" w:rsidRDefault="00C72FD2">
                <w:pPr>
                  <w:pStyle w:val="LineNumbering"/>
                </w:pPr>
                <w:r>
                  <w:t>13</w:t>
                </w:r>
              </w:p>
              <w:p w:rsidR="00C72FD2" w:rsidRDefault="00C72FD2">
                <w:pPr>
                  <w:pStyle w:val="LineNumbering"/>
                </w:pPr>
                <w:r>
                  <w:t>14</w:t>
                </w:r>
              </w:p>
              <w:p w:rsidR="00C72FD2" w:rsidRDefault="00C72FD2">
                <w:pPr>
                  <w:pStyle w:val="LineNumbering"/>
                </w:pPr>
                <w:r>
                  <w:t>15</w:t>
                </w:r>
              </w:p>
              <w:p w:rsidR="00C72FD2" w:rsidRDefault="00C72FD2">
                <w:pPr>
                  <w:pStyle w:val="LineNumbering"/>
                </w:pPr>
                <w:r>
                  <w:t>16</w:t>
                </w:r>
              </w:p>
              <w:p w:rsidR="00C72FD2" w:rsidRDefault="00C72FD2">
                <w:pPr>
                  <w:pStyle w:val="LineNumbering"/>
                </w:pPr>
                <w:r>
                  <w:t>17</w:t>
                </w:r>
              </w:p>
              <w:p w:rsidR="00C72FD2" w:rsidRDefault="00C72FD2">
                <w:pPr>
                  <w:pStyle w:val="LineNumbering"/>
                </w:pPr>
                <w:r>
                  <w:t>18</w:t>
                </w:r>
              </w:p>
              <w:p w:rsidR="00C72FD2" w:rsidRDefault="00C72FD2">
                <w:pPr>
                  <w:pStyle w:val="LineNumbering"/>
                </w:pPr>
                <w:r>
                  <w:t>19</w:t>
                </w:r>
              </w:p>
              <w:p w:rsidR="00C72FD2" w:rsidRDefault="00C72FD2">
                <w:pPr>
                  <w:pStyle w:val="LineNumbering"/>
                </w:pPr>
                <w:r>
                  <w:t>20</w:t>
                </w:r>
              </w:p>
              <w:p w:rsidR="00C72FD2" w:rsidRDefault="00C72FD2">
                <w:pPr>
                  <w:pStyle w:val="LineNumbering"/>
                </w:pPr>
                <w:r>
                  <w:t>21</w:t>
                </w:r>
              </w:p>
              <w:p w:rsidR="00C72FD2" w:rsidRDefault="00C72FD2">
                <w:pPr>
                  <w:pStyle w:val="LineNumbering"/>
                </w:pPr>
                <w:r>
                  <w:t>22</w:t>
                </w:r>
              </w:p>
              <w:p w:rsidR="00C72FD2" w:rsidRDefault="00C72FD2">
                <w:pPr>
                  <w:pStyle w:val="LineNumbering"/>
                </w:pPr>
                <w:r>
                  <w:t>23</w:t>
                </w:r>
              </w:p>
              <w:p w:rsidR="00C72FD2" w:rsidRDefault="00C72FD2">
                <w:pPr>
                  <w:pStyle w:val="LineNumbering"/>
                </w:pPr>
                <w:r>
                  <w:t>24</w:t>
                </w:r>
              </w:p>
              <w:p w:rsidR="00C72FD2" w:rsidRDefault="00C72FD2">
                <w:pPr>
                  <w:pStyle w:val="LineNumbering"/>
                </w:pPr>
                <w:r>
                  <w:t>25</w:t>
                </w:r>
              </w:p>
              <w:p w:rsidR="00C72FD2" w:rsidRDefault="00C72FD2">
                <w:pPr>
                  <w:pStyle w:val="LineNumbering"/>
                </w:pPr>
                <w:r>
                  <w:t>26</w:t>
                </w: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txbxContent>
          </v:textbox>
          <w10:wrap anchorx="margin" anchory="page"/>
        </v:shape>
      </w:pict>
    </w:r>
  </w:p>
  <w:p w:rsidR="00C72FD2" w:rsidRDefault="00C72FD2">
    <w:pPr>
      <w:pStyle w:val="Header"/>
    </w:pPr>
  </w:p>
  <w:p w:rsidR="00C72FD2" w:rsidRDefault="00C72FD2">
    <w:pPr>
      <w:pStyle w:val="Header"/>
    </w:pPr>
    <w:r w:rsidRPr="000C363F">
      <w:rPr>
        <w:noProof/>
        <w:sz w:val="20"/>
      </w:rPr>
      <w:pict>
        <v:shape id="_x0000_s2053" type="#_x0000_t202" style="position:absolute;left:0;text-align:left;margin-left:-78.75pt;margin-top:0;width:45pt;height:174pt;z-index:251659264;mso-position-vertical:center;mso-position-vertical-relative:page" filled="f" stroked="f">
          <v:textbox style="layout-flow:vertical;mso-layout-flow-alt:bottom-to-top" inset="0,0,0,0">
            <w:txbxContent>
              <w:p w:rsidR="00C72FD2" w:rsidRDefault="00C72FD2">
                <w:pPr>
                  <w:pStyle w:val="SideBox"/>
                  <w:spacing w:line="240" w:lineRule="auto"/>
                  <w:ind w:right="0"/>
                  <w:jc w:val="center"/>
                  <w:rPr>
                    <w:rFonts w:ascii="Arial" w:hAnsi="Arial" w:cs="Arial"/>
                    <w:caps/>
                    <w:sz w:val="18"/>
                  </w:rPr>
                </w:pPr>
              </w:p>
            </w:txbxContent>
          </v:textbox>
          <w10:wrap type="squar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FD2" w:rsidRDefault="00C72FD2">
    <w:pPr>
      <w:pStyle w:val="Header"/>
    </w:pPr>
    <w:r w:rsidRPr="000C363F">
      <w:rPr>
        <w:noProof/>
        <w:sz w:val="20"/>
      </w:rPr>
      <w:pict>
        <v:shapetype id="_x0000_t202" coordsize="21600,21600" o:spt="202" path="m,l,21600r21600,l21600,xe">
          <v:stroke joinstyle="miter"/>
          <v:path gradientshapeok="t" o:connecttype="rect"/>
        </v:shapetype>
        <v:shape id="_x0000_s2054" type="#_x0000_t202" style="position:absolute;left:0;text-align:left;margin-left:-78.75pt;margin-top:0;width:45pt;height:174pt;z-index:251660288;mso-position-vertical:center;mso-position-vertical-relative:page" filled="f" stroked="f">
          <v:textbox style="layout-flow:vertical;mso-layout-flow-alt:bottom-to-top" inset="0,0,0,0">
            <w:txbxContent>
              <w:p w:rsidR="00C72FD2" w:rsidRDefault="00C72FD2">
                <w:pPr>
                  <w:pStyle w:val="SideBox"/>
                  <w:spacing w:line="240" w:lineRule="auto"/>
                  <w:ind w:right="0"/>
                  <w:jc w:val="center"/>
                  <w:rPr>
                    <w:rFonts w:ascii="Arial" w:hAnsi="Arial" w:cs="Arial"/>
                    <w:caps/>
                    <w:sz w:val="18"/>
                  </w:rPr>
                </w:pPr>
              </w:p>
            </w:txbxContent>
          </v:textbox>
          <w10:wrap type="square" anchory="page"/>
        </v:shape>
      </w:pict>
    </w:r>
    <w:r>
      <w:rPr>
        <w:noProof/>
      </w:rPr>
      <w:pict>
        <v:shape id="_x0000_s2050" type="#_x0000_t202" style="position:absolute;left:0;text-align:left;margin-left:580.05pt;margin-top:3.8pt;width:36pt;height:806.4pt;z-index:251656192;mso-position-horizontal-relative:page;mso-position-vertical-relative:page" stroked="f" strokeweight=".5pt">
          <v:textbox style="mso-next-textbox:#_x0000_s2050" inset=",0,,0">
            <w:txbxContent>
              <w:p w:rsidR="00C72FD2" w:rsidRDefault="00C72FD2">
                <w:pPr>
                  <w:pStyle w:val="LineNumbering"/>
                  <w:pBdr>
                    <w:left w:val="single" w:sz="4" w:space="4" w:color="auto"/>
                    <w:right w:val="none" w:sz="0" w:space="0" w:color="auto"/>
                  </w:pBdr>
                  <w:jc w:val="left"/>
                </w:pPr>
              </w:p>
            </w:txbxContent>
          </v:textbox>
          <w10:wrap anchorx="page" anchory="page"/>
        </v:shape>
      </w:pict>
    </w:r>
    <w:r>
      <w:rPr>
        <w:noProof/>
      </w:rPr>
      <w:pict>
        <v:shape id="_x0000_s2049" type="#_x0000_t202" style="position:absolute;left:0;text-align:left;margin-left:-46.35pt;margin-top:0;width:36pt;height:813.6pt;z-index:251655168;mso-position-horizontal-relative:margin;mso-position-vertical-relative:page" o:allowincell="f" stroked="f">
          <v:textbox style="mso-next-textbox:#_x0000_s2049" inset=",0,,0">
            <w:txbxContent>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pPr>
                <w:r>
                  <w:t>1</w:t>
                </w:r>
              </w:p>
              <w:p w:rsidR="00C72FD2" w:rsidRDefault="00C72FD2">
                <w:pPr>
                  <w:pStyle w:val="LineNumbering"/>
                </w:pPr>
                <w:r>
                  <w:t>2</w:t>
                </w:r>
              </w:p>
              <w:p w:rsidR="00C72FD2" w:rsidRDefault="00C72FD2">
                <w:pPr>
                  <w:pStyle w:val="LineNumbering"/>
                </w:pPr>
                <w:r>
                  <w:t>3</w:t>
                </w:r>
              </w:p>
              <w:p w:rsidR="00C72FD2" w:rsidRDefault="00C72FD2">
                <w:pPr>
                  <w:pStyle w:val="LineNumbering"/>
                </w:pPr>
                <w:r>
                  <w:t>4</w:t>
                </w:r>
              </w:p>
              <w:p w:rsidR="00C72FD2" w:rsidRDefault="00C72FD2">
                <w:pPr>
                  <w:pStyle w:val="LineNumbering"/>
                </w:pPr>
                <w:r>
                  <w:t>5</w:t>
                </w:r>
              </w:p>
              <w:p w:rsidR="00C72FD2" w:rsidRDefault="00C72FD2">
                <w:pPr>
                  <w:pStyle w:val="LineNumbering"/>
                </w:pPr>
                <w:r>
                  <w:t>6</w:t>
                </w:r>
              </w:p>
              <w:p w:rsidR="00C72FD2" w:rsidRDefault="00C72FD2">
                <w:pPr>
                  <w:pStyle w:val="LineNumbering"/>
                </w:pPr>
                <w:r>
                  <w:t>7</w:t>
                </w:r>
              </w:p>
              <w:p w:rsidR="00C72FD2" w:rsidRDefault="00C72FD2">
                <w:pPr>
                  <w:pStyle w:val="LineNumbering"/>
                </w:pPr>
                <w:r>
                  <w:t>8</w:t>
                </w:r>
              </w:p>
              <w:p w:rsidR="00C72FD2" w:rsidRDefault="00C72FD2">
                <w:pPr>
                  <w:pStyle w:val="LineNumbering"/>
                </w:pPr>
                <w:r>
                  <w:t>9</w:t>
                </w:r>
              </w:p>
              <w:p w:rsidR="00C72FD2" w:rsidRDefault="00C72FD2">
                <w:pPr>
                  <w:pStyle w:val="LineNumbering"/>
                </w:pPr>
                <w:r>
                  <w:t>10</w:t>
                </w:r>
              </w:p>
              <w:p w:rsidR="00C72FD2" w:rsidRDefault="00C72FD2">
                <w:pPr>
                  <w:pStyle w:val="LineNumbering"/>
                </w:pPr>
                <w:r>
                  <w:t>11</w:t>
                </w:r>
              </w:p>
              <w:p w:rsidR="00C72FD2" w:rsidRDefault="00C72FD2">
                <w:pPr>
                  <w:pStyle w:val="LineNumbering"/>
                </w:pPr>
                <w:r>
                  <w:t>12</w:t>
                </w:r>
              </w:p>
              <w:p w:rsidR="00C72FD2" w:rsidRDefault="00C72FD2">
                <w:pPr>
                  <w:pStyle w:val="LineNumbering"/>
                </w:pPr>
                <w:r>
                  <w:t>13</w:t>
                </w:r>
              </w:p>
              <w:p w:rsidR="00C72FD2" w:rsidRDefault="00C72FD2">
                <w:pPr>
                  <w:pStyle w:val="LineNumbering"/>
                </w:pPr>
                <w:r>
                  <w:t>14</w:t>
                </w:r>
              </w:p>
              <w:p w:rsidR="00C72FD2" w:rsidRDefault="00C72FD2">
                <w:pPr>
                  <w:pStyle w:val="LineNumbering"/>
                </w:pPr>
                <w:r>
                  <w:t>15</w:t>
                </w:r>
              </w:p>
              <w:p w:rsidR="00C72FD2" w:rsidRDefault="00C72FD2">
                <w:pPr>
                  <w:pStyle w:val="LineNumbering"/>
                </w:pPr>
                <w:r>
                  <w:t>16</w:t>
                </w:r>
              </w:p>
              <w:p w:rsidR="00C72FD2" w:rsidRDefault="00C72FD2">
                <w:pPr>
                  <w:pStyle w:val="LineNumbering"/>
                </w:pPr>
                <w:r>
                  <w:t>17</w:t>
                </w:r>
              </w:p>
              <w:p w:rsidR="00C72FD2" w:rsidRDefault="00C72FD2">
                <w:pPr>
                  <w:pStyle w:val="LineNumbering"/>
                </w:pPr>
                <w:r>
                  <w:t>18</w:t>
                </w:r>
              </w:p>
              <w:p w:rsidR="00C72FD2" w:rsidRDefault="00C72FD2">
                <w:pPr>
                  <w:pStyle w:val="LineNumbering"/>
                </w:pPr>
                <w:r>
                  <w:t>19</w:t>
                </w:r>
              </w:p>
              <w:p w:rsidR="00C72FD2" w:rsidRDefault="00C72FD2">
                <w:pPr>
                  <w:pStyle w:val="LineNumbering"/>
                </w:pPr>
                <w:r>
                  <w:t>20</w:t>
                </w:r>
              </w:p>
              <w:p w:rsidR="00C72FD2" w:rsidRDefault="00C72FD2">
                <w:pPr>
                  <w:pStyle w:val="LineNumbering"/>
                </w:pPr>
                <w:r>
                  <w:t>21</w:t>
                </w:r>
              </w:p>
              <w:p w:rsidR="00C72FD2" w:rsidRDefault="00C72FD2">
                <w:pPr>
                  <w:pStyle w:val="LineNumbering"/>
                </w:pPr>
                <w:r>
                  <w:t>22</w:t>
                </w:r>
              </w:p>
              <w:p w:rsidR="00C72FD2" w:rsidRDefault="00C72FD2">
                <w:pPr>
                  <w:pStyle w:val="LineNumbering"/>
                </w:pPr>
                <w:r>
                  <w:t>23</w:t>
                </w:r>
              </w:p>
              <w:p w:rsidR="00C72FD2" w:rsidRDefault="00C72FD2">
                <w:pPr>
                  <w:pStyle w:val="LineNumbering"/>
                </w:pPr>
                <w:r>
                  <w:t>24</w:t>
                </w:r>
              </w:p>
              <w:p w:rsidR="00C72FD2" w:rsidRDefault="00C72FD2">
                <w:pPr>
                  <w:pStyle w:val="LineNumbering"/>
                </w:pPr>
                <w:r>
                  <w:t>25</w:t>
                </w:r>
              </w:p>
              <w:p w:rsidR="00C72FD2" w:rsidRDefault="00C72FD2">
                <w:pPr>
                  <w:pStyle w:val="LineNumbering"/>
                </w:pPr>
                <w:r>
                  <w:t>26</w:t>
                </w: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txbxContent>
          </v:textbox>
          <w10:wrap anchorx="margin"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21C06"/>
    <w:multiLevelType w:val="multilevel"/>
    <w:tmpl w:val="945E60FA"/>
    <w:lvl w:ilvl="0">
      <w:start w:val="1"/>
      <w:numFmt w:val="upperRoman"/>
      <w:lvlText w:val="%1."/>
      <w:lvlJc w:val="left"/>
      <w:pPr>
        <w:tabs>
          <w:tab w:val="num" w:pos="1440"/>
        </w:tabs>
        <w:ind w:left="0" w:firstLine="720"/>
      </w:pPr>
      <w:rPr>
        <w:u w:val="none"/>
      </w:rPr>
    </w:lvl>
    <w:lvl w:ilvl="1">
      <w:start w:val="1"/>
      <w:numFmt w:val="upperLetter"/>
      <w:lvlText w:val="%2."/>
      <w:lvlJc w:val="left"/>
      <w:pPr>
        <w:tabs>
          <w:tab w:val="num" w:pos="1800"/>
        </w:tabs>
        <w:ind w:left="0" w:firstLine="1440"/>
      </w:pPr>
      <w:rPr>
        <w:u w:val="none"/>
      </w:rPr>
    </w:lvl>
    <w:lvl w:ilvl="2">
      <w:start w:val="1"/>
      <w:numFmt w:val="decimal"/>
      <w:lvlText w:val="%3."/>
      <w:lvlJc w:val="left"/>
      <w:pPr>
        <w:tabs>
          <w:tab w:val="num" w:pos="2520"/>
        </w:tabs>
        <w:ind w:left="0" w:firstLine="2160"/>
      </w:pPr>
      <w:rPr>
        <w:u w:val="none"/>
      </w:rPr>
    </w:lvl>
    <w:lvl w:ilvl="3">
      <w:start w:val="1"/>
      <w:numFmt w:val="lowerLetter"/>
      <w:lvlText w:val="(%4)"/>
      <w:lvlJc w:val="left"/>
      <w:pPr>
        <w:tabs>
          <w:tab w:val="num" w:pos="3240"/>
        </w:tabs>
        <w:ind w:left="0" w:firstLine="2880"/>
      </w:pPr>
      <w:rPr>
        <w:u w:val="none"/>
      </w:rPr>
    </w:lvl>
    <w:lvl w:ilvl="4">
      <w:start w:val="1"/>
      <w:numFmt w:val="lowerRoman"/>
      <w:lvlText w:val="(%5)"/>
      <w:lvlJc w:val="left"/>
      <w:pPr>
        <w:tabs>
          <w:tab w:val="num" w:pos="4320"/>
        </w:tabs>
        <w:ind w:left="0" w:firstLine="3600"/>
      </w:pPr>
      <w:rPr>
        <w:u w:val="none"/>
      </w:r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
    <w:nsid w:val="474E2BE8"/>
    <w:multiLevelType w:val="hybridMultilevel"/>
    <w:tmpl w:val="8DE067FC"/>
    <w:lvl w:ilvl="0" w:tplc="913AE646">
      <w:start w:val="1"/>
      <w:numFmt w:val="decimal"/>
      <w:lvlText w:val="%1."/>
      <w:lvlJc w:val="left"/>
      <w:pPr>
        <w:tabs>
          <w:tab w:val="num" w:pos="1440"/>
        </w:tabs>
        <w:ind w:left="1440" w:hanging="720"/>
      </w:pPr>
      <w:rPr>
        <w:rFonts w:hint="default"/>
      </w:rPr>
    </w:lvl>
    <w:lvl w:ilvl="1" w:tplc="91EED13E">
      <w:start w:val="1"/>
      <w:numFmt w:val="upperLetter"/>
      <w:pStyle w:val="PleadWherePara"/>
      <w:lvlText w:val="%2."/>
      <w:lvlJc w:val="left"/>
      <w:pPr>
        <w:tabs>
          <w:tab w:val="num" w:pos="2880"/>
        </w:tabs>
        <w:ind w:left="2880" w:hanging="144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ADC0E7B"/>
    <w:multiLevelType w:val="hybridMultilevel"/>
    <w:tmpl w:val="83F6E4E0"/>
    <w:lvl w:ilvl="0" w:tplc="B99C3E9E">
      <w:start w:val="1"/>
      <w:numFmt w:val="upperLetter"/>
      <w:lvlText w:val="%1."/>
      <w:lvlJc w:val="left"/>
      <w:pPr>
        <w:ind w:left="2220" w:hanging="870"/>
      </w:pPr>
      <w:rPr>
        <w:rFonts w:hint="default"/>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nsid w:val="67B312A0"/>
    <w:multiLevelType w:val="hybridMultilevel"/>
    <w:tmpl w:val="F5845012"/>
    <w:lvl w:ilvl="0" w:tplc="BC6E748E">
      <w:start w:val="1"/>
      <w:numFmt w:val="upperLetter"/>
      <w:lvlText w:val="%1."/>
      <w:lvlJc w:val="left"/>
      <w:pPr>
        <w:ind w:left="1170" w:hanging="360"/>
      </w:pPr>
      <w:rPr>
        <w:rFonts w:hint="default"/>
        <w:i w:val="0"/>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num>
  <w:num w:numId="2">
    <w:abstractNumId w:val="0"/>
  </w:num>
  <w:num w:numId="3">
    <w:abstractNumId w:val="0"/>
  </w:num>
  <w:num w:numId="4">
    <w:abstractNumId w:val="0"/>
  </w:num>
  <w:num w:numId="5">
    <w:abstractNumId w:val="1"/>
  </w:num>
  <w:num w:numId="6">
    <w:abstractNumId w:val="2"/>
  </w:num>
  <w:num w:numId="7">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ocumentProtection w:formatting="1"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7"/>
    <o:shapelayout v:ext="edit">
      <o:idmap v:ext="edit" data="2"/>
    </o:shapelayout>
  </w:hdrShapeDefaults>
  <w:footnotePr>
    <w:footnote w:id="-1"/>
    <w:footnote w:id="0"/>
  </w:footnotePr>
  <w:endnotePr>
    <w:endnote w:id="-1"/>
    <w:endnote w:id="0"/>
  </w:endnotePr>
  <w:compat/>
  <w:rsids>
    <w:rsidRoot w:val="002D41F7"/>
    <w:rsid w:val="00012B9A"/>
    <w:rsid w:val="00025849"/>
    <w:rsid w:val="000355CA"/>
    <w:rsid w:val="00042BC7"/>
    <w:rsid w:val="000C2671"/>
    <w:rsid w:val="000C363F"/>
    <w:rsid w:val="00101A2C"/>
    <w:rsid w:val="00104278"/>
    <w:rsid w:val="001231A9"/>
    <w:rsid w:val="00132282"/>
    <w:rsid w:val="001375AB"/>
    <w:rsid w:val="00171A0C"/>
    <w:rsid w:val="0019080D"/>
    <w:rsid w:val="001A195F"/>
    <w:rsid w:val="001B14E3"/>
    <w:rsid w:val="001B3C34"/>
    <w:rsid w:val="001D699A"/>
    <w:rsid w:val="001E353A"/>
    <w:rsid w:val="001E68AC"/>
    <w:rsid w:val="001F4A69"/>
    <w:rsid w:val="00215163"/>
    <w:rsid w:val="00215223"/>
    <w:rsid w:val="00215D72"/>
    <w:rsid w:val="00237643"/>
    <w:rsid w:val="00246B7B"/>
    <w:rsid w:val="00266B65"/>
    <w:rsid w:val="00272342"/>
    <w:rsid w:val="002D41F7"/>
    <w:rsid w:val="002D4541"/>
    <w:rsid w:val="002D7F06"/>
    <w:rsid w:val="002F2EC6"/>
    <w:rsid w:val="00343D0C"/>
    <w:rsid w:val="00344FF0"/>
    <w:rsid w:val="00350122"/>
    <w:rsid w:val="003516EE"/>
    <w:rsid w:val="00366E38"/>
    <w:rsid w:val="0039619E"/>
    <w:rsid w:val="003D5A89"/>
    <w:rsid w:val="003F1D8A"/>
    <w:rsid w:val="0043377B"/>
    <w:rsid w:val="004410B5"/>
    <w:rsid w:val="00444BFF"/>
    <w:rsid w:val="00445D00"/>
    <w:rsid w:val="004924B0"/>
    <w:rsid w:val="004B1E32"/>
    <w:rsid w:val="004B702B"/>
    <w:rsid w:val="004C2186"/>
    <w:rsid w:val="00521799"/>
    <w:rsid w:val="00533953"/>
    <w:rsid w:val="00553EA5"/>
    <w:rsid w:val="00563F33"/>
    <w:rsid w:val="0056602F"/>
    <w:rsid w:val="005815FF"/>
    <w:rsid w:val="005A7793"/>
    <w:rsid w:val="00630BE7"/>
    <w:rsid w:val="00660CD8"/>
    <w:rsid w:val="0067094C"/>
    <w:rsid w:val="00680D92"/>
    <w:rsid w:val="006B783E"/>
    <w:rsid w:val="006C7B43"/>
    <w:rsid w:val="006E7E70"/>
    <w:rsid w:val="00705CC6"/>
    <w:rsid w:val="00724487"/>
    <w:rsid w:val="0073075F"/>
    <w:rsid w:val="0073123D"/>
    <w:rsid w:val="00751A4B"/>
    <w:rsid w:val="0076341F"/>
    <w:rsid w:val="00766A81"/>
    <w:rsid w:val="007C19EE"/>
    <w:rsid w:val="007C31BC"/>
    <w:rsid w:val="007C53E6"/>
    <w:rsid w:val="007F5E42"/>
    <w:rsid w:val="00807784"/>
    <w:rsid w:val="00823457"/>
    <w:rsid w:val="00841706"/>
    <w:rsid w:val="00875EEE"/>
    <w:rsid w:val="008A3062"/>
    <w:rsid w:val="008C6EB9"/>
    <w:rsid w:val="008D0001"/>
    <w:rsid w:val="008D74A6"/>
    <w:rsid w:val="00927FBF"/>
    <w:rsid w:val="00953F21"/>
    <w:rsid w:val="00971315"/>
    <w:rsid w:val="00977303"/>
    <w:rsid w:val="00995390"/>
    <w:rsid w:val="009B1741"/>
    <w:rsid w:val="009E317A"/>
    <w:rsid w:val="00A1266F"/>
    <w:rsid w:val="00A51B43"/>
    <w:rsid w:val="00A95516"/>
    <w:rsid w:val="00AF4AED"/>
    <w:rsid w:val="00B42919"/>
    <w:rsid w:val="00B43BE5"/>
    <w:rsid w:val="00B4495B"/>
    <w:rsid w:val="00B52D11"/>
    <w:rsid w:val="00B92039"/>
    <w:rsid w:val="00BD198F"/>
    <w:rsid w:val="00C20E42"/>
    <w:rsid w:val="00C22271"/>
    <w:rsid w:val="00C72FD2"/>
    <w:rsid w:val="00CE0E99"/>
    <w:rsid w:val="00CF6A41"/>
    <w:rsid w:val="00D15F26"/>
    <w:rsid w:val="00D535C9"/>
    <w:rsid w:val="00D8142F"/>
    <w:rsid w:val="00DC6CB8"/>
    <w:rsid w:val="00DD6036"/>
    <w:rsid w:val="00DD7595"/>
    <w:rsid w:val="00DE7D48"/>
    <w:rsid w:val="00E13288"/>
    <w:rsid w:val="00E17A6E"/>
    <w:rsid w:val="00E228A8"/>
    <w:rsid w:val="00E22A02"/>
    <w:rsid w:val="00E3678E"/>
    <w:rsid w:val="00E91731"/>
    <w:rsid w:val="00EC5BEC"/>
    <w:rsid w:val="00ED0061"/>
    <w:rsid w:val="00F21FA7"/>
    <w:rsid w:val="00F56B0C"/>
    <w:rsid w:val="00F63D05"/>
    <w:rsid w:val="00F864AC"/>
    <w:rsid w:val="00F94FD5"/>
    <w:rsid w:val="00FA18A6"/>
    <w:rsid w:val="00FB767F"/>
    <w:rsid w:val="00FE2F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4278"/>
    <w:pPr>
      <w:widowControl w:val="0"/>
      <w:spacing w:line="470" w:lineRule="exact"/>
      <w:ind w:firstLine="720"/>
      <w:jc w:val="both"/>
    </w:pPr>
    <w:rPr>
      <w:sz w:val="26"/>
    </w:rPr>
  </w:style>
  <w:style w:type="paragraph" w:styleId="Heading1">
    <w:name w:val="heading 1"/>
    <w:basedOn w:val="Normal"/>
    <w:next w:val="Normal"/>
    <w:qFormat/>
    <w:rsid w:val="00104278"/>
    <w:pPr>
      <w:outlineLvl w:val="0"/>
    </w:pPr>
  </w:style>
  <w:style w:type="paragraph" w:styleId="Heading2">
    <w:name w:val="heading 2"/>
    <w:basedOn w:val="Normal"/>
    <w:next w:val="Normal"/>
    <w:qFormat/>
    <w:rsid w:val="00104278"/>
    <w:pPr>
      <w:outlineLvl w:val="1"/>
    </w:pPr>
  </w:style>
  <w:style w:type="paragraph" w:styleId="Heading3">
    <w:name w:val="heading 3"/>
    <w:basedOn w:val="Normal"/>
    <w:next w:val="Normal"/>
    <w:qFormat/>
    <w:rsid w:val="00104278"/>
    <w:pPr>
      <w:outlineLvl w:val="2"/>
    </w:pPr>
  </w:style>
  <w:style w:type="paragraph" w:styleId="Heading4">
    <w:name w:val="heading 4"/>
    <w:basedOn w:val="Normal"/>
    <w:next w:val="Normal"/>
    <w:qFormat/>
    <w:rsid w:val="00104278"/>
    <w:pPr>
      <w:outlineLvl w:val="3"/>
    </w:pPr>
  </w:style>
  <w:style w:type="paragraph" w:styleId="Heading5">
    <w:name w:val="heading 5"/>
    <w:basedOn w:val="Normal"/>
    <w:next w:val="Normal"/>
    <w:qFormat/>
    <w:rsid w:val="00104278"/>
    <w:pPr>
      <w:outlineLvl w:val="4"/>
    </w:pPr>
  </w:style>
  <w:style w:type="paragraph" w:styleId="Heading6">
    <w:name w:val="heading 6"/>
    <w:basedOn w:val="Normal"/>
    <w:next w:val="Normal"/>
    <w:qFormat/>
    <w:rsid w:val="00104278"/>
    <w:pPr>
      <w:numPr>
        <w:ilvl w:val="5"/>
        <w:numId w:val="1"/>
      </w:numPr>
      <w:outlineLvl w:val="5"/>
    </w:pPr>
  </w:style>
  <w:style w:type="paragraph" w:styleId="Heading7">
    <w:name w:val="heading 7"/>
    <w:basedOn w:val="Normal"/>
    <w:next w:val="Normal"/>
    <w:qFormat/>
    <w:rsid w:val="00104278"/>
    <w:pPr>
      <w:numPr>
        <w:ilvl w:val="6"/>
        <w:numId w:val="2"/>
      </w:numPr>
      <w:outlineLvl w:val="6"/>
    </w:pPr>
  </w:style>
  <w:style w:type="paragraph" w:styleId="Heading8">
    <w:name w:val="heading 8"/>
    <w:basedOn w:val="Normal"/>
    <w:next w:val="Normal"/>
    <w:qFormat/>
    <w:rsid w:val="00104278"/>
    <w:pPr>
      <w:numPr>
        <w:ilvl w:val="7"/>
        <w:numId w:val="3"/>
      </w:numPr>
      <w:outlineLvl w:val="7"/>
    </w:pPr>
  </w:style>
  <w:style w:type="paragraph" w:styleId="Heading9">
    <w:name w:val="heading 9"/>
    <w:basedOn w:val="Normal"/>
    <w:next w:val="Normal"/>
    <w:qFormat/>
    <w:rsid w:val="00104278"/>
    <w:pPr>
      <w:numPr>
        <w:ilvl w:val="8"/>
        <w:numId w:val="4"/>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4278"/>
    <w:pPr>
      <w:tabs>
        <w:tab w:val="center" w:pos="4680"/>
        <w:tab w:val="right" w:pos="9360"/>
      </w:tabs>
      <w:ind w:firstLine="0"/>
    </w:pPr>
  </w:style>
  <w:style w:type="paragraph" w:styleId="Footer">
    <w:name w:val="footer"/>
    <w:basedOn w:val="Normal"/>
    <w:rsid w:val="00104278"/>
    <w:pPr>
      <w:tabs>
        <w:tab w:val="center" w:pos="4680"/>
        <w:tab w:val="right" w:pos="9360"/>
      </w:tabs>
      <w:spacing w:line="235" w:lineRule="exact"/>
      <w:ind w:firstLine="0"/>
    </w:pPr>
  </w:style>
  <w:style w:type="character" w:styleId="PageNumber">
    <w:name w:val="page number"/>
    <w:basedOn w:val="DefaultParagraphFont"/>
    <w:rsid w:val="00104278"/>
    <w:rPr>
      <w:rFonts w:ascii="Times New Roman" w:hAnsi="Times New Roman"/>
      <w:sz w:val="26"/>
    </w:rPr>
  </w:style>
  <w:style w:type="paragraph" w:customStyle="1" w:styleId="LineNumbering">
    <w:name w:val="Line Numbering"/>
    <w:basedOn w:val="Normal"/>
    <w:rsid w:val="00104278"/>
    <w:pPr>
      <w:pBdr>
        <w:right w:val="double" w:sz="4" w:space="2" w:color="auto"/>
      </w:pBdr>
      <w:ind w:firstLine="0"/>
      <w:jc w:val="right"/>
    </w:pPr>
    <w:rPr>
      <w:sz w:val="21"/>
    </w:rPr>
  </w:style>
  <w:style w:type="paragraph" w:customStyle="1" w:styleId="Caption-FirmInfo">
    <w:name w:val="Caption - Firm Info"/>
    <w:basedOn w:val="Normal"/>
    <w:rsid w:val="00104278"/>
    <w:pPr>
      <w:spacing w:line="235" w:lineRule="exact"/>
      <w:ind w:right="5328" w:firstLine="0"/>
      <w:jc w:val="left"/>
    </w:pPr>
    <w:rPr>
      <w:bCs/>
    </w:rPr>
  </w:style>
  <w:style w:type="paragraph" w:customStyle="1" w:styleId="Caption-ClientInfo">
    <w:name w:val="Caption - Client Info"/>
    <w:basedOn w:val="Normal"/>
    <w:rsid w:val="00104278"/>
    <w:pPr>
      <w:spacing w:line="235" w:lineRule="exact"/>
      <w:ind w:right="4320" w:firstLine="0"/>
    </w:pPr>
  </w:style>
  <w:style w:type="paragraph" w:customStyle="1" w:styleId="Caption-title">
    <w:name w:val="Caption - title"/>
    <w:basedOn w:val="Normal"/>
    <w:rsid w:val="00104278"/>
    <w:pPr>
      <w:spacing w:line="235" w:lineRule="exact"/>
      <w:ind w:firstLine="0"/>
      <w:jc w:val="center"/>
    </w:pPr>
    <w:rPr>
      <w:b/>
      <w:caps/>
    </w:rPr>
  </w:style>
  <w:style w:type="paragraph" w:customStyle="1" w:styleId="Caption-PlaintiffDefendant">
    <w:name w:val="Caption - Plaintiff/Defendant"/>
    <w:basedOn w:val="Normal"/>
    <w:rsid w:val="00104278"/>
    <w:pPr>
      <w:spacing w:line="235" w:lineRule="exact"/>
      <w:ind w:firstLine="0"/>
    </w:pPr>
  </w:style>
  <w:style w:type="paragraph" w:customStyle="1" w:styleId="Caption-RightSide">
    <w:name w:val="Caption - Right Side"/>
    <w:basedOn w:val="Normal"/>
    <w:rsid w:val="00104278"/>
    <w:pPr>
      <w:spacing w:line="235" w:lineRule="exact"/>
      <w:ind w:left="259" w:firstLine="0"/>
    </w:pPr>
  </w:style>
  <w:style w:type="paragraph" w:customStyle="1" w:styleId="SignatureBlockExtraIndent">
    <w:name w:val="Signature Block Extra Indent"/>
    <w:basedOn w:val="Normal"/>
    <w:rsid w:val="00104278"/>
    <w:pPr>
      <w:spacing w:line="235" w:lineRule="exact"/>
      <w:ind w:left="4464" w:firstLine="0"/>
    </w:pPr>
  </w:style>
  <w:style w:type="paragraph" w:customStyle="1" w:styleId="SingleSpaced">
    <w:name w:val="Single Spaced"/>
    <w:basedOn w:val="Normal"/>
    <w:rsid w:val="00104278"/>
    <w:pPr>
      <w:spacing w:line="235" w:lineRule="exact"/>
    </w:pPr>
  </w:style>
  <w:style w:type="paragraph" w:customStyle="1" w:styleId="SignatureBlockIndent">
    <w:name w:val="Signature Block Indent"/>
    <w:basedOn w:val="Normal"/>
    <w:rsid w:val="00104278"/>
    <w:pPr>
      <w:spacing w:line="235" w:lineRule="exact"/>
      <w:ind w:left="3960" w:firstLine="0"/>
    </w:pPr>
  </w:style>
  <w:style w:type="paragraph" w:styleId="Caption">
    <w:name w:val="caption"/>
    <w:basedOn w:val="Normal"/>
    <w:next w:val="Normal"/>
    <w:qFormat/>
    <w:rsid w:val="00104278"/>
    <w:pPr>
      <w:spacing w:line="235" w:lineRule="exact"/>
      <w:ind w:firstLine="0"/>
    </w:pPr>
    <w:rPr>
      <w:b/>
    </w:rPr>
  </w:style>
  <w:style w:type="paragraph" w:styleId="FootnoteText">
    <w:name w:val="footnote text"/>
    <w:basedOn w:val="Normal"/>
    <w:semiHidden/>
    <w:rsid w:val="00104278"/>
    <w:pPr>
      <w:spacing w:line="235" w:lineRule="exact"/>
    </w:pPr>
  </w:style>
  <w:style w:type="paragraph" w:styleId="EnvelopeAddress">
    <w:name w:val="envelope address"/>
    <w:basedOn w:val="Normal"/>
    <w:rsid w:val="00104278"/>
    <w:pPr>
      <w:framePr w:w="5760" w:h="2160" w:hRule="exact" w:hSpace="187" w:vSpace="187" w:wrap="around" w:vAnchor="page" w:hAnchor="page" w:x="6841" w:y="3241" w:anchorLock="1"/>
      <w:widowControl/>
      <w:spacing w:line="240" w:lineRule="auto"/>
    </w:pPr>
    <w:rPr>
      <w:sz w:val="24"/>
    </w:rPr>
  </w:style>
  <w:style w:type="paragraph" w:customStyle="1" w:styleId="DocInfo">
    <w:name w:val="Doc Info"/>
    <w:basedOn w:val="Normal"/>
    <w:rsid w:val="00104278"/>
    <w:pPr>
      <w:ind w:firstLine="0"/>
    </w:pPr>
    <w:rPr>
      <w:sz w:val="14"/>
    </w:rPr>
  </w:style>
  <w:style w:type="paragraph" w:customStyle="1" w:styleId="MailingCertificate">
    <w:name w:val="Mailing Certificate"/>
    <w:basedOn w:val="Normal"/>
    <w:rsid w:val="00104278"/>
    <w:pPr>
      <w:spacing w:line="235" w:lineRule="exact"/>
      <w:ind w:right="4320" w:firstLine="0"/>
    </w:pPr>
  </w:style>
  <w:style w:type="paragraph" w:customStyle="1" w:styleId="SideBox">
    <w:name w:val="Side Box"/>
    <w:basedOn w:val="Caption-FirmInfo"/>
    <w:rsid w:val="00104278"/>
  </w:style>
  <w:style w:type="paragraph" w:customStyle="1" w:styleId="PleadWherePara">
    <w:name w:val="Plead Where Para"/>
    <w:basedOn w:val="Normal"/>
    <w:rsid w:val="00104278"/>
    <w:pPr>
      <w:widowControl/>
      <w:numPr>
        <w:ilvl w:val="1"/>
        <w:numId w:val="5"/>
      </w:numPr>
    </w:pPr>
  </w:style>
  <w:style w:type="paragraph" w:customStyle="1" w:styleId="PleadPara">
    <w:name w:val="Plead Para"/>
    <w:basedOn w:val="Normal"/>
    <w:rsid w:val="00104278"/>
    <w:pPr>
      <w:widowControl/>
    </w:pPr>
  </w:style>
  <w:style w:type="paragraph" w:customStyle="1" w:styleId="PleadCompPara">
    <w:name w:val="Plead Comp Para"/>
    <w:basedOn w:val="Normal"/>
    <w:rsid w:val="00104278"/>
    <w:pPr>
      <w:widowControl/>
      <w:tabs>
        <w:tab w:val="left" w:pos="1440"/>
      </w:tabs>
      <w:ind w:firstLine="0"/>
    </w:pPr>
  </w:style>
  <w:style w:type="paragraph" w:customStyle="1" w:styleId="Style1">
    <w:name w:val="Style1"/>
    <w:basedOn w:val="PleadPara"/>
    <w:rsid w:val="00104278"/>
  </w:style>
  <w:style w:type="paragraph" w:customStyle="1" w:styleId="PleadHeading">
    <w:name w:val="Plead Heading"/>
    <w:basedOn w:val="PleadPara"/>
    <w:rsid w:val="00104278"/>
    <w:pPr>
      <w:keepNext/>
      <w:ind w:firstLine="0"/>
    </w:pPr>
    <w:rPr>
      <w:b/>
      <w:bCs/>
      <w:u w:val="single"/>
    </w:rPr>
  </w:style>
  <w:style w:type="character" w:customStyle="1" w:styleId="documentbody1">
    <w:name w:val="documentbody1"/>
    <w:basedOn w:val="DefaultParagraphFont"/>
    <w:rsid w:val="00E17A6E"/>
    <w:rPr>
      <w:rFonts w:ascii="Verdana" w:hAnsi="Verdana" w:hint="default"/>
      <w:sz w:val="19"/>
      <w:szCs w:val="19"/>
    </w:rPr>
  </w:style>
  <w:style w:type="character" w:styleId="FootnoteReference">
    <w:name w:val="footnote reference"/>
    <w:basedOn w:val="DefaultParagraphFont"/>
    <w:semiHidden/>
    <w:rsid w:val="00344FF0"/>
    <w:rPr>
      <w:vertAlign w:val="superscript"/>
    </w:rPr>
  </w:style>
  <w:style w:type="paragraph" w:styleId="BalloonText">
    <w:name w:val="Balloon Text"/>
    <w:basedOn w:val="Normal"/>
    <w:semiHidden/>
    <w:rsid w:val="00350122"/>
    <w:rPr>
      <w:rFonts w:ascii="Tahoma" w:hAnsi="Tahoma" w:cs="Tahoma"/>
      <w:sz w:val="16"/>
      <w:szCs w:val="16"/>
    </w:rPr>
  </w:style>
  <w:style w:type="paragraph" w:styleId="DocumentMap">
    <w:name w:val="Document Map"/>
    <w:basedOn w:val="Normal"/>
    <w:semiHidden/>
    <w:rsid w:val="004924B0"/>
    <w:pPr>
      <w:shd w:val="clear" w:color="auto" w:fill="000080"/>
    </w:pPr>
    <w:rPr>
      <w:rFonts w:ascii="Tahoma" w:hAnsi="Tahoma" w:cs="Tahoma"/>
      <w:sz w:val="20"/>
    </w:rPr>
  </w:style>
  <w:style w:type="paragraph" w:styleId="EndnoteText">
    <w:name w:val="endnote text"/>
    <w:basedOn w:val="Normal"/>
    <w:link w:val="EndnoteTextChar"/>
    <w:rsid w:val="00680D92"/>
    <w:rPr>
      <w:sz w:val="20"/>
    </w:rPr>
  </w:style>
  <w:style w:type="character" w:customStyle="1" w:styleId="EndnoteTextChar">
    <w:name w:val="Endnote Text Char"/>
    <w:basedOn w:val="DefaultParagraphFont"/>
    <w:link w:val="EndnoteText"/>
    <w:rsid w:val="00680D92"/>
  </w:style>
  <w:style w:type="character" w:styleId="EndnoteReference">
    <w:name w:val="endnote reference"/>
    <w:basedOn w:val="DefaultParagraphFont"/>
    <w:rsid w:val="00680D92"/>
    <w:rPr>
      <w:vertAlign w:val="superscript"/>
    </w:rPr>
  </w:style>
  <w:style w:type="character" w:styleId="Hyperlink">
    <w:name w:val="Hyperlink"/>
    <w:basedOn w:val="DefaultParagraphFont"/>
    <w:rsid w:val="00FE2F5B"/>
    <w:rPr>
      <w:color w:val="0000FF"/>
      <w:u w:val="single"/>
    </w:rPr>
  </w:style>
  <w:style w:type="paragraph" w:customStyle="1" w:styleId="PleadingSignature">
    <w:name w:val="Pleading Signature"/>
    <w:basedOn w:val="Normal"/>
    <w:rsid w:val="00E3678E"/>
    <w:pPr>
      <w:keepNext/>
      <w:keepLines/>
      <w:spacing w:line="240" w:lineRule="exact"/>
      <w:ind w:firstLine="0"/>
      <w:jc w:val="left"/>
    </w:pPr>
  </w:style>
</w:styles>
</file>

<file path=word/webSettings.xml><?xml version="1.0" encoding="utf-8"?>
<w:webSettings xmlns:r="http://schemas.openxmlformats.org/officeDocument/2006/relationships" xmlns:w="http://schemas.openxmlformats.org/wordprocessingml/2006/main">
  <w:divs>
    <w:div w:id="56367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icrosoft\Workgroup%20Templates\P%20&amp;%20B\Superior%20Court%20Pleading%20(like%20W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7E1CC-9E28-419B-82B9-EF0B310E4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Superior Court Pleading (like WP).dot</Template>
  <TotalTime>5</TotalTime>
  <Pages>10</Pages>
  <Words>2372</Words>
  <Characters>13158</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Ann Birmingham Scheel</vt:lpstr>
      <vt:lpstr>IN THE SUPREME COURT</vt:lpstr>
      <vt:lpstr>STATE OF ARIZONA</vt:lpstr>
    </vt:vector>
  </TitlesOfParts>
  <Manager> </Manager>
  <Company> </Company>
  <LinksUpToDate>false</LinksUpToDate>
  <CharactersWithSpaces>15500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dc:description> </dc:description>
  <cp:lastModifiedBy>GRestaino</cp:lastModifiedBy>
  <cp:revision>5</cp:revision>
  <cp:lastPrinted>2012-05-20T22:53:00Z</cp:lastPrinted>
  <dcterms:created xsi:type="dcterms:W3CDTF">2012-05-20T22:48:00Z</dcterms:created>
  <dcterms:modified xsi:type="dcterms:W3CDTF">2012-05-20T22:54:00Z</dcterms:modified>
  <cp:category>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ABAAVOAfoSrQoyyh0EE/P6Zj6pSB5WXIlXMeCIpFp0PbDG5dESn1Bb/U2E4k/dncj/qV</vt:lpwstr>
  </property>
  <property fmtid="{D5CDD505-2E9C-101B-9397-08002B2CF9AE}" pid="3" name="MAIL_MSG_ID2">
    <vt:lpwstr>HhHGewFfV0nStVgSxAPEYiLDQf50H0V8dhICO6I1W2mgFudduByH47gxjEp_x000d_
ty1JPO+yV3iMoCE1AyZ/NEkXDik=</vt:lpwstr>
  </property>
  <property fmtid="{D5CDD505-2E9C-101B-9397-08002B2CF9AE}" pid="4" name="RESPONSE_SENDER_NAME">
    <vt:lpwstr>gAAAdya76B99d4hLGUR1rQ+8TxTv0GGEPdix</vt:lpwstr>
  </property>
  <property fmtid="{D5CDD505-2E9C-101B-9397-08002B2CF9AE}" pid="5" name="EMAIL_OWNER_ADDRESS">
    <vt:lpwstr>4AAAv2pPQheLA5Xsx7LrvzHWy2eQjpOILjwD2Sw5nDSFDCRARJ3Xgmwcaw==</vt:lpwstr>
  </property>
</Properties>
</file>