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524D6" w14:textId="2543A8C4" w:rsidR="003D6070" w:rsidRDefault="003D6070" w:rsidP="00A74317">
      <w:pPr>
        <w:pStyle w:val="AttorneyName"/>
        <w:spacing w:line="240" w:lineRule="auto"/>
        <w:rPr>
          <w:rFonts w:ascii="Times New Roman" w:hAnsi="Times New Roman"/>
          <w:b/>
          <w:sz w:val="24"/>
          <w:szCs w:val="24"/>
        </w:rPr>
      </w:pPr>
      <w:r>
        <w:rPr>
          <w:rFonts w:ascii="Times New Roman" w:hAnsi="Times New Roman"/>
          <w:b/>
          <w:sz w:val="24"/>
          <w:szCs w:val="24"/>
        </w:rPr>
        <w:t>ARIZONA ATTORNEYS FOR CRIMINAL JUSTICE</w:t>
      </w:r>
    </w:p>
    <w:p w14:paraId="6A1D4470" w14:textId="77777777" w:rsidR="00B233C2"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David J. Euchner</w:t>
      </w:r>
      <w:r w:rsidR="00A74317" w:rsidRPr="00DA0D25">
        <w:rPr>
          <w:rFonts w:ascii="Times New Roman" w:hAnsi="Times New Roman"/>
          <w:b/>
          <w:sz w:val="24"/>
          <w:szCs w:val="24"/>
        </w:rPr>
        <w:t>, SB#02</w:t>
      </w:r>
      <w:r>
        <w:rPr>
          <w:rFonts w:ascii="Times New Roman" w:hAnsi="Times New Roman"/>
          <w:b/>
          <w:sz w:val="24"/>
          <w:szCs w:val="24"/>
        </w:rPr>
        <w:t>1</w:t>
      </w:r>
      <w:r w:rsidR="009B5BAF">
        <w:rPr>
          <w:rFonts w:ascii="Times New Roman" w:hAnsi="Times New Roman"/>
          <w:b/>
          <w:sz w:val="24"/>
          <w:szCs w:val="24"/>
        </w:rPr>
        <w:t>768</w:t>
      </w:r>
    </w:p>
    <w:p w14:paraId="3479BB2D" w14:textId="36C105ED" w:rsidR="00A74317" w:rsidRDefault="00B56225" w:rsidP="00A74317">
      <w:pPr>
        <w:pStyle w:val="AttorneyName"/>
        <w:spacing w:line="240" w:lineRule="auto"/>
        <w:rPr>
          <w:rFonts w:ascii="Times New Roman" w:hAnsi="Times New Roman"/>
          <w:b/>
          <w:sz w:val="24"/>
          <w:szCs w:val="24"/>
        </w:rPr>
      </w:pPr>
      <w:r>
        <w:rPr>
          <w:rFonts w:ascii="Times New Roman" w:hAnsi="Times New Roman"/>
          <w:b/>
          <w:sz w:val="24"/>
          <w:szCs w:val="24"/>
        </w:rPr>
        <w:t>3200 N. Central Ave., Suite 2250</w:t>
      </w:r>
    </w:p>
    <w:p w14:paraId="623EC553" w14:textId="10A8B38E" w:rsidR="00B56225" w:rsidRPr="002F1FBD" w:rsidRDefault="00B56225" w:rsidP="00A74317">
      <w:pPr>
        <w:pStyle w:val="AttorneyName"/>
        <w:spacing w:line="240" w:lineRule="auto"/>
        <w:rPr>
          <w:rFonts w:ascii="Times New Roman" w:hAnsi="Times New Roman"/>
          <w:b/>
          <w:sz w:val="24"/>
          <w:szCs w:val="24"/>
        </w:rPr>
      </w:pPr>
      <w:r>
        <w:rPr>
          <w:rFonts w:ascii="Times New Roman" w:hAnsi="Times New Roman"/>
          <w:b/>
          <w:sz w:val="24"/>
          <w:szCs w:val="24"/>
        </w:rPr>
        <w:t>Phoenix, AZ 85012</w:t>
      </w:r>
    </w:p>
    <w:p w14:paraId="3D0E8D2E" w14:textId="4BB929B5" w:rsidR="00A74317" w:rsidRDefault="00A74317" w:rsidP="00A74317">
      <w:pPr>
        <w:pStyle w:val="AttorneyName"/>
        <w:spacing w:line="240" w:lineRule="auto"/>
        <w:rPr>
          <w:rFonts w:ascii="Times New Roman" w:hAnsi="Times New Roman"/>
          <w:b/>
          <w:sz w:val="24"/>
          <w:szCs w:val="24"/>
        </w:rPr>
      </w:pPr>
      <w:r w:rsidRPr="002F1FBD">
        <w:rPr>
          <w:rFonts w:ascii="Times New Roman" w:hAnsi="Times New Roman"/>
          <w:b/>
          <w:sz w:val="24"/>
          <w:szCs w:val="24"/>
        </w:rPr>
        <w:t>(</w:t>
      </w:r>
      <w:r w:rsidR="00B56225">
        <w:rPr>
          <w:rFonts w:ascii="Times New Roman" w:hAnsi="Times New Roman"/>
          <w:b/>
          <w:sz w:val="24"/>
          <w:szCs w:val="24"/>
        </w:rPr>
        <w:t>6</w:t>
      </w:r>
      <w:r w:rsidR="009B5BAF">
        <w:rPr>
          <w:rFonts w:ascii="Times New Roman" w:hAnsi="Times New Roman"/>
          <w:b/>
          <w:sz w:val="24"/>
          <w:szCs w:val="24"/>
        </w:rPr>
        <w:t>0</w:t>
      </w:r>
      <w:r w:rsidR="00B56225">
        <w:rPr>
          <w:rFonts w:ascii="Times New Roman" w:hAnsi="Times New Roman"/>
          <w:b/>
          <w:sz w:val="24"/>
          <w:szCs w:val="24"/>
        </w:rPr>
        <w:t>2</w:t>
      </w:r>
      <w:r w:rsidR="009B5BAF">
        <w:rPr>
          <w:rFonts w:ascii="Times New Roman" w:hAnsi="Times New Roman"/>
          <w:b/>
          <w:sz w:val="24"/>
          <w:szCs w:val="24"/>
        </w:rPr>
        <w:t xml:space="preserve">) </w:t>
      </w:r>
      <w:r w:rsidR="00B56225">
        <w:rPr>
          <w:rFonts w:ascii="Times New Roman" w:hAnsi="Times New Roman"/>
          <w:b/>
          <w:sz w:val="24"/>
          <w:szCs w:val="24"/>
        </w:rPr>
        <w:t>492</w:t>
      </w:r>
      <w:r w:rsidR="009B5BAF">
        <w:rPr>
          <w:rFonts w:ascii="Times New Roman" w:hAnsi="Times New Roman"/>
          <w:b/>
          <w:sz w:val="24"/>
          <w:szCs w:val="24"/>
        </w:rPr>
        <w:t>-</w:t>
      </w:r>
      <w:r w:rsidR="00B56225">
        <w:rPr>
          <w:rFonts w:ascii="Times New Roman" w:hAnsi="Times New Roman"/>
          <w:b/>
          <w:sz w:val="24"/>
          <w:szCs w:val="24"/>
        </w:rPr>
        <w:t>7999</w:t>
      </w:r>
    </w:p>
    <w:p w14:paraId="724B03C3" w14:textId="32032A8B" w:rsidR="00A74317" w:rsidRDefault="00AC3538" w:rsidP="00A74317">
      <w:pPr>
        <w:pStyle w:val="AttorneyName"/>
        <w:spacing w:line="240" w:lineRule="auto"/>
        <w:rPr>
          <w:rFonts w:ascii="Times New Roman" w:hAnsi="Times New Roman"/>
          <w:b/>
          <w:sz w:val="24"/>
          <w:szCs w:val="24"/>
        </w:rPr>
      </w:pPr>
      <w:hyperlink r:id="rId11" w:history="1">
        <w:r w:rsidRPr="00B370A5">
          <w:rPr>
            <w:rStyle w:val="Hyperlink"/>
            <w:rFonts w:ascii="Times New Roman" w:hAnsi="Times New Roman"/>
            <w:b/>
            <w:sz w:val="24"/>
            <w:szCs w:val="24"/>
          </w:rPr>
          <w:t>david.euchner@pima.gov</w:t>
        </w:r>
      </w:hyperlink>
      <w:r w:rsidR="00AE0F9E">
        <w:rPr>
          <w:rFonts w:ascii="Times New Roman" w:hAnsi="Times New Roman"/>
          <w:b/>
          <w:sz w:val="24"/>
          <w:szCs w:val="24"/>
        </w:rPr>
        <w:t xml:space="preserve"> </w:t>
      </w:r>
    </w:p>
    <w:p w14:paraId="639FC7D5" w14:textId="77777777" w:rsidR="00B233C2" w:rsidRDefault="00B233C2" w:rsidP="00A74317">
      <w:pPr>
        <w:pStyle w:val="AttorneyName"/>
        <w:spacing w:line="240" w:lineRule="auto"/>
        <w:rPr>
          <w:rFonts w:ascii="Times New Roman" w:hAnsi="Times New Roman"/>
          <w:b/>
          <w:sz w:val="24"/>
          <w:szCs w:val="24"/>
        </w:rPr>
      </w:pPr>
    </w:p>
    <w:p w14:paraId="268AB7EF" w14:textId="77777777" w:rsidR="00DC38DE" w:rsidRPr="0014499B" w:rsidRDefault="00DC38DE" w:rsidP="002E545E">
      <w:pPr>
        <w:pStyle w:val="AttorneyName"/>
        <w:spacing w:line="240" w:lineRule="auto"/>
        <w:rPr>
          <w:rFonts w:ascii="Times New Roman" w:hAnsi="Times New Roman"/>
          <w:sz w:val="28"/>
          <w:szCs w:val="28"/>
        </w:rPr>
      </w:pPr>
    </w:p>
    <w:p w14:paraId="268AB7F0" w14:textId="77777777" w:rsidR="00DC38DE" w:rsidRPr="0014499B"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 xml:space="preserve">IN THE SUPREME COURT OF THE STATE OF </w:t>
      </w:r>
      <w:smartTag w:uri="urn:schemas-microsoft-com:office:smarttags" w:element="place">
        <w:smartTag w:uri="urn:schemas-microsoft-com:office:smarttags" w:element="State">
          <w:r w:rsidRPr="0014499B">
            <w:rPr>
              <w:rFonts w:ascii="Times New Roman" w:hAnsi="Times New Roman"/>
              <w:b/>
              <w:sz w:val="28"/>
              <w:szCs w:val="28"/>
            </w:rPr>
            <w:t>ARIZONA</w:t>
          </w:r>
        </w:smartTag>
      </w:smartTag>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622" w:type="dxa"/>
        <w:tblLayout w:type="fixed"/>
        <w:tblCellMar>
          <w:left w:w="120" w:type="dxa"/>
          <w:right w:w="120" w:type="dxa"/>
        </w:tblCellMar>
        <w:tblLook w:val="0000" w:firstRow="0" w:lastRow="0" w:firstColumn="0" w:lastColumn="0" w:noHBand="0" w:noVBand="0"/>
      </w:tblPr>
      <w:tblGrid>
        <w:gridCol w:w="4836"/>
        <w:gridCol w:w="4786"/>
      </w:tblGrid>
      <w:tr w:rsidR="00B56225" w:rsidRPr="00545329" w14:paraId="2CFB2F58" w14:textId="77777777" w:rsidTr="003207D3">
        <w:trPr>
          <w:cantSplit/>
          <w:trHeight w:val="2467"/>
        </w:trPr>
        <w:tc>
          <w:tcPr>
            <w:tcW w:w="4836" w:type="dxa"/>
            <w:tcBorders>
              <w:top w:val="nil"/>
              <w:left w:val="nil"/>
              <w:bottom w:val="single" w:sz="6" w:space="0" w:color="auto"/>
              <w:right w:val="single" w:sz="6" w:space="0" w:color="auto"/>
            </w:tcBorders>
            <w:tcMar>
              <w:top w:w="260" w:type="dxa"/>
              <w:left w:w="60" w:type="dxa"/>
              <w:bottom w:w="260" w:type="dxa"/>
              <w:right w:w="60" w:type="dxa"/>
            </w:tcMar>
          </w:tcPr>
          <w:p w14:paraId="411291EA" w14:textId="77777777" w:rsidR="00B56225" w:rsidRDefault="00B56225">
            <w:pPr>
              <w:pStyle w:val="Caseinfo"/>
              <w:tabs>
                <w:tab w:val="clear" w:pos="2179"/>
                <w:tab w:val="left" w:pos="2502"/>
              </w:tabs>
              <w:spacing w:line="240" w:lineRule="auto"/>
              <w:rPr>
                <w:smallCaps w:val="0"/>
              </w:rPr>
            </w:pPr>
            <w:bookmarkStart w:id="0" w:name="Parties"/>
            <w:bookmarkEnd w:id="0"/>
            <w:r w:rsidRPr="002C29E3">
              <w:rPr>
                <w:smallCaps w:val="0"/>
              </w:rPr>
              <w:t xml:space="preserve">In </w:t>
            </w:r>
            <w:r>
              <w:rPr>
                <w:smallCaps w:val="0"/>
              </w:rPr>
              <w:t>the Matter of:</w:t>
            </w:r>
          </w:p>
          <w:p w14:paraId="1115327C" w14:textId="77777777" w:rsidR="00B56225" w:rsidRDefault="00B56225">
            <w:pPr>
              <w:pStyle w:val="Caseinfo"/>
              <w:tabs>
                <w:tab w:val="clear" w:pos="2179"/>
                <w:tab w:val="left" w:pos="2502"/>
              </w:tabs>
              <w:spacing w:line="240" w:lineRule="auto"/>
              <w:rPr>
                <w:smallCaps w:val="0"/>
              </w:rPr>
            </w:pPr>
          </w:p>
          <w:p w14:paraId="0D9296C4" w14:textId="1BBD492B" w:rsidR="00B56225" w:rsidRPr="002C29E3" w:rsidRDefault="00B56225">
            <w:pPr>
              <w:pStyle w:val="Caseinfo"/>
              <w:tabs>
                <w:tab w:val="clear" w:pos="2179"/>
                <w:tab w:val="left" w:pos="2502"/>
              </w:tabs>
              <w:spacing w:line="240" w:lineRule="auto"/>
              <w:rPr>
                <w:smallCaps w:val="0"/>
                <w:color w:val="000000" w:themeColor="text1"/>
              </w:rPr>
            </w:pPr>
            <w:r>
              <w:rPr>
                <w:smallCaps w:val="0"/>
              </w:rPr>
              <w:t>Petition to Amend Ariz. R. Crim. P. 1</w:t>
            </w:r>
            <w:r w:rsidR="00F95AFB">
              <w:rPr>
                <w:smallCaps w:val="0"/>
              </w:rPr>
              <w:t>3</w:t>
            </w:r>
            <w:r>
              <w:rPr>
                <w:smallCaps w:val="0"/>
              </w:rPr>
              <w:t>.</w:t>
            </w:r>
            <w:r w:rsidR="00F95AFB">
              <w:rPr>
                <w:smallCaps w:val="0"/>
              </w:rPr>
              <w:t>5</w:t>
            </w:r>
            <w:r w:rsidRPr="002C29E3">
              <w:rPr>
                <w:smallCaps w:val="0"/>
              </w:rPr>
              <w:t>.</w:t>
            </w:r>
          </w:p>
        </w:tc>
        <w:tc>
          <w:tcPr>
            <w:tcW w:w="4786" w:type="dxa"/>
            <w:tcBorders>
              <w:top w:val="nil"/>
              <w:left w:val="single" w:sz="6" w:space="0" w:color="auto"/>
              <w:bottom w:val="nil"/>
              <w:right w:val="nil"/>
            </w:tcBorders>
            <w:tcMar>
              <w:top w:w="260" w:type="dxa"/>
              <w:left w:w="173" w:type="dxa"/>
              <w:bottom w:w="260" w:type="dxa"/>
              <w:right w:w="0" w:type="dxa"/>
            </w:tcMar>
          </w:tcPr>
          <w:p w14:paraId="4BAE995F" w14:textId="0739ACE3" w:rsidR="00B56225" w:rsidRDefault="00B56225">
            <w:pPr>
              <w:pStyle w:val="StyleCaseinfoLeft03After12ptLinespacingsingle"/>
              <w:spacing w:after="0"/>
              <w:ind w:left="126"/>
              <w:rPr>
                <w:color w:val="000000" w:themeColor="text1"/>
              </w:rPr>
            </w:pPr>
            <w:r w:rsidRPr="00545329">
              <w:rPr>
                <w:color w:val="000000" w:themeColor="text1"/>
              </w:rPr>
              <w:t xml:space="preserve">No. </w:t>
            </w:r>
            <w:r>
              <w:rPr>
                <w:color w:val="000000" w:themeColor="text1"/>
              </w:rPr>
              <w:t>R-2</w:t>
            </w:r>
            <w:r w:rsidR="00F95AFB">
              <w:rPr>
                <w:color w:val="000000" w:themeColor="text1"/>
              </w:rPr>
              <w:t>6</w:t>
            </w:r>
            <w:r>
              <w:rPr>
                <w:color w:val="000000" w:themeColor="text1"/>
              </w:rPr>
              <w:t>-00</w:t>
            </w:r>
            <w:r w:rsidR="00F95AFB">
              <w:rPr>
                <w:color w:val="000000" w:themeColor="text1"/>
              </w:rPr>
              <w:t>28</w:t>
            </w:r>
          </w:p>
          <w:p w14:paraId="043EA5E3" w14:textId="77777777" w:rsidR="00B56225" w:rsidRDefault="00B56225">
            <w:pPr>
              <w:pStyle w:val="StyleCaseinfoLeft03After12ptLinespacingsingle"/>
              <w:spacing w:after="0"/>
              <w:ind w:left="126"/>
              <w:rPr>
                <w:color w:val="000000" w:themeColor="text1"/>
              </w:rPr>
            </w:pPr>
          </w:p>
          <w:p w14:paraId="397F9259" w14:textId="544B019F" w:rsidR="00B56225" w:rsidRPr="00545329" w:rsidRDefault="003207D3" w:rsidP="00F95AFB">
            <w:pPr>
              <w:pStyle w:val="StyleCaseinfoLeft03After12ptLinespacingsingle"/>
              <w:spacing w:after="0"/>
              <w:ind w:left="126"/>
              <w:rPr>
                <w:b/>
                <w:color w:val="000000" w:themeColor="text1"/>
                <w:highlight w:val="yellow"/>
              </w:rPr>
            </w:pPr>
            <w:r w:rsidRPr="003207D3">
              <w:rPr>
                <w:b/>
                <w:bCs/>
                <w:color w:val="000000" w:themeColor="text1"/>
              </w:rPr>
              <w:t xml:space="preserve">Comment of Arizona Attorneys for Criminal Justice regarding </w:t>
            </w:r>
            <w:r w:rsidRPr="003207D3">
              <w:rPr>
                <w:b/>
                <w:bCs/>
              </w:rPr>
              <w:t xml:space="preserve">Petition </w:t>
            </w:r>
            <w:proofErr w:type="gramStart"/>
            <w:r w:rsidRPr="003207D3">
              <w:rPr>
                <w:b/>
                <w:bCs/>
              </w:rPr>
              <w:t>to Amend</w:t>
            </w:r>
            <w:proofErr w:type="gramEnd"/>
            <w:r w:rsidRPr="003207D3">
              <w:rPr>
                <w:b/>
                <w:bCs/>
              </w:rPr>
              <w:t xml:space="preserve"> Ariz. R. Crim. P. 1</w:t>
            </w:r>
            <w:r w:rsidR="00F95AFB">
              <w:rPr>
                <w:b/>
                <w:bCs/>
              </w:rPr>
              <w:t>3</w:t>
            </w:r>
            <w:r w:rsidRPr="003207D3">
              <w:rPr>
                <w:b/>
                <w:bCs/>
              </w:rPr>
              <w:t>.</w:t>
            </w:r>
            <w:r w:rsidR="00F95AFB">
              <w:rPr>
                <w:b/>
                <w:bCs/>
              </w:rPr>
              <w:t>5</w:t>
            </w:r>
          </w:p>
          <w:tbl>
            <w:tblPr>
              <w:tblW w:w="9697" w:type="dxa"/>
              <w:tblInd w:w="3" w:type="dxa"/>
              <w:tblBorders>
                <w:top w:val="nil"/>
                <w:left w:val="nil"/>
                <w:bottom w:val="nil"/>
                <w:right w:val="nil"/>
              </w:tblBorders>
              <w:tblLayout w:type="fixed"/>
              <w:tblLook w:val="0000" w:firstRow="0" w:lastRow="0" w:firstColumn="0" w:lastColumn="0" w:noHBand="0" w:noVBand="0"/>
            </w:tblPr>
            <w:tblGrid>
              <w:gridCol w:w="9697"/>
            </w:tblGrid>
            <w:tr w:rsidR="00B56225" w:rsidRPr="00545329" w14:paraId="18B8DB03" w14:textId="77777777">
              <w:trPr>
                <w:trHeight w:val="145"/>
              </w:trPr>
              <w:tc>
                <w:tcPr>
                  <w:tcW w:w="9697" w:type="dxa"/>
                </w:tcPr>
                <w:p w14:paraId="6E1E3A8B" w14:textId="77777777" w:rsidR="00B56225" w:rsidRPr="00545329" w:rsidRDefault="00B56225">
                  <w:pPr>
                    <w:pStyle w:val="Caseinfo"/>
                    <w:rPr>
                      <w:color w:val="000000" w:themeColor="text1"/>
                      <w:highlight w:val="yellow"/>
                    </w:rPr>
                  </w:pPr>
                </w:p>
              </w:tc>
            </w:tr>
          </w:tbl>
          <w:p w14:paraId="06B6C6F4" w14:textId="77777777" w:rsidR="00B56225" w:rsidRPr="00545329" w:rsidRDefault="00B56225">
            <w:pPr>
              <w:rPr>
                <w:color w:val="000000" w:themeColor="text1"/>
                <w:sz w:val="28"/>
                <w:szCs w:val="28"/>
                <w:lang w:val="es-MX"/>
              </w:rPr>
            </w:pPr>
          </w:p>
        </w:tc>
      </w:tr>
    </w:tbl>
    <w:p w14:paraId="268AB805" w14:textId="77777777" w:rsidR="00DC38DE" w:rsidRPr="0014499B" w:rsidRDefault="00DC38DE" w:rsidP="007F091F">
      <w:pPr>
        <w:spacing w:line="480" w:lineRule="auto"/>
        <w:jc w:val="both"/>
        <w:rPr>
          <w:rFonts w:ascii="Times New Roman" w:hAnsi="Times New Roman"/>
          <w:sz w:val="28"/>
          <w:szCs w:val="28"/>
        </w:rPr>
      </w:pPr>
    </w:p>
    <w:p w14:paraId="2086590F" w14:textId="6C73E034" w:rsidR="003D6070" w:rsidRDefault="003D6070" w:rsidP="003D6070">
      <w:pPr>
        <w:spacing w:line="480" w:lineRule="auto"/>
        <w:ind w:firstLine="720"/>
        <w:jc w:val="both"/>
        <w:rPr>
          <w:rFonts w:ascii="Times New Roman" w:hAnsi="Times New Roman"/>
          <w:sz w:val="28"/>
          <w:szCs w:val="28"/>
        </w:rPr>
      </w:pPr>
      <w:r w:rsidRPr="0014499B">
        <w:rPr>
          <w:rFonts w:ascii="Times New Roman" w:hAnsi="Times New Roman"/>
          <w:sz w:val="28"/>
          <w:szCs w:val="28"/>
        </w:rPr>
        <w:t xml:space="preserve">Pursuant to Rule 28 of the Arizona Rules of </w:t>
      </w:r>
      <w:r>
        <w:rPr>
          <w:rFonts w:ascii="Times New Roman" w:hAnsi="Times New Roman"/>
          <w:sz w:val="28"/>
          <w:szCs w:val="28"/>
        </w:rPr>
        <w:t xml:space="preserve">the </w:t>
      </w:r>
      <w:r w:rsidRPr="0014499B">
        <w:rPr>
          <w:rFonts w:ascii="Times New Roman" w:hAnsi="Times New Roman"/>
          <w:sz w:val="28"/>
          <w:szCs w:val="28"/>
        </w:rPr>
        <w:t xml:space="preserve">Supreme Court, Arizona Attorneys for Criminal Justice (“AACJ”) hereby submits the following </w:t>
      </w:r>
      <w:r>
        <w:rPr>
          <w:rFonts w:ascii="Times New Roman" w:hAnsi="Times New Roman"/>
          <w:sz w:val="28"/>
          <w:szCs w:val="28"/>
        </w:rPr>
        <w:t xml:space="preserve">comment on the </w:t>
      </w:r>
      <w:r w:rsidR="001B781A">
        <w:rPr>
          <w:rFonts w:ascii="Times New Roman" w:hAnsi="Times New Roman"/>
          <w:sz w:val="28"/>
          <w:szCs w:val="28"/>
        </w:rPr>
        <w:t>P</w:t>
      </w:r>
      <w:r w:rsidRPr="0014499B">
        <w:rPr>
          <w:rFonts w:ascii="Times New Roman" w:hAnsi="Times New Roman"/>
          <w:sz w:val="28"/>
          <w:szCs w:val="28"/>
        </w:rPr>
        <w:t>etition</w:t>
      </w:r>
      <w:r>
        <w:rPr>
          <w:rFonts w:ascii="Times New Roman" w:hAnsi="Times New Roman"/>
          <w:sz w:val="28"/>
          <w:szCs w:val="28"/>
        </w:rPr>
        <w:t xml:space="preserve"> to amend </w:t>
      </w:r>
      <w:r w:rsidR="009B73AD" w:rsidRPr="009B73AD">
        <w:rPr>
          <w:rFonts w:ascii="Times New Roman" w:hAnsi="Times New Roman"/>
          <w:sz w:val="28"/>
          <w:szCs w:val="28"/>
        </w:rPr>
        <w:t xml:space="preserve">Arizona Rule of Criminal Procedure </w:t>
      </w:r>
      <w:r w:rsidR="00F95AFB">
        <w:rPr>
          <w:rFonts w:ascii="Times New Roman" w:hAnsi="Times New Roman"/>
          <w:sz w:val="28"/>
          <w:szCs w:val="28"/>
        </w:rPr>
        <w:t>13.5</w:t>
      </w:r>
      <w:r>
        <w:rPr>
          <w:rFonts w:ascii="Times New Roman" w:hAnsi="Times New Roman"/>
          <w:sz w:val="28"/>
          <w:szCs w:val="28"/>
        </w:rPr>
        <w:t>.</w:t>
      </w:r>
    </w:p>
    <w:p w14:paraId="180EBEFD" w14:textId="02FA0790" w:rsidR="00AD3DC3" w:rsidRDefault="00AD3DC3" w:rsidP="00AD3DC3">
      <w:pPr>
        <w:spacing w:line="480" w:lineRule="auto"/>
        <w:ind w:firstLine="720"/>
        <w:jc w:val="both"/>
        <w:rPr>
          <w:rFonts w:ascii="Times New Roman" w:hAnsi="Times New Roman"/>
          <w:sz w:val="28"/>
          <w:szCs w:val="28"/>
        </w:rPr>
      </w:pPr>
      <w:r w:rsidRPr="00A629F8">
        <w:rPr>
          <w:rFonts w:ascii="Times New Roman" w:hAnsi="Times New Roman"/>
          <w:sz w:val="28"/>
          <w:szCs w:val="28"/>
        </w:rPr>
        <w:t xml:space="preserve">AACJ, the Arizona state affiliate of the National Association of Criminal Defense Lawyers, was founded in 1986 </w:t>
      </w:r>
      <w:r w:rsidR="0083773C" w:rsidRPr="00A629F8">
        <w:rPr>
          <w:rFonts w:ascii="Times New Roman" w:hAnsi="Times New Roman"/>
          <w:sz w:val="28"/>
          <w:szCs w:val="28"/>
        </w:rPr>
        <w:t>to</w:t>
      </w:r>
      <w:r w:rsidRPr="00A629F8">
        <w:rPr>
          <w:rFonts w:ascii="Times New Roman" w:hAnsi="Times New Roman"/>
          <w:sz w:val="28"/>
          <w:szCs w:val="28"/>
        </w:rPr>
        <w:t xml:space="preserve"> give a voice to the rights of the criminally accused and to those attorneys who defend the accused. AACJ is a statewide not-for-profit membership organization of criminal defense lawyers, law students, and associated professionals dedicated to protecting the rights of the accused in the courts and in the legislature, promoting excellence in the practice of criminal law </w:t>
      </w:r>
      <w:r w:rsidRPr="00A629F8">
        <w:rPr>
          <w:rFonts w:ascii="Times New Roman" w:hAnsi="Times New Roman"/>
          <w:sz w:val="28"/>
          <w:szCs w:val="28"/>
        </w:rPr>
        <w:lastRenderedPageBreak/>
        <w:t>through education, training and mutual assistance, and fostering public awareness of citizens’ rights, the criminal justice system, and the role of the defense lawyer.</w:t>
      </w:r>
    </w:p>
    <w:p w14:paraId="0E1BA1AB" w14:textId="4DDEF79C" w:rsidR="008C1CCA" w:rsidRDefault="00051BE4" w:rsidP="00D44EE3">
      <w:pPr>
        <w:spacing w:line="480" w:lineRule="auto"/>
        <w:ind w:firstLine="720"/>
        <w:jc w:val="both"/>
        <w:rPr>
          <w:rFonts w:ascii="Times New Roman" w:hAnsi="Times New Roman"/>
          <w:sz w:val="28"/>
          <w:szCs w:val="28"/>
        </w:rPr>
      </w:pPr>
      <w:r>
        <w:rPr>
          <w:rFonts w:ascii="Times New Roman" w:hAnsi="Times New Roman"/>
          <w:sz w:val="28"/>
          <w:szCs w:val="28"/>
        </w:rPr>
        <w:t xml:space="preserve">AACJ </w:t>
      </w:r>
      <w:r w:rsidR="00F95AFB">
        <w:rPr>
          <w:rFonts w:ascii="Times New Roman" w:hAnsi="Times New Roman"/>
          <w:sz w:val="28"/>
          <w:szCs w:val="28"/>
        </w:rPr>
        <w:t>opposes</w:t>
      </w:r>
      <w:r>
        <w:rPr>
          <w:rFonts w:ascii="Times New Roman" w:hAnsi="Times New Roman"/>
          <w:sz w:val="28"/>
          <w:szCs w:val="28"/>
        </w:rPr>
        <w:t xml:space="preserve"> </w:t>
      </w:r>
      <w:r w:rsidR="008C1CCA">
        <w:rPr>
          <w:rFonts w:ascii="Times New Roman" w:hAnsi="Times New Roman"/>
          <w:sz w:val="28"/>
          <w:szCs w:val="28"/>
        </w:rPr>
        <w:t>the petition filed by the Arizona Attorney General’s Office (</w:t>
      </w:r>
      <w:r w:rsidR="002B4D0D">
        <w:rPr>
          <w:rFonts w:ascii="Times New Roman" w:hAnsi="Times New Roman"/>
          <w:sz w:val="28"/>
          <w:szCs w:val="28"/>
        </w:rPr>
        <w:t>“</w:t>
      </w:r>
      <w:r w:rsidR="008C1CCA">
        <w:rPr>
          <w:rFonts w:ascii="Times New Roman" w:hAnsi="Times New Roman"/>
          <w:sz w:val="28"/>
          <w:szCs w:val="28"/>
        </w:rPr>
        <w:t>AGO</w:t>
      </w:r>
      <w:r w:rsidR="002B4D0D">
        <w:rPr>
          <w:rFonts w:ascii="Times New Roman" w:hAnsi="Times New Roman"/>
          <w:sz w:val="28"/>
          <w:szCs w:val="28"/>
        </w:rPr>
        <w:t>”</w:t>
      </w:r>
      <w:r w:rsidR="008C1CCA">
        <w:rPr>
          <w:rFonts w:ascii="Times New Roman" w:hAnsi="Times New Roman"/>
          <w:sz w:val="28"/>
          <w:szCs w:val="28"/>
        </w:rPr>
        <w:t>)</w:t>
      </w:r>
      <w:r>
        <w:rPr>
          <w:rFonts w:ascii="Times New Roman" w:hAnsi="Times New Roman"/>
          <w:sz w:val="28"/>
          <w:szCs w:val="28"/>
        </w:rPr>
        <w:t xml:space="preserve">. </w:t>
      </w:r>
      <w:r w:rsidR="0024249D">
        <w:rPr>
          <w:rFonts w:ascii="Times New Roman" w:hAnsi="Times New Roman"/>
          <w:sz w:val="28"/>
          <w:szCs w:val="28"/>
        </w:rPr>
        <w:t xml:space="preserve">The petition seeks to overrule </w:t>
      </w:r>
      <w:r w:rsidR="0024249D" w:rsidRPr="0024249D">
        <w:rPr>
          <w:rFonts w:ascii="Times New Roman" w:hAnsi="Times New Roman"/>
          <w:i/>
          <w:iCs/>
          <w:sz w:val="28"/>
          <w:szCs w:val="28"/>
        </w:rPr>
        <w:t>Navarro-Figueroa v. State</w:t>
      </w:r>
      <w:r w:rsidR="0024249D">
        <w:rPr>
          <w:rFonts w:ascii="Times New Roman" w:hAnsi="Times New Roman"/>
          <w:sz w:val="28"/>
          <w:szCs w:val="28"/>
        </w:rPr>
        <w:t>, 260 Ariz. 530 (App. 2025), but that case was correctly decided</w:t>
      </w:r>
      <w:r w:rsidR="00EA0748">
        <w:rPr>
          <w:rFonts w:ascii="Times New Roman" w:hAnsi="Times New Roman"/>
          <w:sz w:val="28"/>
          <w:szCs w:val="28"/>
        </w:rPr>
        <w:t xml:space="preserve">. Far from “creating an ambiguity that has produced inconsistent results,” Petition at 1, </w:t>
      </w:r>
      <w:r w:rsidR="00EA0748" w:rsidRPr="0024249D">
        <w:rPr>
          <w:rFonts w:ascii="Times New Roman" w:hAnsi="Times New Roman"/>
          <w:i/>
          <w:iCs/>
          <w:sz w:val="28"/>
          <w:szCs w:val="28"/>
        </w:rPr>
        <w:t xml:space="preserve">Navarro-Figueroa </w:t>
      </w:r>
      <w:r w:rsidR="0024249D">
        <w:rPr>
          <w:rFonts w:ascii="Times New Roman" w:hAnsi="Times New Roman"/>
          <w:sz w:val="28"/>
          <w:szCs w:val="28"/>
        </w:rPr>
        <w:t xml:space="preserve">faithfully applied the plain language of the rule and this Court’s precedent. </w:t>
      </w:r>
      <w:proofErr w:type="gramStart"/>
      <w:r w:rsidR="0024249D">
        <w:rPr>
          <w:rFonts w:ascii="Times New Roman" w:hAnsi="Times New Roman"/>
          <w:sz w:val="28"/>
          <w:szCs w:val="28"/>
        </w:rPr>
        <w:t>Petitioner wishes</w:t>
      </w:r>
      <w:proofErr w:type="gramEnd"/>
      <w:r w:rsidR="0024249D">
        <w:rPr>
          <w:rFonts w:ascii="Times New Roman" w:hAnsi="Times New Roman"/>
          <w:sz w:val="28"/>
          <w:szCs w:val="28"/>
        </w:rPr>
        <w:t xml:space="preserve"> to draw distinctions between capital and noncapital cases; while there is reason for such distinctions in some contexts, </w:t>
      </w:r>
      <w:r w:rsidR="00FD0252">
        <w:rPr>
          <w:rFonts w:ascii="Times New Roman" w:hAnsi="Times New Roman"/>
          <w:sz w:val="28"/>
          <w:szCs w:val="28"/>
        </w:rPr>
        <w:t xml:space="preserve">there is no reason to create one for probable-cause findings of sentencing allegations. </w:t>
      </w:r>
      <w:r w:rsidR="00FD0252" w:rsidRPr="002B4D0D">
        <w:rPr>
          <w:rFonts w:ascii="Times New Roman" w:hAnsi="Times New Roman"/>
          <w:sz w:val="28"/>
          <w:szCs w:val="28"/>
        </w:rPr>
        <w:t>This Court has previously dismissed</w:t>
      </w:r>
      <w:r w:rsidR="00FD0252">
        <w:rPr>
          <w:rFonts w:ascii="Times New Roman" w:hAnsi="Times New Roman"/>
          <w:sz w:val="28"/>
          <w:szCs w:val="28"/>
        </w:rPr>
        <w:t xml:space="preserve"> the “sky is falling” fears about mini-trials, and the rule is necessary to ensure that prosecutors do not bring allegations that are unsupported in fact or law.</w:t>
      </w:r>
    </w:p>
    <w:p w14:paraId="41E78422" w14:textId="0C0297E6" w:rsidR="008C1CCA" w:rsidRPr="008C1CCA" w:rsidRDefault="008C1CCA" w:rsidP="008C1CCA">
      <w:pPr>
        <w:pStyle w:val="ListParagraph"/>
        <w:numPr>
          <w:ilvl w:val="0"/>
          <w:numId w:val="28"/>
        </w:numPr>
        <w:spacing w:line="480" w:lineRule="auto"/>
        <w:ind w:left="720"/>
        <w:jc w:val="both"/>
        <w:rPr>
          <w:rFonts w:ascii="Times New Roman" w:hAnsi="Times New Roman"/>
          <w:b/>
          <w:bCs/>
          <w:sz w:val="28"/>
          <w:szCs w:val="28"/>
        </w:rPr>
      </w:pPr>
      <w:r w:rsidRPr="008C1CCA">
        <w:rPr>
          <w:rFonts w:ascii="Times New Roman" w:hAnsi="Times New Roman"/>
          <w:b/>
          <w:bCs/>
          <w:sz w:val="28"/>
          <w:szCs w:val="28"/>
        </w:rPr>
        <w:t xml:space="preserve">Petitioner misconstrues the 2002 rule </w:t>
      </w:r>
      <w:proofErr w:type="gramStart"/>
      <w:r w:rsidRPr="008C1CCA">
        <w:rPr>
          <w:rFonts w:ascii="Times New Roman" w:hAnsi="Times New Roman"/>
          <w:b/>
          <w:bCs/>
          <w:sz w:val="28"/>
          <w:szCs w:val="28"/>
        </w:rPr>
        <w:t>change</w:t>
      </w:r>
      <w:proofErr w:type="gramEnd"/>
      <w:r w:rsidRPr="008C1CCA">
        <w:rPr>
          <w:rFonts w:ascii="Times New Roman" w:hAnsi="Times New Roman"/>
          <w:b/>
          <w:bCs/>
          <w:sz w:val="28"/>
          <w:szCs w:val="28"/>
        </w:rPr>
        <w:t xml:space="preserve"> petition’s purpose.</w:t>
      </w:r>
    </w:p>
    <w:p w14:paraId="48B34B50" w14:textId="0CB90B39" w:rsidR="008C1CCA" w:rsidRDefault="008C1CCA" w:rsidP="008C1CCA">
      <w:pPr>
        <w:spacing w:line="480" w:lineRule="auto"/>
        <w:ind w:firstLine="720"/>
        <w:jc w:val="both"/>
        <w:rPr>
          <w:rFonts w:ascii="Times New Roman" w:hAnsi="Times New Roman"/>
          <w:sz w:val="28"/>
          <w:szCs w:val="28"/>
        </w:rPr>
      </w:pPr>
      <w:r>
        <w:rPr>
          <w:rFonts w:ascii="Times New Roman" w:hAnsi="Times New Roman"/>
          <w:sz w:val="28"/>
          <w:szCs w:val="28"/>
        </w:rPr>
        <w:t xml:space="preserve">On August 28, 2002, the Maricopa County Attorney’s Office, joined by AGO, filed a petition to modify several rules impacted by the U.S. Supreme Court’s decisions in </w:t>
      </w:r>
      <w:r w:rsidRPr="008C1CCA">
        <w:rPr>
          <w:rFonts w:ascii="Times New Roman" w:hAnsi="Times New Roman"/>
          <w:i/>
          <w:iCs/>
          <w:sz w:val="28"/>
          <w:szCs w:val="28"/>
        </w:rPr>
        <w:t>Apprendi v. New Jersey</w:t>
      </w:r>
      <w:r>
        <w:rPr>
          <w:rFonts w:ascii="Times New Roman" w:hAnsi="Times New Roman"/>
          <w:sz w:val="28"/>
          <w:szCs w:val="28"/>
        </w:rPr>
        <w:t xml:space="preserve">, 530 U.S. 466 (2000), and </w:t>
      </w:r>
      <w:r w:rsidRPr="008C1CCA">
        <w:rPr>
          <w:rFonts w:ascii="Times New Roman" w:hAnsi="Times New Roman"/>
          <w:i/>
          <w:iCs/>
          <w:sz w:val="28"/>
          <w:szCs w:val="28"/>
        </w:rPr>
        <w:t>Ring v. Arizona</w:t>
      </w:r>
      <w:r>
        <w:rPr>
          <w:rFonts w:ascii="Times New Roman" w:hAnsi="Times New Roman"/>
          <w:sz w:val="28"/>
          <w:szCs w:val="28"/>
        </w:rPr>
        <w:t>, 536 U.S. 584 (2002). Petition Attachment B.</w:t>
      </w:r>
      <w:r w:rsidR="00CA3194">
        <w:rPr>
          <w:rFonts w:ascii="Times New Roman" w:hAnsi="Times New Roman"/>
          <w:sz w:val="28"/>
          <w:szCs w:val="28"/>
        </w:rPr>
        <w:t xml:space="preserve"> Petitioner is correct that the proximate driving force of the 2002 filing was the more recent </w:t>
      </w:r>
      <w:r w:rsidR="00CA3194" w:rsidRPr="00CA3194">
        <w:rPr>
          <w:rFonts w:ascii="Times New Roman" w:hAnsi="Times New Roman"/>
          <w:i/>
          <w:iCs/>
          <w:sz w:val="28"/>
          <w:szCs w:val="28"/>
        </w:rPr>
        <w:t>Ring</w:t>
      </w:r>
      <w:r w:rsidR="00CA3194">
        <w:rPr>
          <w:rFonts w:ascii="Times New Roman" w:hAnsi="Times New Roman"/>
          <w:sz w:val="28"/>
          <w:szCs w:val="28"/>
        </w:rPr>
        <w:t xml:space="preserve"> decision, which directly affected capital cases. But </w:t>
      </w:r>
      <w:r w:rsidR="00CC311E">
        <w:rPr>
          <w:rFonts w:ascii="Times New Roman" w:hAnsi="Times New Roman"/>
          <w:sz w:val="28"/>
          <w:szCs w:val="28"/>
        </w:rPr>
        <w:t xml:space="preserve">although Petitioner repeatedly claims that the proposed changes to the capital and noncapital provisions in that petition served different </w:t>
      </w:r>
      <w:r w:rsidR="00CC311E">
        <w:rPr>
          <w:rFonts w:ascii="Times New Roman" w:hAnsi="Times New Roman"/>
          <w:sz w:val="28"/>
          <w:szCs w:val="28"/>
        </w:rPr>
        <w:lastRenderedPageBreak/>
        <w:t>purposes, the language of the 2002 petition does not support such a claim.</w:t>
      </w:r>
      <w:r w:rsidR="007143E1">
        <w:rPr>
          <w:rFonts w:ascii="Times New Roman" w:hAnsi="Times New Roman"/>
          <w:sz w:val="28"/>
          <w:szCs w:val="28"/>
        </w:rPr>
        <w:t xml:space="preserve"> Moreover, contrary to Petitioner’s argument, </w:t>
      </w:r>
      <w:r w:rsidR="007143E1" w:rsidRPr="007143E1">
        <w:rPr>
          <w:rFonts w:ascii="Times New Roman" w:hAnsi="Times New Roman"/>
          <w:i/>
          <w:iCs/>
          <w:sz w:val="28"/>
          <w:szCs w:val="28"/>
        </w:rPr>
        <w:t>Ring</w:t>
      </w:r>
      <w:r w:rsidR="007143E1">
        <w:rPr>
          <w:rFonts w:ascii="Times New Roman" w:hAnsi="Times New Roman"/>
          <w:sz w:val="28"/>
          <w:szCs w:val="28"/>
        </w:rPr>
        <w:t xml:space="preserve"> and </w:t>
      </w:r>
      <w:r w:rsidR="007143E1" w:rsidRPr="007143E1">
        <w:rPr>
          <w:rFonts w:ascii="Times New Roman" w:hAnsi="Times New Roman"/>
          <w:i/>
          <w:iCs/>
          <w:sz w:val="28"/>
          <w:szCs w:val="28"/>
        </w:rPr>
        <w:t>Apprendi</w:t>
      </w:r>
      <w:r w:rsidR="007143E1">
        <w:rPr>
          <w:rFonts w:ascii="Times New Roman" w:hAnsi="Times New Roman"/>
          <w:i/>
          <w:iCs/>
          <w:sz w:val="28"/>
          <w:szCs w:val="28"/>
        </w:rPr>
        <w:t xml:space="preserve"> </w:t>
      </w:r>
      <w:r w:rsidR="007143E1">
        <w:rPr>
          <w:rFonts w:ascii="Times New Roman" w:hAnsi="Times New Roman"/>
          <w:sz w:val="28"/>
          <w:szCs w:val="28"/>
        </w:rPr>
        <w:t>in fact support</w:t>
      </w:r>
      <w:r w:rsidR="00F55E72">
        <w:rPr>
          <w:rFonts w:ascii="Times New Roman" w:hAnsi="Times New Roman"/>
          <w:sz w:val="28"/>
          <w:szCs w:val="28"/>
        </w:rPr>
        <w:t xml:space="preserve"> treating</w:t>
      </w:r>
      <w:r w:rsidR="007143E1">
        <w:rPr>
          <w:rFonts w:ascii="Times New Roman" w:hAnsi="Times New Roman"/>
          <w:sz w:val="28"/>
          <w:szCs w:val="28"/>
        </w:rPr>
        <w:t xml:space="preserve"> </w:t>
      </w:r>
      <w:r w:rsidR="00F55E72">
        <w:rPr>
          <w:rFonts w:ascii="Times New Roman" w:hAnsi="Times New Roman"/>
          <w:sz w:val="28"/>
          <w:szCs w:val="28"/>
        </w:rPr>
        <w:t>capital and noncapital sentencing allegations the same</w:t>
      </w:r>
      <w:r w:rsidR="007143E1">
        <w:rPr>
          <w:rFonts w:ascii="Times New Roman" w:hAnsi="Times New Roman"/>
          <w:sz w:val="28"/>
          <w:szCs w:val="28"/>
        </w:rPr>
        <w:t xml:space="preserve">. </w:t>
      </w:r>
    </w:p>
    <w:p w14:paraId="7982B6B8" w14:textId="77777777" w:rsidR="00165F02" w:rsidRPr="00D76829" w:rsidRDefault="00165F02" w:rsidP="00165F02">
      <w:pPr>
        <w:pStyle w:val="ListParagraph"/>
        <w:numPr>
          <w:ilvl w:val="0"/>
          <w:numId w:val="29"/>
        </w:numPr>
        <w:spacing w:line="480" w:lineRule="auto"/>
        <w:jc w:val="both"/>
        <w:rPr>
          <w:rFonts w:ascii="Times New Roman" w:hAnsi="Times New Roman"/>
          <w:sz w:val="28"/>
          <w:szCs w:val="28"/>
        </w:rPr>
      </w:pPr>
      <w:r w:rsidRPr="00D76829">
        <w:rPr>
          <w:rFonts w:ascii="Times New Roman" w:hAnsi="Times New Roman"/>
          <w:i/>
          <w:iCs/>
          <w:sz w:val="28"/>
          <w:szCs w:val="28"/>
        </w:rPr>
        <w:t>Ring</w:t>
      </w:r>
      <w:r w:rsidRPr="00D76829">
        <w:rPr>
          <w:rFonts w:ascii="Times New Roman" w:hAnsi="Times New Roman"/>
          <w:sz w:val="28"/>
          <w:szCs w:val="28"/>
        </w:rPr>
        <w:t xml:space="preserve"> is dependent on </w:t>
      </w:r>
      <w:r w:rsidRPr="00D76829">
        <w:rPr>
          <w:rFonts w:ascii="Times New Roman" w:hAnsi="Times New Roman"/>
          <w:i/>
          <w:iCs/>
          <w:sz w:val="28"/>
          <w:szCs w:val="28"/>
        </w:rPr>
        <w:t>Apprendi</w:t>
      </w:r>
      <w:r w:rsidRPr="00D76829">
        <w:rPr>
          <w:rFonts w:ascii="Times New Roman" w:hAnsi="Times New Roman"/>
          <w:sz w:val="28"/>
          <w:szCs w:val="28"/>
        </w:rPr>
        <w:t>.</w:t>
      </w:r>
    </w:p>
    <w:p w14:paraId="5F1750B0" w14:textId="666B21A0" w:rsidR="00CC311E" w:rsidRDefault="00CF6827" w:rsidP="008C1CCA">
      <w:pPr>
        <w:spacing w:line="480" w:lineRule="auto"/>
        <w:ind w:firstLine="720"/>
        <w:jc w:val="both"/>
        <w:rPr>
          <w:rFonts w:ascii="Times New Roman" w:hAnsi="Times New Roman"/>
          <w:sz w:val="28"/>
          <w:szCs w:val="28"/>
        </w:rPr>
      </w:pPr>
      <w:r>
        <w:rPr>
          <w:rFonts w:ascii="Times New Roman" w:hAnsi="Times New Roman"/>
          <w:i/>
          <w:iCs/>
          <w:sz w:val="28"/>
          <w:szCs w:val="28"/>
        </w:rPr>
        <w:t xml:space="preserve">Apprendi </w:t>
      </w:r>
      <w:r>
        <w:rPr>
          <w:rFonts w:ascii="Times New Roman" w:hAnsi="Times New Roman"/>
          <w:sz w:val="28"/>
          <w:szCs w:val="28"/>
        </w:rPr>
        <w:t xml:space="preserve">stated a new rule: “Other than the fact of a prior conviction, </w:t>
      </w:r>
      <w:r w:rsidRPr="00D36C8A">
        <w:rPr>
          <w:rFonts w:ascii="Times New Roman" w:hAnsi="Times New Roman"/>
          <w:sz w:val="28"/>
          <w:szCs w:val="28"/>
        </w:rPr>
        <w:t xml:space="preserve">any fact that increases the penalty for a crime beyond the prescribed statutory maximum must be submitted to a </w:t>
      </w:r>
      <w:proofErr w:type="gramStart"/>
      <w:r w:rsidRPr="00D36C8A">
        <w:rPr>
          <w:rFonts w:ascii="Times New Roman" w:hAnsi="Times New Roman"/>
          <w:sz w:val="28"/>
          <w:szCs w:val="28"/>
        </w:rPr>
        <w:t>jury, and</w:t>
      </w:r>
      <w:proofErr w:type="gramEnd"/>
      <w:r w:rsidRPr="00D36C8A">
        <w:rPr>
          <w:rFonts w:ascii="Times New Roman" w:hAnsi="Times New Roman"/>
          <w:sz w:val="28"/>
          <w:szCs w:val="28"/>
        </w:rPr>
        <w:t xml:space="preserve"> proved beyond a reasonable doubt</w:t>
      </w:r>
      <w:r>
        <w:rPr>
          <w:rFonts w:ascii="Times New Roman" w:hAnsi="Times New Roman"/>
          <w:sz w:val="28"/>
          <w:szCs w:val="28"/>
        </w:rPr>
        <w:t xml:space="preserve">.” 530 U.S. at 490. </w:t>
      </w:r>
      <w:r w:rsidR="00CC311E">
        <w:rPr>
          <w:rFonts w:ascii="Times New Roman" w:hAnsi="Times New Roman"/>
          <w:sz w:val="28"/>
          <w:szCs w:val="28"/>
        </w:rPr>
        <w:t xml:space="preserve">Throughout the 1980s and 1990s, the U.S. Supreme Court held that sentencing was a judicial function and thus sentencing allegations need not be proven to a jury. </w:t>
      </w:r>
      <w:r w:rsidR="00165F02" w:rsidRPr="00165F02">
        <w:rPr>
          <w:rFonts w:ascii="Times New Roman" w:hAnsi="Times New Roman"/>
          <w:i/>
          <w:iCs/>
          <w:sz w:val="28"/>
          <w:szCs w:val="28"/>
        </w:rPr>
        <w:t>McMillan v. Pennsylvania</w:t>
      </w:r>
      <w:r w:rsidR="00165F02">
        <w:rPr>
          <w:rFonts w:ascii="Times New Roman" w:hAnsi="Times New Roman"/>
          <w:sz w:val="28"/>
          <w:szCs w:val="28"/>
        </w:rPr>
        <w:t xml:space="preserve">, 477 U.S. 79 (1986). </w:t>
      </w:r>
      <w:r w:rsidR="00087487">
        <w:rPr>
          <w:rFonts w:ascii="Times New Roman" w:hAnsi="Times New Roman"/>
          <w:sz w:val="28"/>
          <w:szCs w:val="28"/>
        </w:rPr>
        <w:t>Applying this general rule, i</w:t>
      </w:r>
      <w:r w:rsidR="00CC311E">
        <w:rPr>
          <w:rFonts w:ascii="Times New Roman" w:hAnsi="Times New Roman"/>
          <w:sz w:val="28"/>
          <w:szCs w:val="28"/>
        </w:rPr>
        <w:t xml:space="preserve">t </w:t>
      </w:r>
      <w:r w:rsidR="00087487">
        <w:rPr>
          <w:rFonts w:ascii="Times New Roman" w:hAnsi="Times New Roman"/>
          <w:sz w:val="28"/>
          <w:szCs w:val="28"/>
        </w:rPr>
        <w:t>up</w:t>
      </w:r>
      <w:r w:rsidR="00CC311E">
        <w:rPr>
          <w:rFonts w:ascii="Times New Roman" w:hAnsi="Times New Roman"/>
          <w:sz w:val="28"/>
          <w:szCs w:val="28"/>
        </w:rPr>
        <w:t xml:space="preserve">held </w:t>
      </w:r>
      <w:r w:rsidR="00165F02" w:rsidRPr="00685ADC">
        <w:rPr>
          <w:rFonts w:ascii="Times New Roman" w:hAnsi="Times New Roman"/>
          <w:sz w:val="28"/>
          <w:szCs w:val="28"/>
        </w:rPr>
        <w:t xml:space="preserve">Arizona’s scheme </w:t>
      </w:r>
      <w:r w:rsidR="00087487">
        <w:rPr>
          <w:rFonts w:ascii="Times New Roman" w:hAnsi="Times New Roman"/>
          <w:sz w:val="28"/>
          <w:szCs w:val="28"/>
        </w:rPr>
        <w:t>where</w:t>
      </w:r>
      <w:r w:rsidR="00165F02" w:rsidRPr="00685ADC">
        <w:rPr>
          <w:rFonts w:ascii="Times New Roman" w:hAnsi="Times New Roman"/>
          <w:sz w:val="28"/>
          <w:szCs w:val="28"/>
        </w:rPr>
        <w:t xml:space="preserve"> judges </w:t>
      </w:r>
      <w:r w:rsidR="00087487">
        <w:rPr>
          <w:rFonts w:ascii="Times New Roman" w:hAnsi="Times New Roman"/>
          <w:sz w:val="28"/>
          <w:szCs w:val="28"/>
        </w:rPr>
        <w:t xml:space="preserve">would </w:t>
      </w:r>
      <w:r w:rsidR="00165F02" w:rsidRPr="00685ADC">
        <w:rPr>
          <w:rFonts w:ascii="Times New Roman" w:hAnsi="Times New Roman"/>
          <w:sz w:val="28"/>
          <w:szCs w:val="28"/>
        </w:rPr>
        <w:t>find one or more enumerated</w:t>
      </w:r>
      <w:r w:rsidR="00CC311E" w:rsidRPr="00685ADC">
        <w:rPr>
          <w:rFonts w:ascii="Times New Roman" w:hAnsi="Times New Roman"/>
          <w:sz w:val="28"/>
          <w:szCs w:val="28"/>
        </w:rPr>
        <w:t xml:space="preserve"> capital aggravating </w:t>
      </w:r>
      <w:r w:rsidR="00087487">
        <w:rPr>
          <w:rFonts w:ascii="Times New Roman" w:hAnsi="Times New Roman"/>
          <w:sz w:val="28"/>
          <w:szCs w:val="28"/>
        </w:rPr>
        <w:t>circumstances</w:t>
      </w:r>
      <w:r w:rsidR="00CC311E">
        <w:rPr>
          <w:rFonts w:ascii="Times New Roman" w:hAnsi="Times New Roman"/>
          <w:sz w:val="28"/>
          <w:szCs w:val="28"/>
        </w:rPr>
        <w:t xml:space="preserve">. </w:t>
      </w:r>
      <w:r w:rsidR="00CC311E" w:rsidRPr="00CC311E">
        <w:rPr>
          <w:rFonts w:ascii="Times New Roman" w:hAnsi="Times New Roman"/>
          <w:i/>
          <w:iCs/>
          <w:sz w:val="28"/>
          <w:szCs w:val="28"/>
        </w:rPr>
        <w:t>Walton v. Arizona</w:t>
      </w:r>
      <w:r w:rsidR="00CC311E">
        <w:rPr>
          <w:rFonts w:ascii="Times New Roman" w:hAnsi="Times New Roman"/>
          <w:sz w:val="28"/>
          <w:szCs w:val="28"/>
        </w:rPr>
        <w:t>, 497 U.S. 639 (1990).</w:t>
      </w:r>
      <w:r w:rsidR="00D36C8A">
        <w:rPr>
          <w:rFonts w:ascii="Times New Roman" w:hAnsi="Times New Roman"/>
          <w:sz w:val="28"/>
          <w:szCs w:val="28"/>
        </w:rPr>
        <w:t xml:space="preserve"> </w:t>
      </w:r>
      <w:r w:rsidR="00CC311E">
        <w:rPr>
          <w:rFonts w:ascii="Times New Roman" w:hAnsi="Times New Roman"/>
          <w:sz w:val="28"/>
          <w:szCs w:val="28"/>
        </w:rPr>
        <w:t xml:space="preserve">The breaking point occurred with </w:t>
      </w:r>
      <w:r w:rsidR="00CC311E" w:rsidRPr="00CC311E">
        <w:rPr>
          <w:rFonts w:ascii="Times New Roman" w:hAnsi="Times New Roman"/>
          <w:i/>
          <w:iCs/>
          <w:sz w:val="28"/>
          <w:szCs w:val="28"/>
        </w:rPr>
        <w:t>Almendarez-Torres v. United States</w:t>
      </w:r>
      <w:r w:rsidR="00CC311E">
        <w:rPr>
          <w:rFonts w:ascii="Times New Roman" w:hAnsi="Times New Roman"/>
          <w:sz w:val="28"/>
          <w:szCs w:val="28"/>
        </w:rPr>
        <w:t xml:space="preserve">, </w:t>
      </w:r>
      <w:r w:rsidR="00D36C8A">
        <w:rPr>
          <w:rFonts w:ascii="Times New Roman" w:hAnsi="Times New Roman"/>
          <w:sz w:val="28"/>
          <w:szCs w:val="28"/>
        </w:rPr>
        <w:t xml:space="preserve">523 U.S. 224 </w:t>
      </w:r>
      <w:r w:rsidR="00CC311E">
        <w:rPr>
          <w:rFonts w:ascii="Times New Roman" w:hAnsi="Times New Roman"/>
          <w:sz w:val="28"/>
          <w:szCs w:val="28"/>
        </w:rPr>
        <w:t xml:space="preserve">(1998), </w:t>
      </w:r>
      <w:r w:rsidR="00D36C8A">
        <w:rPr>
          <w:rFonts w:ascii="Times New Roman" w:hAnsi="Times New Roman"/>
          <w:sz w:val="28"/>
          <w:szCs w:val="28"/>
        </w:rPr>
        <w:t>which essentially allowed any sentencing issue to be found by a judge</w:t>
      </w:r>
      <w:r w:rsidR="00CC311E">
        <w:rPr>
          <w:rFonts w:ascii="Times New Roman" w:hAnsi="Times New Roman"/>
          <w:sz w:val="28"/>
          <w:szCs w:val="28"/>
        </w:rPr>
        <w:t>.</w:t>
      </w:r>
      <w:r w:rsidR="00D36C8A">
        <w:rPr>
          <w:rFonts w:ascii="Times New Roman" w:hAnsi="Times New Roman"/>
          <w:sz w:val="28"/>
          <w:szCs w:val="28"/>
        </w:rPr>
        <w:t xml:space="preserve"> </w:t>
      </w:r>
      <w:r w:rsidR="00CC311E">
        <w:rPr>
          <w:rFonts w:ascii="Times New Roman" w:hAnsi="Times New Roman"/>
          <w:sz w:val="28"/>
          <w:szCs w:val="28"/>
        </w:rPr>
        <w:t xml:space="preserve">Only one year later, in </w:t>
      </w:r>
      <w:r w:rsidR="00CC311E" w:rsidRPr="00CC311E">
        <w:rPr>
          <w:rFonts w:ascii="Times New Roman" w:hAnsi="Times New Roman"/>
          <w:i/>
          <w:iCs/>
          <w:sz w:val="28"/>
          <w:szCs w:val="28"/>
        </w:rPr>
        <w:t>Jones v. United States</w:t>
      </w:r>
      <w:r w:rsidR="00CC311E">
        <w:rPr>
          <w:rFonts w:ascii="Times New Roman" w:hAnsi="Times New Roman"/>
          <w:sz w:val="28"/>
          <w:szCs w:val="28"/>
        </w:rPr>
        <w:t xml:space="preserve">, </w:t>
      </w:r>
      <w:r w:rsidR="0010698F">
        <w:rPr>
          <w:rFonts w:ascii="Times New Roman" w:hAnsi="Times New Roman"/>
          <w:sz w:val="28"/>
          <w:szCs w:val="28"/>
        </w:rPr>
        <w:t>526 U.S. 227</w:t>
      </w:r>
      <w:r w:rsidR="00087487">
        <w:rPr>
          <w:rFonts w:ascii="Times New Roman" w:hAnsi="Times New Roman"/>
          <w:sz w:val="28"/>
          <w:szCs w:val="28"/>
        </w:rPr>
        <w:t>, 236-39</w:t>
      </w:r>
      <w:r w:rsidR="0010698F">
        <w:rPr>
          <w:rFonts w:ascii="Times New Roman" w:hAnsi="Times New Roman"/>
          <w:sz w:val="28"/>
          <w:szCs w:val="28"/>
        </w:rPr>
        <w:t xml:space="preserve"> </w:t>
      </w:r>
      <w:r w:rsidR="00CC311E">
        <w:rPr>
          <w:rFonts w:ascii="Times New Roman" w:hAnsi="Times New Roman"/>
          <w:sz w:val="28"/>
          <w:szCs w:val="28"/>
        </w:rPr>
        <w:t xml:space="preserve">(1999), the Court </w:t>
      </w:r>
      <w:r w:rsidR="00D36C8A">
        <w:rPr>
          <w:rFonts w:ascii="Times New Roman" w:hAnsi="Times New Roman"/>
          <w:sz w:val="28"/>
          <w:szCs w:val="28"/>
        </w:rPr>
        <w:t>retreated from this broad proposition in the context of the federal carjacking statute</w:t>
      </w:r>
      <w:r w:rsidR="00087487">
        <w:rPr>
          <w:rFonts w:ascii="Times New Roman" w:hAnsi="Times New Roman"/>
          <w:sz w:val="28"/>
          <w:szCs w:val="28"/>
        </w:rPr>
        <w:t xml:space="preserve">, which </w:t>
      </w:r>
      <w:r w:rsidR="00D36C8A" w:rsidRPr="007F51E5">
        <w:rPr>
          <w:rFonts w:ascii="Times New Roman" w:hAnsi="Times New Roman"/>
          <w:sz w:val="28"/>
          <w:szCs w:val="28"/>
        </w:rPr>
        <w:t>did not clearly delineate the line between a sentence enhancement and an element of a distinct offense</w:t>
      </w:r>
      <w:r w:rsidR="00D36C8A">
        <w:rPr>
          <w:rFonts w:ascii="Times New Roman" w:hAnsi="Times New Roman"/>
          <w:sz w:val="28"/>
          <w:szCs w:val="28"/>
        </w:rPr>
        <w:t xml:space="preserve">. </w:t>
      </w:r>
      <w:r>
        <w:rPr>
          <w:rFonts w:ascii="Times New Roman" w:hAnsi="Times New Roman"/>
          <w:sz w:val="28"/>
          <w:szCs w:val="28"/>
        </w:rPr>
        <w:t xml:space="preserve">On the heels of </w:t>
      </w:r>
      <w:r w:rsidRPr="00CC311E">
        <w:rPr>
          <w:rFonts w:ascii="Times New Roman" w:hAnsi="Times New Roman"/>
          <w:i/>
          <w:iCs/>
          <w:sz w:val="28"/>
          <w:szCs w:val="28"/>
        </w:rPr>
        <w:t>Jones</w:t>
      </w:r>
      <w:r>
        <w:rPr>
          <w:rFonts w:ascii="Times New Roman" w:hAnsi="Times New Roman"/>
          <w:sz w:val="28"/>
          <w:szCs w:val="28"/>
        </w:rPr>
        <w:t xml:space="preserve"> came </w:t>
      </w:r>
      <w:r w:rsidRPr="00CC311E">
        <w:rPr>
          <w:rFonts w:ascii="Times New Roman" w:hAnsi="Times New Roman"/>
          <w:i/>
          <w:iCs/>
          <w:sz w:val="28"/>
          <w:szCs w:val="28"/>
        </w:rPr>
        <w:t>Apprendi</w:t>
      </w:r>
      <w:r>
        <w:rPr>
          <w:rFonts w:ascii="Times New Roman" w:hAnsi="Times New Roman"/>
          <w:i/>
          <w:iCs/>
          <w:sz w:val="28"/>
          <w:szCs w:val="28"/>
        </w:rPr>
        <w:t>.</w:t>
      </w:r>
    </w:p>
    <w:p w14:paraId="39B71F15" w14:textId="6FF94612" w:rsidR="00CC311E" w:rsidRDefault="004509B6" w:rsidP="008C1CCA">
      <w:pPr>
        <w:spacing w:line="480" w:lineRule="auto"/>
        <w:ind w:firstLine="720"/>
        <w:jc w:val="both"/>
        <w:rPr>
          <w:rFonts w:ascii="Times New Roman" w:hAnsi="Times New Roman"/>
          <w:sz w:val="28"/>
          <w:szCs w:val="28"/>
        </w:rPr>
      </w:pPr>
      <w:r>
        <w:rPr>
          <w:rFonts w:ascii="Times New Roman" w:hAnsi="Times New Roman"/>
          <w:sz w:val="28"/>
          <w:szCs w:val="28"/>
        </w:rPr>
        <w:t xml:space="preserve">In </w:t>
      </w:r>
      <w:r w:rsidRPr="00D36C8A">
        <w:rPr>
          <w:rFonts w:ascii="Times New Roman" w:hAnsi="Times New Roman"/>
          <w:i/>
          <w:iCs/>
          <w:sz w:val="28"/>
          <w:szCs w:val="28"/>
        </w:rPr>
        <w:t>Ring</w:t>
      </w:r>
      <w:r>
        <w:rPr>
          <w:rFonts w:ascii="Times New Roman" w:hAnsi="Times New Roman"/>
          <w:sz w:val="28"/>
          <w:szCs w:val="28"/>
        </w:rPr>
        <w:t xml:space="preserve">, the Court recognized </w:t>
      </w:r>
      <w:r w:rsidRPr="004509B6">
        <w:rPr>
          <w:rFonts w:ascii="Times New Roman" w:hAnsi="Times New Roman"/>
          <w:i/>
          <w:iCs/>
          <w:sz w:val="28"/>
          <w:szCs w:val="28"/>
        </w:rPr>
        <w:t>Walton</w:t>
      </w:r>
      <w:r>
        <w:rPr>
          <w:rFonts w:ascii="Times New Roman" w:hAnsi="Times New Roman"/>
          <w:sz w:val="28"/>
          <w:szCs w:val="28"/>
        </w:rPr>
        <w:t xml:space="preserve"> and </w:t>
      </w:r>
      <w:r w:rsidRPr="004509B6">
        <w:rPr>
          <w:rFonts w:ascii="Times New Roman" w:hAnsi="Times New Roman"/>
          <w:i/>
          <w:iCs/>
          <w:sz w:val="28"/>
          <w:szCs w:val="28"/>
        </w:rPr>
        <w:t>Apprendi</w:t>
      </w:r>
      <w:r>
        <w:rPr>
          <w:rFonts w:ascii="Times New Roman" w:hAnsi="Times New Roman"/>
          <w:sz w:val="28"/>
          <w:szCs w:val="28"/>
        </w:rPr>
        <w:t xml:space="preserve"> were irreconcilable, and b</w:t>
      </w:r>
      <w:r w:rsidRPr="004509B6">
        <w:rPr>
          <w:rFonts w:ascii="Times New Roman" w:hAnsi="Times New Roman"/>
          <w:sz w:val="28"/>
          <w:szCs w:val="28"/>
        </w:rPr>
        <w:t>ecause Arizona</w:t>
      </w:r>
      <w:r>
        <w:rPr>
          <w:rFonts w:ascii="Times New Roman" w:hAnsi="Times New Roman"/>
          <w:sz w:val="28"/>
          <w:szCs w:val="28"/>
        </w:rPr>
        <w:t>’</w:t>
      </w:r>
      <w:r w:rsidRPr="004509B6">
        <w:rPr>
          <w:rFonts w:ascii="Times New Roman" w:hAnsi="Times New Roman"/>
          <w:sz w:val="28"/>
          <w:szCs w:val="28"/>
        </w:rPr>
        <w:t>s enumerated aggravating factors operate</w:t>
      </w:r>
      <w:r>
        <w:rPr>
          <w:rFonts w:ascii="Times New Roman" w:hAnsi="Times New Roman"/>
          <w:sz w:val="28"/>
          <w:szCs w:val="28"/>
        </w:rPr>
        <w:t>d</w:t>
      </w:r>
      <w:r w:rsidRPr="004509B6">
        <w:rPr>
          <w:rFonts w:ascii="Times New Roman" w:hAnsi="Times New Roman"/>
          <w:sz w:val="28"/>
          <w:szCs w:val="28"/>
        </w:rPr>
        <w:t xml:space="preserve"> as “the functional </w:t>
      </w:r>
      <w:r w:rsidRPr="004509B6">
        <w:rPr>
          <w:rFonts w:ascii="Times New Roman" w:hAnsi="Times New Roman"/>
          <w:sz w:val="28"/>
          <w:szCs w:val="28"/>
        </w:rPr>
        <w:lastRenderedPageBreak/>
        <w:t>equivalent of an element of a greater offense,” the Sixth Amendment requires that they be found by a jury.</w:t>
      </w:r>
      <w:r>
        <w:rPr>
          <w:rFonts w:ascii="Times New Roman" w:hAnsi="Times New Roman"/>
          <w:sz w:val="28"/>
          <w:szCs w:val="28"/>
        </w:rPr>
        <w:t xml:space="preserve"> </w:t>
      </w:r>
      <w:r w:rsidRPr="00D36C8A">
        <w:rPr>
          <w:rFonts w:ascii="Times New Roman" w:hAnsi="Times New Roman"/>
          <w:i/>
          <w:iCs/>
          <w:sz w:val="28"/>
          <w:szCs w:val="28"/>
        </w:rPr>
        <w:t>Ring</w:t>
      </w:r>
      <w:r>
        <w:rPr>
          <w:rFonts w:ascii="Times New Roman" w:hAnsi="Times New Roman"/>
          <w:sz w:val="28"/>
          <w:szCs w:val="28"/>
        </w:rPr>
        <w:t xml:space="preserve">, 536 U.S. at </w:t>
      </w:r>
      <w:r w:rsidR="00F11E09">
        <w:rPr>
          <w:rFonts w:ascii="Times New Roman" w:hAnsi="Times New Roman"/>
          <w:sz w:val="28"/>
          <w:szCs w:val="28"/>
        </w:rPr>
        <w:t>604-05</w:t>
      </w:r>
      <w:r>
        <w:rPr>
          <w:rFonts w:ascii="Times New Roman" w:hAnsi="Times New Roman"/>
          <w:sz w:val="28"/>
          <w:szCs w:val="28"/>
        </w:rPr>
        <w:t xml:space="preserve"> (quoting </w:t>
      </w:r>
      <w:r w:rsidRPr="00D36C8A">
        <w:rPr>
          <w:rFonts w:ascii="Times New Roman" w:hAnsi="Times New Roman"/>
          <w:i/>
          <w:iCs/>
          <w:sz w:val="28"/>
          <w:szCs w:val="28"/>
        </w:rPr>
        <w:t>Apprendi</w:t>
      </w:r>
      <w:r w:rsidRPr="004509B6">
        <w:rPr>
          <w:rFonts w:ascii="Times New Roman" w:hAnsi="Times New Roman"/>
          <w:sz w:val="28"/>
          <w:szCs w:val="28"/>
        </w:rPr>
        <w:t>, 530 U.S. at 494 n.19</w:t>
      </w:r>
      <w:r>
        <w:rPr>
          <w:rFonts w:ascii="Times New Roman" w:hAnsi="Times New Roman"/>
          <w:sz w:val="28"/>
          <w:szCs w:val="28"/>
        </w:rPr>
        <w:t>).</w:t>
      </w:r>
      <w:r>
        <w:rPr>
          <w:rStyle w:val="FootnoteReference"/>
          <w:rFonts w:ascii="Times New Roman" w:hAnsi="Times New Roman"/>
          <w:sz w:val="28"/>
          <w:szCs w:val="28"/>
        </w:rPr>
        <w:footnoteReference w:id="1"/>
      </w:r>
      <w:r w:rsidR="006C6B65">
        <w:rPr>
          <w:rFonts w:ascii="Times New Roman" w:hAnsi="Times New Roman"/>
          <w:sz w:val="28"/>
          <w:szCs w:val="28"/>
        </w:rPr>
        <w:t xml:space="preserve"> </w:t>
      </w:r>
      <w:r w:rsidR="006C6B65" w:rsidRPr="006C6B65">
        <w:rPr>
          <w:rFonts w:ascii="Times New Roman" w:hAnsi="Times New Roman"/>
          <w:i/>
          <w:iCs/>
          <w:sz w:val="28"/>
          <w:szCs w:val="28"/>
        </w:rPr>
        <w:t>Ring</w:t>
      </w:r>
      <w:r w:rsidR="006C6B65">
        <w:rPr>
          <w:rFonts w:ascii="Times New Roman" w:hAnsi="Times New Roman"/>
          <w:sz w:val="28"/>
          <w:szCs w:val="28"/>
        </w:rPr>
        <w:t xml:space="preserve"> was a straightforward application of </w:t>
      </w:r>
      <w:r w:rsidR="006C6B65" w:rsidRPr="006C6B65">
        <w:rPr>
          <w:rFonts w:ascii="Times New Roman" w:hAnsi="Times New Roman"/>
          <w:i/>
          <w:iCs/>
          <w:sz w:val="28"/>
          <w:szCs w:val="28"/>
        </w:rPr>
        <w:t>Apprendi</w:t>
      </w:r>
      <w:r w:rsidR="006C6B65">
        <w:rPr>
          <w:rFonts w:ascii="Times New Roman" w:hAnsi="Times New Roman"/>
          <w:sz w:val="28"/>
          <w:szCs w:val="28"/>
        </w:rPr>
        <w:t>.</w:t>
      </w:r>
    </w:p>
    <w:p w14:paraId="11D84802" w14:textId="67C05117" w:rsidR="003F51D3" w:rsidRDefault="00CC311E" w:rsidP="008C1CCA">
      <w:pPr>
        <w:spacing w:line="480" w:lineRule="auto"/>
        <w:ind w:firstLine="720"/>
        <w:jc w:val="both"/>
        <w:rPr>
          <w:rFonts w:ascii="Times New Roman" w:hAnsi="Times New Roman"/>
          <w:sz w:val="28"/>
          <w:szCs w:val="28"/>
        </w:rPr>
      </w:pPr>
      <w:r>
        <w:rPr>
          <w:rFonts w:ascii="Times New Roman" w:hAnsi="Times New Roman"/>
          <w:sz w:val="28"/>
          <w:szCs w:val="28"/>
        </w:rPr>
        <w:t xml:space="preserve">Even after </w:t>
      </w:r>
      <w:r w:rsidRPr="003F51D3">
        <w:rPr>
          <w:rFonts w:ascii="Times New Roman" w:hAnsi="Times New Roman"/>
          <w:i/>
          <w:iCs/>
          <w:sz w:val="28"/>
          <w:szCs w:val="28"/>
        </w:rPr>
        <w:t>Ring</w:t>
      </w:r>
      <w:r>
        <w:rPr>
          <w:rFonts w:ascii="Times New Roman" w:hAnsi="Times New Roman"/>
          <w:sz w:val="28"/>
          <w:szCs w:val="28"/>
        </w:rPr>
        <w:t xml:space="preserve"> and </w:t>
      </w:r>
      <w:r w:rsidRPr="007F51E5">
        <w:rPr>
          <w:rFonts w:ascii="Times New Roman" w:hAnsi="Times New Roman"/>
          <w:sz w:val="28"/>
          <w:szCs w:val="28"/>
        </w:rPr>
        <w:t>this Court’s adoption of the 2002 rule change petition,</w:t>
      </w:r>
      <w:r>
        <w:rPr>
          <w:rFonts w:ascii="Times New Roman" w:hAnsi="Times New Roman"/>
          <w:sz w:val="28"/>
          <w:szCs w:val="28"/>
        </w:rPr>
        <w:t xml:space="preserve"> that was not </w:t>
      </w:r>
      <w:r w:rsidR="003F51D3">
        <w:rPr>
          <w:rFonts w:ascii="Times New Roman" w:hAnsi="Times New Roman"/>
          <w:sz w:val="28"/>
          <w:szCs w:val="28"/>
        </w:rPr>
        <w:t>“</w:t>
      </w:r>
      <w:r>
        <w:rPr>
          <w:rFonts w:ascii="Times New Roman" w:hAnsi="Times New Roman"/>
          <w:sz w:val="28"/>
          <w:szCs w:val="28"/>
        </w:rPr>
        <w:t>the end of the matter.</w:t>
      </w:r>
      <w:r w:rsidR="003F51D3">
        <w:rPr>
          <w:rFonts w:ascii="Times New Roman" w:hAnsi="Times New Roman"/>
          <w:sz w:val="28"/>
          <w:szCs w:val="28"/>
        </w:rPr>
        <w:t>”</w:t>
      </w:r>
      <w:r>
        <w:rPr>
          <w:rFonts w:ascii="Times New Roman" w:hAnsi="Times New Roman"/>
          <w:sz w:val="28"/>
          <w:szCs w:val="28"/>
        </w:rPr>
        <w:t xml:space="preserve"> </w:t>
      </w:r>
      <w:r w:rsidRPr="003F51D3">
        <w:rPr>
          <w:rFonts w:ascii="Times New Roman" w:hAnsi="Times New Roman"/>
          <w:i/>
          <w:iCs/>
          <w:sz w:val="28"/>
          <w:szCs w:val="28"/>
        </w:rPr>
        <w:t>Blakely v. Washington</w:t>
      </w:r>
      <w:r>
        <w:rPr>
          <w:rFonts w:ascii="Times New Roman" w:hAnsi="Times New Roman"/>
          <w:sz w:val="28"/>
          <w:szCs w:val="28"/>
        </w:rPr>
        <w:t>, 542 U.S. 296</w:t>
      </w:r>
      <w:r w:rsidR="003F51D3">
        <w:rPr>
          <w:rFonts w:ascii="Times New Roman" w:hAnsi="Times New Roman"/>
          <w:sz w:val="28"/>
          <w:szCs w:val="28"/>
        </w:rPr>
        <w:t>, 313</w:t>
      </w:r>
      <w:r>
        <w:rPr>
          <w:rFonts w:ascii="Times New Roman" w:hAnsi="Times New Roman"/>
          <w:sz w:val="28"/>
          <w:szCs w:val="28"/>
        </w:rPr>
        <w:t xml:space="preserve"> (2004)</w:t>
      </w:r>
      <w:r w:rsidR="003F51D3">
        <w:rPr>
          <w:rFonts w:ascii="Times New Roman" w:hAnsi="Times New Roman"/>
          <w:sz w:val="28"/>
          <w:szCs w:val="28"/>
        </w:rPr>
        <w:t xml:space="preserve">. Arizona required jury trials for sentence enhancements that </w:t>
      </w:r>
      <w:r w:rsidR="004509B6">
        <w:rPr>
          <w:rFonts w:ascii="Times New Roman" w:hAnsi="Times New Roman"/>
          <w:sz w:val="28"/>
          <w:szCs w:val="28"/>
        </w:rPr>
        <w:t>increased</w:t>
      </w:r>
      <w:r w:rsidR="003F51D3">
        <w:rPr>
          <w:rFonts w:ascii="Times New Roman" w:hAnsi="Times New Roman"/>
          <w:sz w:val="28"/>
          <w:szCs w:val="28"/>
        </w:rPr>
        <w:t xml:space="preserve"> the range of punishment, </w:t>
      </w:r>
      <w:r w:rsidR="003F51D3" w:rsidRPr="003F51D3">
        <w:rPr>
          <w:rFonts w:ascii="Times New Roman" w:hAnsi="Times New Roman"/>
          <w:i/>
          <w:iCs/>
          <w:sz w:val="28"/>
          <w:szCs w:val="28"/>
        </w:rPr>
        <w:t>State v. Gross</w:t>
      </w:r>
      <w:r w:rsidR="003F51D3">
        <w:rPr>
          <w:rFonts w:ascii="Times New Roman" w:hAnsi="Times New Roman"/>
          <w:sz w:val="28"/>
          <w:szCs w:val="28"/>
        </w:rPr>
        <w:t xml:space="preserve">, </w:t>
      </w:r>
      <w:r w:rsidR="004509B6">
        <w:rPr>
          <w:rFonts w:ascii="Times New Roman" w:hAnsi="Times New Roman"/>
          <w:sz w:val="28"/>
          <w:szCs w:val="28"/>
        </w:rPr>
        <w:t xml:space="preserve">201 Ariz. 41 </w:t>
      </w:r>
      <w:r w:rsidR="003F51D3">
        <w:rPr>
          <w:rFonts w:ascii="Times New Roman" w:hAnsi="Times New Roman"/>
          <w:sz w:val="28"/>
          <w:szCs w:val="28"/>
        </w:rPr>
        <w:t xml:space="preserve">(App. 2001), but </w:t>
      </w:r>
      <w:r w:rsidR="007F51E5">
        <w:rPr>
          <w:rFonts w:ascii="Times New Roman" w:hAnsi="Times New Roman"/>
          <w:sz w:val="28"/>
          <w:szCs w:val="28"/>
        </w:rPr>
        <w:t xml:space="preserve">until 2004, </w:t>
      </w:r>
      <w:r w:rsidR="003F51D3">
        <w:rPr>
          <w:rFonts w:ascii="Times New Roman" w:hAnsi="Times New Roman"/>
          <w:sz w:val="28"/>
          <w:szCs w:val="28"/>
        </w:rPr>
        <w:t xml:space="preserve">it continued to allow judges to find aggravating factors to determine whether to impose an aggravated sentence within the range. </w:t>
      </w:r>
      <w:r w:rsidR="003F51D3" w:rsidRPr="003F51D3">
        <w:rPr>
          <w:rFonts w:ascii="Times New Roman" w:hAnsi="Times New Roman"/>
          <w:i/>
          <w:iCs/>
          <w:sz w:val="28"/>
          <w:szCs w:val="28"/>
        </w:rPr>
        <w:t>Blakely</w:t>
      </w:r>
      <w:r w:rsidR="003F51D3">
        <w:rPr>
          <w:rFonts w:ascii="Times New Roman" w:hAnsi="Times New Roman"/>
          <w:sz w:val="28"/>
          <w:szCs w:val="28"/>
        </w:rPr>
        <w:t xml:space="preserve"> definitively resolved </w:t>
      </w:r>
      <w:r w:rsidR="003F51D3" w:rsidRPr="009D1942">
        <w:rPr>
          <w:rFonts w:ascii="Times New Roman" w:hAnsi="Times New Roman"/>
          <w:sz w:val="28"/>
          <w:szCs w:val="28"/>
        </w:rPr>
        <w:t>that question</w:t>
      </w:r>
      <w:r w:rsidR="006C6B65">
        <w:rPr>
          <w:rFonts w:ascii="Times New Roman" w:hAnsi="Times New Roman"/>
          <w:sz w:val="28"/>
          <w:szCs w:val="28"/>
        </w:rPr>
        <w:t xml:space="preserve"> and held that aggravating factors are included in the category of facts that must be proven to a jury beyond a reasonable doubt</w:t>
      </w:r>
      <w:r w:rsidR="003F51D3" w:rsidRPr="009D1942">
        <w:rPr>
          <w:rFonts w:ascii="Times New Roman" w:hAnsi="Times New Roman"/>
          <w:sz w:val="28"/>
          <w:szCs w:val="28"/>
        </w:rPr>
        <w:t>.</w:t>
      </w:r>
      <w:r w:rsidR="003F51D3">
        <w:rPr>
          <w:rFonts w:ascii="Times New Roman" w:hAnsi="Times New Roman"/>
          <w:sz w:val="28"/>
          <w:szCs w:val="28"/>
        </w:rPr>
        <w:t xml:space="preserve"> </w:t>
      </w:r>
      <w:r w:rsidR="003F51D3" w:rsidRPr="003F51D3">
        <w:rPr>
          <w:rFonts w:ascii="Times New Roman" w:hAnsi="Times New Roman"/>
          <w:i/>
          <w:iCs/>
          <w:sz w:val="28"/>
          <w:szCs w:val="28"/>
        </w:rPr>
        <w:t>Blakely</w:t>
      </w:r>
      <w:r w:rsidR="003F51D3">
        <w:rPr>
          <w:rFonts w:ascii="Times New Roman" w:hAnsi="Times New Roman"/>
          <w:sz w:val="28"/>
          <w:szCs w:val="28"/>
        </w:rPr>
        <w:t xml:space="preserve"> caused Arizona courts to issue a flurry of opinions confirming the jury trial right and the precise contours of a judge’s authority. </w:t>
      </w:r>
      <w:r w:rsidR="003F51D3" w:rsidRPr="003F51D3">
        <w:rPr>
          <w:rFonts w:ascii="Times New Roman" w:hAnsi="Times New Roman"/>
          <w:i/>
          <w:iCs/>
          <w:sz w:val="28"/>
          <w:szCs w:val="28"/>
        </w:rPr>
        <w:t>See</w:t>
      </w:r>
      <w:r w:rsidR="00EA0748">
        <w:rPr>
          <w:rFonts w:ascii="Times New Roman" w:hAnsi="Times New Roman"/>
          <w:i/>
          <w:iCs/>
          <w:sz w:val="28"/>
          <w:szCs w:val="28"/>
        </w:rPr>
        <w:t>, e.g.</w:t>
      </w:r>
      <w:r w:rsidR="00EA0748">
        <w:rPr>
          <w:rFonts w:ascii="Times New Roman" w:hAnsi="Times New Roman"/>
          <w:sz w:val="28"/>
          <w:szCs w:val="28"/>
        </w:rPr>
        <w:t>,</w:t>
      </w:r>
      <w:r w:rsidR="003F51D3" w:rsidRPr="003F51D3">
        <w:rPr>
          <w:rFonts w:ascii="Times New Roman" w:hAnsi="Times New Roman"/>
          <w:i/>
          <w:iCs/>
          <w:sz w:val="28"/>
          <w:szCs w:val="28"/>
        </w:rPr>
        <w:t xml:space="preserve"> State v. Brown</w:t>
      </w:r>
      <w:r w:rsidR="003F51D3">
        <w:rPr>
          <w:rFonts w:ascii="Times New Roman" w:hAnsi="Times New Roman"/>
          <w:sz w:val="28"/>
          <w:szCs w:val="28"/>
        </w:rPr>
        <w:t xml:space="preserve">, 209 Ariz. </w:t>
      </w:r>
      <w:r w:rsidR="00E55454">
        <w:rPr>
          <w:rFonts w:ascii="Times New Roman" w:hAnsi="Times New Roman"/>
          <w:sz w:val="28"/>
          <w:szCs w:val="28"/>
        </w:rPr>
        <w:t>20</w:t>
      </w:r>
      <w:r w:rsidR="003F51D3">
        <w:rPr>
          <w:rFonts w:ascii="Times New Roman" w:hAnsi="Times New Roman"/>
          <w:sz w:val="28"/>
          <w:szCs w:val="28"/>
        </w:rPr>
        <w:t xml:space="preserve">0 (2004) (for </w:t>
      </w:r>
      <w:r w:rsidR="003F51D3" w:rsidRPr="003F51D3">
        <w:rPr>
          <w:rFonts w:ascii="Times New Roman" w:hAnsi="Times New Roman"/>
          <w:i/>
          <w:iCs/>
          <w:sz w:val="28"/>
          <w:szCs w:val="28"/>
        </w:rPr>
        <w:t>Blakely</w:t>
      </w:r>
      <w:r w:rsidR="003F51D3">
        <w:rPr>
          <w:rFonts w:ascii="Times New Roman" w:hAnsi="Times New Roman"/>
          <w:sz w:val="28"/>
          <w:szCs w:val="28"/>
        </w:rPr>
        <w:t xml:space="preserve"> purposes, the presumptive term is the “statutory maximum” that may be imposed)</w:t>
      </w:r>
      <w:r w:rsidR="00EA0748">
        <w:rPr>
          <w:rFonts w:ascii="Times New Roman" w:hAnsi="Times New Roman"/>
          <w:sz w:val="28"/>
          <w:szCs w:val="28"/>
        </w:rPr>
        <w:t xml:space="preserve">; </w:t>
      </w:r>
      <w:r w:rsidR="00EA0748" w:rsidRPr="00EA0748">
        <w:rPr>
          <w:rFonts w:ascii="Times New Roman" w:hAnsi="Times New Roman"/>
          <w:i/>
          <w:iCs/>
          <w:sz w:val="28"/>
          <w:szCs w:val="28"/>
        </w:rPr>
        <w:t>State v. Martinez</w:t>
      </w:r>
      <w:r w:rsidR="00EA0748">
        <w:rPr>
          <w:rFonts w:ascii="Times New Roman" w:hAnsi="Times New Roman"/>
          <w:sz w:val="28"/>
          <w:szCs w:val="28"/>
        </w:rPr>
        <w:t xml:space="preserve">, 210 Ariz. 578 (2005) (if one aggravating factor is properly found </w:t>
      </w:r>
      <w:r w:rsidR="00EA0748">
        <w:rPr>
          <w:rFonts w:ascii="Times New Roman" w:hAnsi="Times New Roman"/>
          <w:sz w:val="28"/>
          <w:szCs w:val="28"/>
        </w:rPr>
        <w:lastRenderedPageBreak/>
        <w:t xml:space="preserve">and the sentencing range is increased, then the judge may find other aggravating factors consistent with </w:t>
      </w:r>
      <w:r w:rsidR="00EA0748" w:rsidRPr="00EA0748">
        <w:rPr>
          <w:rFonts w:ascii="Times New Roman" w:hAnsi="Times New Roman"/>
          <w:i/>
          <w:iCs/>
          <w:sz w:val="28"/>
          <w:szCs w:val="28"/>
        </w:rPr>
        <w:t>Blakely</w:t>
      </w:r>
      <w:r w:rsidR="00EA0748">
        <w:rPr>
          <w:rFonts w:ascii="Times New Roman" w:hAnsi="Times New Roman"/>
          <w:sz w:val="28"/>
          <w:szCs w:val="28"/>
        </w:rPr>
        <w:t>)</w:t>
      </w:r>
      <w:r w:rsidR="003F51D3">
        <w:rPr>
          <w:rFonts w:ascii="Times New Roman" w:hAnsi="Times New Roman"/>
          <w:sz w:val="28"/>
          <w:szCs w:val="28"/>
        </w:rPr>
        <w:t>.</w:t>
      </w:r>
    </w:p>
    <w:p w14:paraId="0B3A8143" w14:textId="667F9948" w:rsidR="00CC311E" w:rsidRDefault="003F51D3" w:rsidP="008C1CCA">
      <w:pPr>
        <w:spacing w:line="480" w:lineRule="auto"/>
        <w:ind w:firstLine="720"/>
        <w:jc w:val="both"/>
        <w:rPr>
          <w:rFonts w:ascii="Times New Roman" w:hAnsi="Times New Roman"/>
          <w:sz w:val="28"/>
          <w:szCs w:val="28"/>
        </w:rPr>
      </w:pPr>
      <w:r>
        <w:rPr>
          <w:rFonts w:ascii="Times New Roman" w:hAnsi="Times New Roman"/>
          <w:sz w:val="28"/>
          <w:szCs w:val="28"/>
        </w:rPr>
        <w:t xml:space="preserve">Over the last two decades, the Supreme Court has continued to expand that jury trial right. </w:t>
      </w:r>
      <w:r w:rsidRPr="00F11E09">
        <w:rPr>
          <w:rFonts w:ascii="Times New Roman" w:hAnsi="Times New Roman"/>
          <w:i/>
          <w:iCs/>
          <w:sz w:val="28"/>
          <w:szCs w:val="28"/>
        </w:rPr>
        <w:t>Alleyne</w:t>
      </w:r>
      <w:r w:rsidR="00F11E09" w:rsidRPr="00F11E09">
        <w:rPr>
          <w:rFonts w:ascii="Times New Roman" w:hAnsi="Times New Roman"/>
          <w:i/>
          <w:iCs/>
          <w:sz w:val="28"/>
          <w:szCs w:val="28"/>
        </w:rPr>
        <w:t xml:space="preserve"> v. United States</w:t>
      </w:r>
      <w:r w:rsidR="00F11E09">
        <w:rPr>
          <w:rFonts w:ascii="Times New Roman" w:hAnsi="Times New Roman"/>
          <w:sz w:val="28"/>
          <w:szCs w:val="28"/>
        </w:rPr>
        <w:t>, 570 U.S. 99</w:t>
      </w:r>
      <w:r>
        <w:rPr>
          <w:rFonts w:ascii="Times New Roman" w:hAnsi="Times New Roman"/>
          <w:sz w:val="28"/>
          <w:szCs w:val="28"/>
        </w:rPr>
        <w:t xml:space="preserve"> (</w:t>
      </w:r>
      <w:r w:rsidR="00F11E09" w:rsidRPr="00E61971">
        <w:rPr>
          <w:rFonts w:ascii="Times New Roman" w:hAnsi="Times New Roman"/>
          <w:sz w:val="28"/>
          <w:szCs w:val="28"/>
        </w:rPr>
        <w:t>fact</w:t>
      </w:r>
      <w:r w:rsidR="00F11E09">
        <w:rPr>
          <w:rFonts w:ascii="Times New Roman" w:hAnsi="Times New Roman"/>
          <w:sz w:val="28"/>
          <w:szCs w:val="28"/>
        </w:rPr>
        <w:t xml:space="preserve"> increasing minimum sentence must be submitted to jury</w:t>
      </w:r>
      <w:r>
        <w:rPr>
          <w:rFonts w:ascii="Times New Roman" w:hAnsi="Times New Roman"/>
          <w:sz w:val="28"/>
          <w:szCs w:val="28"/>
        </w:rPr>
        <w:t xml:space="preserve">); </w:t>
      </w:r>
      <w:r w:rsidR="00F11E09" w:rsidRPr="00F11E09">
        <w:rPr>
          <w:rFonts w:ascii="Times New Roman" w:hAnsi="Times New Roman"/>
          <w:i/>
          <w:iCs/>
          <w:sz w:val="28"/>
          <w:szCs w:val="28"/>
        </w:rPr>
        <w:t xml:space="preserve">United States v. </w:t>
      </w:r>
      <w:r w:rsidRPr="00F11E09">
        <w:rPr>
          <w:rFonts w:ascii="Times New Roman" w:hAnsi="Times New Roman"/>
          <w:i/>
          <w:iCs/>
          <w:sz w:val="28"/>
          <w:szCs w:val="28"/>
        </w:rPr>
        <w:t>Haymond</w:t>
      </w:r>
      <w:r w:rsidR="00F11E09">
        <w:rPr>
          <w:rFonts w:ascii="Times New Roman" w:hAnsi="Times New Roman"/>
          <w:sz w:val="28"/>
          <w:szCs w:val="28"/>
        </w:rPr>
        <w:t>,</w:t>
      </w:r>
      <w:r>
        <w:rPr>
          <w:rFonts w:ascii="Times New Roman" w:hAnsi="Times New Roman"/>
          <w:sz w:val="28"/>
          <w:szCs w:val="28"/>
        </w:rPr>
        <w:t xml:space="preserve"> </w:t>
      </w:r>
      <w:r w:rsidR="00F11E09">
        <w:rPr>
          <w:rFonts w:ascii="Times New Roman" w:hAnsi="Times New Roman"/>
          <w:sz w:val="28"/>
          <w:szCs w:val="28"/>
        </w:rPr>
        <w:t xml:space="preserve">588 U.S. 634 </w:t>
      </w:r>
      <w:r>
        <w:rPr>
          <w:rFonts w:ascii="Times New Roman" w:hAnsi="Times New Roman"/>
          <w:sz w:val="28"/>
          <w:szCs w:val="28"/>
        </w:rPr>
        <w:t>(2019)</w:t>
      </w:r>
      <w:r w:rsidR="00F11E09">
        <w:rPr>
          <w:rFonts w:ascii="Times New Roman" w:hAnsi="Times New Roman"/>
          <w:sz w:val="28"/>
          <w:szCs w:val="28"/>
        </w:rPr>
        <w:t xml:space="preserve"> (factfinding authorizing a new mandatory minimum sentence must be submitted to jury)</w:t>
      </w:r>
      <w:r>
        <w:rPr>
          <w:rFonts w:ascii="Times New Roman" w:hAnsi="Times New Roman"/>
          <w:sz w:val="28"/>
          <w:szCs w:val="28"/>
        </w:rPr>
        <w:t xml:space="preserve">; </w:t>
      </w:r>
      <w:r w:rsidRPr="00F11E09">
        <w:rPr>
          <w:rFonts w:ascii="Times New Roman" w:hAnsi="Times New Roman"/>
          <w:i/>
          <w:iCs/>
          <w:sz w:val="28"/>
          <w:szCs w:val="28"/>
        </w:rPr>
        <w:t>Erlinger</w:t>
      </w:r>
      <w:r w:rsidR="00F11E09" w:rsidRPr="00F11E09">
        <w:rPr>
          <w:rFonts w:ascii="Times New Roman" w:hAnsi="Times New Roman"/>
          <w:i/>
          <w:iCs/>
          <w:sz w:val="28"/>
          <w:szCs w:val="28"/>
        </w:rPr>
        <w:t xml:space="preserve"> v. United States</w:t>
      </w:r>
      <w:r w:rsidR="00F11E09">
        <w:rPr>
          <w:rFonts w:ascii="Times New Roman" w:hAnsi="Times New Roman"/>
          <w:sz w:val="28"/>
          <w:szCs w:val="28"/>
        </w:rPr>
        <w:t>, 602 U.S. 821</w:t>
      </w:r>
      <w:r>
        <w:rPr>
          <w:rFonts w:ascii="Times New Roman" w:hAnsi="Times New Roman"/>
          <w:sz w:val="28"/>
          <w:szCs w:val="28"/>
        </w:rPr>
        <w:t xml:space="preserve"> (2024)</w:t>
      </w:r>
      <w:r w:rsidR="00F11E09">
        <w:rPr>
          <w:rFonts w:ascii="Times New Roman" w:hAnsi="Times New Roman"/>
          <w:sz w:val="28"/>
          <w:szCs w:val="28"/>
        </w:rPr>
        <w:t xml:space="preserve"> (whether multiple prior convictions are on the “same occasion” is a fact to be determined by jury)</w:t>
      </w:r>
      <w:r>
        <w:rPr>
          <w:rFonts w:ascii="Times New Roman" w:hAnsi="Times New Roman"/>
          <w:sz w:val="28"/>
          <w:szCs w:val="28"/>
        </w:rPr>
        <w:t xml:space="preserve">. And as with </w:t>
      </w:r>
      <w:r w:rsidRPr="00F11E09">
        <w:rPr>
          <w:rFonts w:ascii="Times New Roman" w:hAnsi="Times New Roman"/>
          <w:i/>
          <w:iCs/>
          <w:sz w:val="28"/>
          <w:szCs w:val="28"/>
        </w:rPr>
        <w:t>Blakely</w:t>
      </w:r>
      <w:r>
        <w:rPr>
          <w:rFonts w:ascii="Times New Roman" w:hAnsi="Times New Roman"/>
          <w:sz w:val="28"/>
          <w:szCs w:val="28"/>
        </w:rPr>
        <w:t>, Arizona court</w:t>
      </w:r>
      <w:r w:rsidR="00F11E09">
        <w:rPr>
          <w:rFonts w:ascii="Times New Roman" w:hAnsi="Times New Roman"/>
          <w:sz w:val="28"/>
          <w:szCs w:val="28"/>
        </w:rPr>
        <w:t>s</w:t>
      </w:r>
      <w:r>
        <w:rPr>
          <w:rFonts w:ascii="Times New Roman" w:hAnsi="Times New Roman"/>
          <w:sz w:val="28"/>
          <w:szCs w:val="28"/>
        </w:rPr>
        <w:t xml:space="preserve"> continue to apply th</w:t>
      </w:r>
      <w:r w:rsidR="00F11E09">
        <w:rPr>
          <w:rFonts w:ascii="Times New Roman" w:hAnsi="Times New Roman"/>
          <w:sz w:val="28"/>
          <w:szCs w:val="28"/>
        </w:rPr>
        <w:t xml:space="preserve">ese extensions of </w:t>
      </w:r>
      <w:proofErr w:type="spellStart"/>
      <w:r w:rsidR="00F11E09" w:rsidRPr="00F11E09">
        <w:rPr>
          <w:rFonts w:ascii="Times New Roman" w:hAnsi="Times New Roman"/>
          <w:i/>
          <w:iCs/>
          <w:sz w:val="28"/>
          <w:szCs w:val="28"/>
        </w:rPr>
        <w:t>Apprendi</w:t>
      </w:r>
      <w:r w:rsidR="00F11E09">
        <w:rPr>
          <w:rFonts w:ascii="Times New Roman" w:hAnsi="Times New Roman"/>
          <w:sz w:val="28"/>
          <w:szCs w:val="28"/>
        </w:rPr>
        <w:t>’s</w:t>
      </w:r>
      <w:proofErr w:type="spellEnd"/>
      <w:r w:rsidR="00F11E09">
        <w:rPr>
          <w:rFonts w:ascii="Times New Roman" w:hAnsi="Times New Roman"/>
          <w:sz w:val="28"/>
          <w:szCs w:val="28"/>
        </w:rPr>
        <w:t xml:space="preserve"> </w:t>
      </w:r>
      <w:r>
        <w:rPr>
          <w:rFonts w:ascii="Times New Roman" w:hAnsi="Times New Roman"/>
          <w:sz w:val="28"/>
          <w:szCs w:val="28"/>
        </w:rPr>
        <w:t xml:space="preserve">rule to Arizona’s sentencing scheme. </w:t>
      </w:r>
      <w:r w:rsidRPr="00F11E09">
        <w:rPr>
          <w:rFonts w:ascii="Times New Roman" w:hAnsi="Times New Roman"/>
          <w:i/>
          <w:iCs/>
          <w:sz w:val="28"/>
          <w:szCs w:val="28"/>
        </w:rPr>
        <w:t>State v. Large</w:t>
      </w:r>
      <w:r w:rsidR="00F11E09">
        <w:rPr>
          <w:rFonts w:ascii="Times New Roman" w:hAnsi="Times New Roman"/>
          <w:sz w:val="28"/>
          <w:szCs w:val="28"/>
        </w:rPr>
        <w:t>, 234 Ariz. 274</w:t>
      </w:r>
      <w:r>
        <w:rPr>
          <w:rFonts w:ascii="Times New Roman" w:hAnsi="Times New Roman"/>
          <w:sz w:val="28"/>
          <w:szCs w:val="28"/>
        </w:rPr>
        <w:t xml:space="preserve"> (App. 2014) (applying </w:t>
      </w:r>
      <w:r w:rsidRPr="00F11E09">
        <w:rPr>
          <w:rFonts w:ascii="Times New Roman" w:hAnsi="Times New Roman"/>
          <w:i/>
          <w:iCs/>
          <w:sz w:val="28"/>
          <w:szCs w:val="28"/>
        </w:rPr>
        <w:t>Alleyne</w:t>
      </w:r>
      <w:r w:rsidR="00F11E09">
        <w:rPr>
          <w:rFonts w:ascii="Times New Roman" w:hAnsi="Times New Roman"/>
          <w:sz w:val="28"/>
          <w:szCs w:val="28"/>
        </w:rPr>
        <w:t xml:space="preserve"> to the on-parole sentencing allegation</w:t>
      </w:r>
      <w:r>
        <w:rPr>
          <w:rFonts w:ascii="Times New Roman" w:hAnsi="Times New Roman"/>
          <w:sz w:val="28"/>
          <w:szCs w:val="28"/>
        </w:rPr>
        <w:t xml:space="preserve">); </w:t>
      </w:r>
      <w:r w:rsidRPr="00F11E09">
        <w:rPr>
          <w:rFonts w:ascii="Times New Roman" w:hAnsi="Times New Roman"/>
          <w:i/>
          <w:iCs/>
          <w:sz w:val="28"/>
          <w:szCs w:val="28"/>
        </w:rPr>
        <w:t>State v. Blackwell</w:t>
      </w:r>
      <w:r>
        <w:rPr>
          <w:rFonts w:ascii="Times New Roman" w:hAnsi="Times New Roman"/>
          <w:sz w:val="28"/>
          <w:szCs w:val="28"/>
        </w:rPr>
        <w:t xml:space="preserve">, </w:t>
      </w:r>
      <w:r w:rsidR="00F11E09">
        <w:rPr>
          <w:rFonts w:ascii="Times New Roman" w:hAnsi="Times New Roman"/>
          <w:sz w:val="28"/>
          <w:szCs w:val="28"/>
        </w:rPr>
        <w:t xml:space="preserve">-- Ariz. --, 2026 WL </w:t>
      </w:r>
      <w:r w:rsidR="00F11E09" w:rsidRPr="00F11E09">
        <w:rPr>
          <w:rFonts w:ascii="Times New Roman" w:hAnsi="Times New Roman"/>
          <w:sz w:val="28"/>
          <w:szCs w:val="28"/>
        </w:rPr>
        <w:t>1408878</w:t>
      </w:r>
      <w:r w:rsidR="00F11E09">
        <w:rPr>
          <w:rFonts w:ascii="Times New Roman" w:hAnsi="Times New Roman"/>
          <w:sz w:val="28"/>
          <w:szCs w:val="28"/>
        </w:rPr>
        <w:t xml:space="preserve"> </w:t>
      </w:r>
      <w:r>
        <w:rPr>
          <w:rFonts w:ascii="Times New Roman" w:hAnsi="Times New Roman"/>
          <w:sz w:val="28"/>
          <w:szCs w:val="28"/>
        </w:rPr>
        <w:t>(App.</w:t>
      </w:r>
      <w:r w:rsidR="00F11E09">
        <w:rPr>
          <w:rFonts w:ascii="Times New Roman" w:hAnsi="Times New Roman"/>
          <w:sz w:val="28"/>
          <w:szCs w:val="28"/>
        </w:rPr>
        <w:t>, May 20,</w:t>
      </w:r>
      <w:r>
        <w:rPr>
          <w:rFonts w:ascii="Times New Roman" w:hAnsi="Times New Roman"/>
          <w:sz w:val="28"/>
          <w:szCs w:val="28"/>
        </w:rPr>
        <w:t xml:space="preserve"> 2026) (applying </w:t>
      </w:r>
      <w:r w:rsidRPr="00F11E09">
        <w:rPr>
          <w:rFonts w:ascii="Times New Roman" w:hAnsi="Times New Roman"/>
          <w:i/>
          <w:iCs/>
          <w:sz w:val="28"/>
          <w:szCs w:val="28"/>
        </w:rPr>
        <w:t>Erlinger</w:t>
      </w:r>
      <w:r w:rsidR="00F11E09">
        <w:rPr>
          <w:rFonts w:ascii="Times New Roman" w:hAnsi="Times New Roman"/>
          <w:sz w:val="28"/>
          <w:szCs w:val="28"/>
        </w:rPr>
        <w:t>, requiring jury to determine whether prior convictions were on same occasion</w:t>
      </w:r>
      <w:r>
        <w:rPr>
          <w:rFonts w:ascii="Times New Roman" w:hAnsi="Times New Roman"/>
          <w:sz w:val="28"/>
          <w:szCs w:val="28"/>
        </w:rPr>
        <w:t>).</w:t>
      </w:r>
    </w:p>
    <w:p w14:paraId="71E9B460" w14:textId="46853F97" w:rsidR="00165F02" w:rsidRDefault="003F51D3" w:rsidP="008C1CCA">
      <w:pPr>
        <w:spacing w:line="480" w:lineRule="auto"/>
        <w:ind w:firstLine="720"/>
        <w:jc w:val="both"/>
        <w:rPr>
          <w:rFonts w:ascii="Times New Roman" w:hAnsi="Times New Roman"/>
          <w:sz w:val="28"/>
          <w:szCs w:val="28"/>
        </w:rPr>
      </w:pPr>
      <w:r>
        <w:rPr>
          <w:rFonts w:ascii="Times New Roman" w:hAnsi="Times New Roman"/>
          <w:sz w:val="28"/>
          <w:szCs w:val="28"/>
        </w:rPr>
        <w:t xml:space="preserve">What is noteworthy is that while </w:t>
      </w:r>
      <w:r w:rsidRPr="00F915BB">
        <w:rPr>
          <w:rFonts w:ascii="Times New Roman" w:hAnsi="Times New Roman"/>
          <w:sz w:val="28"/>
          <w:szCs w:val="28"/>
        </w:rPr>
        <w:t>every case</w:t>
      </w:r>
      <w:r>
        <w:rPr>
          <w:rFonts w:ascii="Times New Roman" w:hAnsi="Times New Roman"/>
          <w:sz w:val="28"/>
          <w:szCs w:val="28"/>
        </w:rPr>
        <w:t xml:space="preserve"> in the last twenty-five years traces its roots to </w:t>
      </w:r>
      <w:r w:rsidRPr="004509B6">
        <w:rPr>
          <w:rFonts w:ascii="Times New Roman" w:hAnsi="Times New Roman"/>
          <w:i/>
          <w:iCs/>
          <w:sz w:val="28"/>
          <w:szCs w:val="28"/>
        </w:rPr>
        <w:t>Apprendi</w:t>
      </w:r>
      <w:r>
        <w:rPr>
          <w:rFonts w:ascii="Times New Roman" w:hAnsi="Times New Roman"/>
          <w:sz w:val="28"/>
          <w:szCs w:val="28"/>
        </w:rPr>
        <w:t xml:space="preserve">, most also cite </w:t>
      </w:r>
      <w:r w:rsidRPr="004509B6">
        <w:rPr>
          <w:rFonts w:ascii="Times New Roman" w:hAnsi="Times New Roman"/>
          <w:i/>
          <w:iCs/>
          <w:sz w:val="28"/>
          <w:szCs w:val="28"/>
        </w:rPr>
        <w:t>Ring</w:t>
      </w:r>
      <w:r>
        <w:rPr>
          <w:rFonts w:ascii="Times New Roman" w:hAnsi="Times New Roman"/>
          <w:sz w:val="28"/>
          <w:szCs w:val="28"/>
        </w:rPr>
        <w:t xml:space="preserve"> as an application of </w:t>
      </w:r>
      <w:r w:rsidRPr="004509B6">
        <w:rPr>
          <w:rFonts w:ascii="Times New Roman" w:hAnsi="Times New Roman"/>
          <w:i/>
          <w:iCs/>
          <w:sz w:val="28"/>
          <w:szCs w:val="28"/>
        </w:rPr>
        <w:t>Apprendi</w:t>
      </w:r>
      <w:r>
        <w:rPr>
          <w:rFonts w:ascii="Times New Roman" w:hAnsi="Times New Roman"/>
          <w:sz w:val="28"/>
          <w:szCs w:val="28"/>
        </w:rPr>
        <w:t xml:space="preserve">, as opposed to a separate rule. </w:t>
      </w:r>
      <w:r w:rsidR="0010698F" w:rsidRPr="0010698F">
        <w:rPr>
          <w:rFonts w:ascii="Times New Roman" w:hAnsi="Times New Roman"/>
          <w:i/>
          <w:iCs/>
          <w:sz w:val="28"/>
          <w:szCs w:val="28"/>
        </w:rPr>
        <w:t xml:space="preserve">See </w:t>
      </w:r>
      <w:r w:rsidR="00D528ED" w:rsidRPr="0010698F">
        <w:rPr>
          <w:rFonts w:ascii="Times New Roman" w:hAnsi="Times New Roman"/>
          <w:i/>
          <w:iCs/>
          <w:sz w:val="28"/>
          <w:szCs w:val="28"/>
        </w:rPr>
        <w:t>Ring</w:t>
      </w:r>
      <w:r w:rsidR="00D528ED">
        <w:rPr>
          <w:rFonts w:ascii="Times New Roman" w:hAnsi="Times New Roman"/>
          <w:sz w:val="28"/>
          <w:szCs w:val="28"/>
        </w:rPr>
        <w:t>, 536 U.S. at 613 (Kennedy, J., concurring) (“</w:t>
      </w:r>
      <w:r w:rsidR="00D528ED" w:rsidRPr="00D528ED">
        <w:rPr>
          <w:rFonts w:ascii="Times New Roman" w:hAnsi="Times New Roman"/>
          <w:sz w:val="28"/>
          <w:szCs w:val="28"/>
        </w:rPr>
        <w:t xml:space="preserve">Though it is still my view that </w:t>
      </w:r>
      <w:r w:rsidR="00D528ED" w:rsidRPr="0010698F">
        <w:rPr>
          <w:rFonts w:ascii="Times New Roman" w:hAnsi="Times New Roman"/>
          <w:i/>
          <w:iCs/>
          <w:sz w:val="28"/>
          <w:szCs w:val="28"/>
        </w:rPr>
        <w:t>Apprendi</w:t>
      </w:r>
      <w:r w:rsidR="00D528ED" w:rsidRPr="00D528ED">
        <w:rPr>
          <w:rFonts w:ascii="Times New Roman" w:hAnsi="Times New Roman"/>
          <w:sz w:val="28"/>
          <w:szCs w:val="28"/>
        </w:rPr>
        <w:t xml:space="preserve"> was wrongly decided, </w:t>
      </w:r>
      <w:r w:rsidR="00D528ED" w:rsidRPr="0010698F">
        <w:rPr>
          <w:rFonts w:ascii="Times New Roman" w:hAnsi="Times New Roman"/>
          <w:i/>
          <w:iCs/>
          <w:sz w:val="28"/>
          <w:szCs w:val="28"/>
        </w:rPr>
        <w:t>Apprendi</w:t>
      </w:r>
      <w:r w:rsidR="00D528ED" w:rsidRPr="00D528ED">
        <w:rPr>
          <w:rFonts w:ascii="Times New Roman" w:hAnsi="Times New Roman"/>
          <w:sz w:val="28"/>
          <w:szCs w:val="28"/>
        </w:rPr>
        <w:t xml:space="preserve"> is now the law, and its holding must be implemented in a principled way. As the Court suggests, no principled reading of </w:t>
      </w:r>
      <w:r w:rsidR="00D528ED" w:rsidRPr="0010698F">
        <w:rPr>
          <w:rFonts w:ascii="Times New Roman" w:hAnsi="Times New Roman"/>
          <w:i/>
          <w:iCs/>
          <w:sz w:val="28"/>
          <w:szCs w:val="28"/>
        </w:rPr>
        <w:t>Apprendi</w:t>
      </w:r>
      <w:r w:rsidR="00D528ED" w:rsidRPr="00D528ED">
        <w:rPr>
          <w:rFonts w:ascii="Times New Roman" w:hAnsi="Times New Roman"/>
          <w:sz w:val="28"/>
          <w:szCs w:val="28"/>
        </w:rPr>
        <w:t xml:space="preserve"> would allow </w:t>
      </w:r>
      <w:r w:rsidR="00D528ED" w:rsidRPr="0010698F">
        <w:rPr>
          <w:rFonts w:ascii="Times New Roman" w:hAnsi="Times New Roman"/>
          <w:i/>
          <w:iCs/>
          <w:sz w:val="28"/>
          <w:szCs w:val="28"/>
        </w:rPr>
        <w:t>Walton</w:t>
      </w:r>
      <w:r w:rsidR="00D528ED" w:rsidRPr="00D528ED">
        <w:rPr>
          <w:rFonts w:ascii="Times New Roman" w:hAnsi="Times New Roman"/>
          <w:sz w:val="28"/>
          <w:szCs w:val="28"/>
        </w:rPr>
        <w:t xml:space="preserve"> to stand.</w:t>
      </w:r>
      <w:r w:rsidR="00D528ED">
        <w:rPr>
          <w:rFonts w:ascii="Times New Roman" w:hAnsi="Times New Roman"/>
          <w:sz w:val="28"/>
          <w:szCs w:val="28"/>
        </w:rPr>
        <w:t>”) (citations omitted)</w:t>
      </w:r>
      <w:r w:rsidR="0010698F">
        <w:rPr>
          <w:rFonts w:ascii="Times New Roman" w:hAnsi="Times New Roman"/>
          <w:sz w:val="28"/>
          <w:szCs w:val="28"/>
        </w:rPr>
        <w:t xml:space="preserve">; </w:t>
      </w:r>
      <w:r w:rsidRPr="0010698F">
        <w:rPr>
          <w:rFonts w:ascii="Times New Roman" w:hAnsi="Times New Roman"/>
          <w:i/>
          <w:iCs/>
          <w:sz w:val="28"/>
          <w:szCs w:val="28"/>
        </w:rPr>
        <w:t>Blakely</w:t>
      </w:r>
      <w:r>
        <w:rPr>
          <w:rFonts w:ascii="Times New Roman" w:hAnsi="Times New Roman"/>
          <w:sz w:val="28"/>
          <w:szCs w:val="28"/>
        </w:rPr>
        <w:t>, 542 U.S. at 303</w:t>
      </w:r>
      <w:r w:rsidR="0010698F">
        <w:rPr>
          <w:rFonts w:ascii="Times New Roman" w:hAnsi="Times New Roman"/>
          <w:sz w:val="28"/>
          <w:szCs w:val="28"/>
        </w:rPr>
        <w:t>-</w:t>
      </w:r>
      <w:r w:rsidR="004509B6">
        <w:rPr>
          <w:rFonts w:ascii="Times New Roman" w:hAnsi="Times New Roman"/>
          <w:sz w:val="28"/>
          <w:szCs w:val="28"/>
        </w:rPr>
        <w:t>05</w:t>
      </w:r>
      <w:r w:rsidR="0010698F">
        <w:rPr>
          <w:rFonts w:ascii="Times New Roman" w:hAnsi="Times New Roman"/>
          <w:sz w:val="28"/>
          <w:szCs w:val="28"/>
        </w:rPr>
        <w:t xml:space="preserve"> (explaining </w:t>
      </w:r>
      <w:r w:rsidR="0010698F" w:rsidRPr="0010698F">
        <w:rPr>
          <w:rFonts w:ascii="Times New Roman" w:hAnsi="Times New Roman"/>
          <w:i/>
          <w:iCs/>
          <w:sz w:val="28"/>
          <w:szCs w:val="28"/>
        </w:rPr>
        <w:t>Ring</w:t>
      </w:r>
      <w:r w:rsidR="0010698F">
        <w:rPr>
          <w:rFonts w:ascii="Times New Roman" w:hAnsi="Times New Roman"/>
          <w:sz w:val="28"/>
          <w:szCs w:val="28"/>
        </w:rPr>
        <w:t xml:space="preserve"> as application of </w:t>
      </w:r>
      <w:r w:rsidR="0010698F" w:rsidRPr="0010698F">
        <w:rPr>
          <w:rFonts w:ascii="Times New Roman" w:hAnsi="Times New Roman"/>
          <w:i/>
          <w:iCs/>
          <w:sz w:val="28"/>
          <w:szCs w:val="28"/>
        </w:rPr>
        <w:t>Apprendi</w:t>
      </w:r>
      <w:r w:rsidR="0010698F">
        <w:rPr>
          <w:rFonts w:ascii="Times New Roman" w:hAnsi="Times New Roman"/>
          <w:sz w:val="28"/>
          <w:szCs w:val="28"/>
        </w:rPr>
        <w:t>)</w:t>
      </w:r>
      <w:r w:rsidR="004509B6">
        <w:rPr>
          <w:rFonts w:ascii="Times New Roman" w:hAnsi="Times New Roman"/>
          <w:sz w:val="28"/>
          <w:szCs w:val="28"/>
        </w:rPr>
        <w:t xml:space="preserve">; </w:t>
      </w:r>
      <w:r w:rsidR="00077B9A" w:rsidRPr="00077B9A">
        <w:rPr>
          <w:rFonts w:ascii="Times New Roman" w:hAnsi="Times New Roman"/>
          <w:i/>
          <w:iCs/>
          <w:sz w:val="28"/>
          <w:szCs w:val="28"/>
        </w:rPr>
        <w:t xml:space="preserve">McKaney </w:t>
      </w:r>
      <w:r w:rsidR="00077B9A" w:rsidRPr="00077B9A">
        <w:rPr>
          <w:rFonts w:ascii="Times New Roman" w:hAnsi="Times New Roman"/>
          <w:i/>
          <w:iCs/>
          <w:sz w:val="28"/>
          <w:szCs w:val="28"/>
        </w:rPr>
        <w:lastRenderedPageBreak/>
        <w:t>v. Foreman</w:t>
      </w:r>
      <w:r w:rsidR="00077B9A">
        <w:rPr>
          <w:rFonts w:ascii="Times New Roman" w:hAnsi="Times New Roman"/>
          <w:sz w:val="28"/>
          <w:szCs w:val="28"/>
        </w:rPr>
        <w:t>, 209 Ariz. 268, 270 ¶ 8 (2004) (“</w:t>
      </w:r>
      <w:r w:rsidR="00077B9A" w:rsidRPr="00077B9A">
        <w:rPr>
          <w:rFonts w:ascii="Times New Roman" w:hAnsi="Times New Roman"/>
          <w:sz w:val="28"/>
          <w:szCs w:val="28"/>
        </w:rPr>
        <w:t>The holdings in </w:t>
      </w:r>
      <w:r w:rsidR="00077B9A" w:rsidRPr="00077B9A">
        <w:rPr>
          <w:rFonts w:ascii="Times New Roman" w:hAnsi="Times New Roman"/>
          <w:i/>
          <w:iCs/>
          <w:sz w:val="28"/>
          <w:szCs w:val="28"/>
        </w:rPr>
        <w:t>Apprendi</w:t>
      </w:r>
      <w:r w:rsidR="00077B9A" w:rsidRPr="00077B9A">
        <w:rPr>
          <w:rFonts w:ascii="Times New Roman" w:hAnsi="Times New Roman"/>
          <w:sz w:val="28"/>
          <w:szCs w:val="28"/>
        </w:rPr>
        <w:t> greatly informed the Supreme Court</w:t>
      </w:r>
      <w:r w:rsidR="00077B9A">
        <w:rPr>
          <w:rFonts w:ascii="Times New Roman" w:hAnsi="Times New Roman"/>
          <w:sz w:val="28"/>
          <w:szCs w:val="28"/>
        </w:rPr>
        <w:t>’</w:t>
      </w:r>
      <w:r w:rsidR="00077B9A" w:rsidRPr="00077B9A">
        <w:rPr>
          <w:rFonts w:ascii="Times New Roman" w:hAnsi="Times New Roman"/>
          <w:sz w:val="28"/>
          <w:szCs w:val="28"/>
        </w:rPr>
        <w:t>s decision in </w:t>
      </w:r>
      <w:r w:rsidR="00077B9A" w:rsidRPr="00077B9A">
        <w:rPr>
          <w:rFonts w:ascii="Times New Roman" w:hAnsi="Times New Roman"/>
          <w:i/>
          <w:iCs/>
          <w:sz w:val="28"/>
          <w:szCs w:val="28"/>
        </w:rPr>
        <w:t>Ring</w:t>
      </w:r>
      <w:r w:rsidR="00077B9A" w:rsidRPr="00077B9A">
        <w:rPr>
          <w:rFonts w:ascii="Times New Roman" w:hAnsi="Times New Roman"/>
          <w:sz w:val="28"/>
          <w:szCs w:val="28"/>
        </w:rPr>
        <w:t>…”</w:t>
      </w:r>
      <w:r w:rsidR="00077B9A">
        <w:rPr>
          <w:rFonts w:ascii="Times New Roman" w:hAnsi="Times New Roman"/>
          <w:sz w:val="28"/>
          <w:szCs w:val="28"/>
        </w:rPr>
        <w:t>)</w:t>
      </w:r>
      <w:r w:rsidR="0010698F">
        <w:rPr>
          <w:rFonts w:ascii="Times New Roman" w:hAnsi="Times New Roman"/>
          <w:sz w:val="28"/>
          <w:szCs w:val="28"/>
        </w:rPr>
        <w:t xml:space="preserve">. This Court even recognized in </w:t>
      </w:r>
      <w:r w:rsidR="00E40D80" w:rsidRPr="0010698F">
        <w:rPr>
          <w:rFonts w:ascii="Times New Roman" w:hAnsi="Times New Roman"/>
          <w:i/>
          <w:iCs/>
          <w:sz w:val="28"/>
          <w:szCs w:val="28"/>
        </w:rPr>
        <w:t xml:space="preserve">State v. </w:t>
      </w:r>
      <w:r w:rsidR="0010698F" w:rsidRPr="00F915BB">
        <w:rPr>
          <w:rFonts w:ascii="Times New Roman" w:hAnsi="Times New Roman"/>
          <w:i/>
          <w:iCs/>
          <w:sz w:val="28"/>
          <w:szCs w:val="28"/>
        </w:rPr>
        <w:t>Ring</w:t>
      </w:r>
      <w:r w:rsidR="0010698F" w:rsidRPr="0010698F">
        <w:rPr>
          <w:rFonts w:ascii="Times New Roman" w:hAnsi="Times New Roman"/>
          <w:sz w:val="28"/>
          <w:szCs w:val="28"/>
        </w:rPr>
        <w:t xml:space="preserve"> </w:t>
      </w:r>
      <w:r w:rsidR="0010698F">
        <w:rPr>
          <w:rFonts w:ascii="Times New Roman" w:hAnsi="Times New Roman"/>
          <w:sz w:val="28"/>
          <w:szCs w:val="28"/>
        </w:rPr>
        <w:t xml:space="preserve">that </w:t>
      </w:r>
      <w:r w:rsidR="0010698F" w:rsidRPr="0010698F">
        <w:rPr>
          <w:rFonts w:ascii="Times New Roman" w:hAnsi="Times New Roman"/>
          <w:i/>
          <w:iCs/>
          <w:sz w:val="28"/>
          <w:szCs w:val="28"/>
        </w:rPr>
        <w:t>Apprendi</w:t>
      </w:r>
      <w:r w:rsidR="0010698F">
        <w:rPr>
          <w:rFonts w:ascii="Times New Roman" w:hAnsi="Times New Roman"/>
          <w:sz w:val="28"/>
          <w:szCs w:val="28"/>
        </w:rPr>
        <w:t xml:space="preserve"> could not authorize judges to find capital aggravating factors, but </w:t>
      </w:r>
      <w:r w:rsidR="0010698F" w:rsidRPr="00F915BB">
        <w:rPr>
          <w:rFonts w:ascii="Times New Roman" w:hAnsi="Times New Roman"/>
          <w:sz w:val="28"/>
          <w:szCs w:val="28"/>
        </w:rPr>
        <w:t>it affirmed</w:t>
      </w:r>
      <w:r w:rsidR="0010698F">
        <w:rPr>
          <w:rFonts w:ascii="Times New Roman" w:hAnsi="Times New Roman"/>
          <w:sz w:val="28"/>
          <w:szCs w:val="28"/>
        </w:rPr>
        <w:t xml:space="preserve"> because of </w:t>
      </w:r>
      <w:r w:rsidR="0010698F" w:rsidRPr="00E40D80">
        <w:rPr>
          <w:rFonts w:ascii="Times New Roman" w:hAnsi="Times New Roman"/>
          <w:i/>
          <w:iCs/>
          <w:sz w:val="28"/>
          <w:szCs w:val="28"/>
        </w:rPr>
        <w:t>Walton</w:t>
      </w:r>
      <w:r w:rsidR="0010698F">
        <w:rPr>
          <w:rFonts w:ascii="Times New Roman" w:hAnsi="Times New Roman"/>
          <w:sz w:val="28"/>
          <w:szCs w:val="28"/>
        </w:rPr>
        <w:t xml:space="preserve"> and honoring the Supremacy Clause. </w:t>
      </w:r>
      <w:r w:rsidR="0010698F" w:rsidRPr="0010698F">
        <w:rPr>
          <w:rFonts w:ascii="Times New Roman" w:hAnsi="Times New Roman"/>
          <w:i/>
          <w:iCs/>
          <w:sz w:val="28"/>
          <w:szCs w:val="28"/>
        </w:rPr>
        <w:t>Ring</w:t>
      </w:r>
      <w:r w:rsidR="0010698F">
        <w:rPr>
          <w:rFonts w:ascii="Times New Roman" w:hAnsi="Times New Roman"/>
          <w:sz w:val="28"/>
          <w:szCs w:val="28"/>
        </w:rPr>
        <w:t xml:space="preserve">, 536 U.S. at 596 (citing </w:t>
      </w:r>
      <w:r w:rsidR="0010698F" w:rsidRPr="0010698F">
        <w:rPr>
          <w:rFonts w:ascii="Times New Roman" w:hAnsi="Times New Roman"/>
          <w:i/>
          <w:iCs/>
          <w:sz w:val="28"/>
          <w:szCs w:val="28"/>
        </w:rPr>
        <w:t>State v. Ring</w:t>
      </w:r>
      <w:r w:rsidR="0010698F">
        <w:rPr>
          <w:rFonts w:ascii="Times New Roman" w:hAnsi="Times New Roman"/>
          <w:sz w:val="28"/>
          <w:szCs w:val="28"/>
        </w:rPr>
        <w:t>, 200 Ariz. 267, 279-80 ¶¶ 43-44 (2001)).</w:t>
      </w:r>
    </w:p>
    <w:p w14:paraId="3AD7FC3A" w14:textId="7FC5C9AC" w:rsidR="00165F02" w:rsidRPr="00D76829" w:rsidRDefault="00165F02" w:rsidP="00165F02">
      <w:pPr>
        <w:pStyle w:val="ListParagraph"/>
        <w:numPr>
          <w:ilvl w:val="0"/>
          <w:numId w:val="29"/>
        </w:numPr>
        <w:spacing w:line="480" w:lineRule="auto"/>
        <w:jc w:val="both"/>
        <w:rPr>
          <w:rFonts w:ascii="Times New Roman" w:hAnsi="Times New Roman"/>
          <w:sz w:val="28"/>
          <w:szCs w:val="28"/>
        </w:rPr>
      </w:pPr>
      <w:r w:rsidRPr="00D76829">
        <w:rPr>
          <w:rFonts w:ascii="Times New Roman" w:hAnsi="Times New Roman"/>
          <w:sz w:val="28"/>
          <w:szCs w:val="28"/>
        </w:rPr>
        <w:t xml:space="preserve">The 2002 rule changes implement </w:t>
      </w:r>
      <w:r w:rsidRPr="00D76829">
        <w:rPr>
          <w:rFonts w:ascii="Times New Roman" w:hAnsi="Times New Roman"/>
          <w:i/>
          <w:iCs/>
          <w:sz w:val="28"/>
          <w:szCs w:val="28"/>
        </w:rPr>
        <w:t>Apprendi</w:t>
      </w:r>
      <w:r w:rsidRPr="00D76829">
        <w:rPr>
          <w:rFonts w:ascii="Times New Roman" w:hAnsi="Times New Roman"/>
          <w:sz w:val="28"/>
          <w:szCs w:val="28"/>
        </w:rPr>
        <w:t xml:space="preserve"> as well as </w:t>
      </w:r>
      <w:r w:rsidRPr="00D76829">
        <w:rPr>
          <w:rFonts w:ascii="Times New Roman" w:hAnsi="Times New Roman"/>
          <w:i/>
          <w:iCs/>
          <w:sz w:val="28"/>
          <w:szCs w:val="28"/>
        </w:rPr>
        <w:t>Ring</w:t>
      </w:r>
      <w:r w:rsidRPr="00D76829">
        <w:rPr>
          <w:rFonts w:ascii="Times New Roman" w:hAnsi="Times New Roman"/>
          <w:sz w:val="28"/>
          <w:szCs w:val="28"/>
        </w:rPr>
        <w:t>.</w:t>
      </w:r>
    </w:p>
    <w:p w14:paraId="477F4566" w14:textId="3890E5DE" w:rsidR="00165F02" w:rsidRDefault="00D76829" w:rsidP="008C1CCA">
      <w:pPr>
        <w:spacing w:line="480" w:lineRule="auto"/>
        <w:ind w:firstLine="720"/>
        <w:jc w:val="both"/>
        <w:rPr>
          <w:rFonts w:ascii="Times New Roman" w:hAnsi="Times New Roman"/>
          <w:sz w:val="28"/>
          <w:szCs w:val="28"/>
        </w:rPr>
      </w:pPr>
      <w:r>
        <w:rPr>
          <w:rFonts w:ascii="Times New Roman" w:hAnsi="Times New Roman"/>
          <w:sz w:val="28"/>
          <w:szCs w:val="28"/>
        </w:rPr>
        <w:t xml:space="preserve">To be sure, the 2002 rule change petition was triggered not only by </w:t>
      </w:r>
      <w:r w:rsidRPr="00D76829">
        <w:rPr>
          <w:rFonts w:ascii="Times New Roman" w:hAnsi="Times New Roman"/>
          <w:i/>
          <w:iCs/>
          <w:sz w:val="28"/>
          <w:szCs w:val="28"/>
        </w:rPr>
        <w:t>Ring</w:t>
      </w:r>
      <w:r>
        <w:rPr>
          <w:rFonts w:ascii="Times New Roman" w:hAnsi="Times New Roman"/>
          <w:sz w:val="28"/>
          <w:szCs w:val="28"/>
        </w:rPr>
        <w:t xml:space="preserve"> but the legislative changes to the capital trial and sentencing scheme that immediately followed. </w:t>
      </w:r>
      <w:r w:rsidR="0056560C" w:rsidRPr="0056560C">
        <w:rPr>
          <w:rFonts w:ascii="Times New Roman" w:hAnsi="Times New Roman"/>
          <w:i/>
          <w:iCs/>
          <w:sz w:val="28"/>
          <w:szCs w:val="28"/>
        </w:rPr>
        <w:t>See Chronis v. Steinle</w:t>
      </w:r>
      <w:r w:rsidR="0056560C">
        <w:rPr>
          <w:rFonts w:ascii="Times New Roman" w:hAnsi="Times New Roman"/>
          <w:sz w:val="28"/>
          <w:szCs w:val="28"/>
        </w:rPr>
        <w:t xml:space="preserve">, 220 Ariz. 559, 561 ¶ 10 (2009) (discussing petition in context of </w:t>
      </w:r>
      <w:r w:rsidR="0056560C" w:rsidRPr="0056560C">
        <w:rPr>
          <w:rFonts w:ascii="Times New Roman" w:hAnsi="Times New Roman"/>
          <w:i/>
          <w:iCs/>
          <w:sz w:val="28"/>
          <w:szCs w:val="28"/>
        </w:rPr>
        <w:t>Ring</w:t>
      </w:r>
      <w:r w:rsidR="0056560C">
        <w:rPr>
          <w:rFonts w:ascii="Times New Roman" w:hAnsi="Times New Roman"/>
          <w:sz w:val="28"/>
          <w:szCs w:val="28"/>
        </w:rPr>
        <w:t xml:space="preserve"> and new legislation). </w:t>
      </w:r>
      <w:r>
        <w:rPr>
          <w:rFonts w:ascii="Times New Roman" w:hAnsi="Times New Roman"/>
          <w:sz w:val="28"/>
          <w:szCs w:val="28"/>
        </w:rPr>
        <w:t xml:space="preserve">But the rule change petition also recognized that rule changes were necessary to implement </w:t>
      </w:r>
      <w:r w:rsidRPr="00D76829">
        <w:rPr>
          <w:rFonts w:ascii="Times New Roman" w:hAnsi="Times New Roman"/>
          <w:i/>
          <w:iCs/>
          <w:sz w:val="28"/>
          <w:szCs w:val="28"/>
        </w:rPr>
        <w:t>Apprendi</w:t>
      </w:r>
      <w:r w:rsidR="00E40D80">
        <w:rPr>
          <w:rFonts w:ascii="Times New Roman" w:hAnsi="Times New Roman"/>
          <w:sz w:val="28"/>
          <w:szCs w:val="28"/>
        </w:rPr>
        <w:t>, since t</w:t>
      </w:r>
      <w:r>
        <w:rPr>
          <w:rFonts w:ascii="Times New Roman" w:hAnsi="Times New Roman"/>
          <w:sz w:val="28"/>
          <w:szCs w:val="28"/>
        </w:rPr>
        <w:t xml:space="preserve">his Court made no changes in 2000-2001 </w:t>
      </w:r>
      <w:r w:rsidR="00E40D80">
        <w:rPr>
          <w:rFonts w:ascii="Times New Roman" w:hAnsi="Times New Roman"/>
          <w:sz w:val="28"/>
          <w:szCs w:val="28"/>
        </w:rPr>
        <w:t>after that decision</w:t>
      </w:r>
      <w:r>
        <w:rPr>
          <w:rFonts w:ascii="Times New Roman" w:hAnsi="Times New Roman"/>
          <w:sz w:val="28"/>
          <w:szCs w:val="28"/>
        </w:rPr>
        <w:t xml:space="preserve">. </w:t>
      </w:r>
      <w:r w:rsidR="00E40D80">
        <w:rPr>
          <w:rFonts w:ascii="Times New Roman" w:hAnsi="Times New Roman"/>
          <w:sz w:val="28"/>
          <w:szCs w:val="28"/>
        </w:rPr>
        <w:t xml:space="preserve">Previously, </w:t>
      </w:r>
      <w:r>
        <w:rPr>
          <w:rFonts w:ascii="Times New Roman" w:hAnsi="Times New Roman"/>
          <w:sz w:val="28"/>
          <w:szCs w:val="28"/>
        </w:rPr>
        <w:t>Rule 13.5(c) (Rev. 2001) permit</w:t>
      </w:r>
      <w:r>
        <w:rPr>
          <w:rFonts w:ascii="Times New Roman" w:hAnsi="Times New Roman"/>
          <w:sz w:val="28"/>
          <w:szCs w:val="28"/>
        </w:rPr>
        <w:t>ted</w:t>
      </w:r>
      <w:r>
        <w:rPr>
          <w:rFonts w:ascii="Times New Roman" w:hAnsi="Times New Roman"/>
          <w:sz w:val="28"/>
          <w:szCs w:val="28"/>
        </w:rPr>
        <w:t xml:space="preserve"> challenges to the “charging document” “by a motion filed in accordance with Rule 16.” The 2002 petition included an alteration to Rule 13.5(a) to account for </w:t>
      </w:r>
      <w:r w:rsidRPr="00D76829">
        <w:rPr>
          <w:rFonts w:ascii="Times New Roman" w:hAnsi="Times New Roman"/>
          <w:i/>
          <w:iCs/>
          <w:sz w:val="28"/>
          <w:szCs w:val="28"/>
        </w:rPr>
        <w:t>Apprendi</w:t>
      </w:r>
      <w:r>
        <w:rPr>
          <w:rFonts w:ascii="Times New Roman" w:hAnsi="Times New Roman"/>
          <w:sz w:val="28"/>
          <w:szCs w:val="28"/>
        </w:rPr>
        <w:t xml:space="preserve"> and added a new Rule 13.5(d) to account for </w:t>
      </w:r>
      <w:r w:rsidRPr="00D76829">
        <w:rPr>
          <w:rFonts w:ascii="Times New Roman" w:hAnsi="Times New Roman"/>
          <w:i/>
          <w:iCs/>
          <w:sz w:val="28"/>
          <w:szCs w:val="28"/>
        </w:rPr>
        <w:t>Ring</w:t>
      </w:r>
      <w:r>
        <w:rPr>
          <w:rFonts w:ascii="Times New Roman" w:hAnsi="Times New Roman"/>
          <w:sz w:val="28"/>
          <w:szCs w:val="28"/>
        </w:rPr>
        <w:t xml:space="preserve">. This choice in structure was just </w:t>
      </w:r>
      <w:proofErr w:type="gramStart"/>
      <w:r>
        <w:rPr>
          <w:rFonts w:ascii="Times New Roman" w:hAnsi="Times New Roman"/>
          <w:sz w:val="28"/>
          <w:szCs w:val="28"/>
        </w:rPr>
        <w:t>that—a</w:t>
      </w:r>
      <w:proofErr w:type="gramEnd"/>
      <w:r>
        <w:rPr>
          <w:rFonts w:ascii="Times New Roman" w:hAnsi="Times New Roman"/>
          <w:sz w:val="28"/>
          <w:szCs w:val="28"/>
        </w:rPr>
        <w:t xml:space="preserve"> choice. For purposes of challenging the legal sufficiency of sentencing allegations, there is no principled distinction between capital and noncapital cases, and that is why the 2002 petition used identical language</w:t>
      </w:r>
      <w:r w:rsidR="00077B9A">
        <w:rPr>
          <w:rFonts w:ascii="Times New Roman" w:hAnsi="Times New Roman"/>
          <w:sz w:val="28"/>
          <w:szCs w:val="28"/>
        </w:rPr>
        <w:t xml:space="preserve"> for permitting such challenges</w:t>
      </w:r>
      <w:r w:rsidR="00E40D80">
        <w:rPr>
          <w:rFonts w:ascii="Times New Roman" w:hAnsi="Times New Roman"/>
          <w:sz w:val="28"/>
          <w:szCs w:val="28"/>
        </w:rPr>
        <w:t xml:space="preserve">: </w:t>
      </w:r>
      <w:r w:rsidR="00E40D80" w:rsidRPr="00E40D80">
        <w:rPr>
          <w:rFonts w:ascii="Times New Roman" w:hAnsi="Times New Roman"/>
          <w:sz w:val="28"/>
          <w:szCs w:val="28"/>
        </w:rPr>
        <w:t xml:space="preserve">“This is the system Arizona has used in the non-capital area for sentence enhancements for many years.” </w:t>
      </w:r>
      <w:r w:rsidR="00E40D80">
        <w:rPr>
          <w:rFonts w:ascii="Times New Roman" w:hAnsi="Times New Roman"/>
          <w:sz w:val="28"/>
          <w:szCs w:val="28"/>
        </w:rPr>
        <w:t>Petition Attachment B at</w:t>
      </w:r>
      <w:r w:rsidR="00E40D80" w:rsidRPr="00E40D80">
        <w:rPr>
          <w:rFonts w:ascii="Times New Roman" w:hAnsi="Times New Roman"/>
          <w:sz w:val="28"/>
          <w:szCs w:val="28"/>
        </w:rPr>
        <w:t xml:space="preserve"> 8</w:t>
      </w:r>
      <w:r w:rsidR="00E40D80">
        <w:rPr>
          <w:rFonts w:ascii="Times New Roman" w:hAnsi="Times New Roman"/>
          <w:sz w:val="28"/>
          <w:szCs w:val="28"/>
        </w:rPr>
        <w:t>.</w:t>
      </w:r>
    </w:p>
    <w:p w14:paraId="31405B2E" w14:textId="6F1BC7D6" w:rsidR="00D76829" w:rsidRDefault="00D76829" w:rsidP="008C1CCA">
      <w:pPr>
        <w:spacing w:line="480" w:lineRule="auto"/>
        <w:ind w:firstLine="720"/>
        <w:jc w:val="both"/>
        <w:rPr>
          <w:rFonts w:ascii="Times New Roman" w:hAnsi="Times New Roman"/>
          <w:sz w:val="28"/>
          <w:szCs w:val="28"/>
        </w:rPr>
      </w:pPr>
      <w:r>
        <w:rPr>
          <w:rFonts w:ascii="Times New Roman" w:hAnsi="Times New Roman"/>
          <w:sz w:val="28"/>
          <w:szCs w:val="28"/>
        </w:rPr>
        <w:lastRenderedPageBreak/>
        <w:t xml:space="preserve">There is one distinction between capital aggravating factors and noncapital sentencing allegations: the timing for filing. </w:t>
      </w:r>
      <w:r w:rsidR="001E2C94">
        <w:rPr>
          <w:rFonts w:ascii="Times New Roman" w:hAnsi="Times New Roman"/>
          <w:sz w:val="28"/>
          <w:szCs w:val="28"/>
        </w:rPr>
        <w:t>Notice of</w:t>
      </w:r>
      <w:r>
        <w:rPr>
          <w:rFonts w:ascii="Times New Roman" w:hAnsi="Times New Roman"/>
          <w:sz w:val="28"/>
          <w:szCs w:val="28"/>
        </w:rPr>
        <w:t xml:space="preserve"> capital aggravators</w:t>
      </w:r>
      <w:r w:rsidR="001E2C94">
        <w:rPr>
          <w:rFonts w:ascii="Times New Roman" w:hAnsi="Times New Roman"/>
          <w:sz w:val="28"/>
          <w:szCs w:val="28"/>
        </w:rPr>
        <w:t xml:space="preserve"> must be filed at the same time as the notice of intent to seek the death penalty. Rule 15.1(g)(2) (Rev. 2002); Rule 15.1(</w:t>
      </w:r>
      <w:proofErr w:type="spellStart"/>
      <w:r w:rsidR="001E2C94">
        <w:rPr>
          <w:rFonts w:ascii="Times New Roman" w:hAnsi="Times New Roman"/>
          <w:sz w:val="28"/>
          <w:szCs w:val="28"/>
        </w:rPr>
        <w:t>i</w:t>
      </w:r>
      <w:proofErr w:type="spellEnd"/>
      <w:r w:rsidR="001E2C94">
        <w:rPr>
          <w:rFonts w:ascii="Times New Roman" w:hAnsi="Times New Roman"/>
          <w:sz w:val="28"/>
          <w:szCs w:val="28"/>
        </w:rPr>
        <w:t>)(2) (Rev. 2026). In noncapital cases, on the other hand, sentencing allegations need only be filed “[w]</w:t>
      </w:r>
      <w:proofErr w:type="spellStart"/>
      <w:r w:rsidR="001E2C94">
        <w:rPr>
          <w:rFonts w:ascii="Times New Roman" w:hAnsi="Times New Roman"/>
          <w:sz w:val="28"/>
          <w:szCs w:val="28"/>
        </w:rPr>
        <w:t>ithin</w:t>
      </w:r>
      <w:proofErr w:type="spellEnd"/>
      <w:r w:rsidR="001E2C94">
        <w:rPr>
          <w:rFonts w:ascii="Times New Roman" w:hAnsi="Times New Roman"/>
          <w:sz w:val="28"/>
          <w:szCs w:val="28"/>
        </w:rPr>
        <w:t xml:space="preserve"> the limits of Rule 16.1(b),” i.e., 20 days before trial.</w:t>
      </w:r>
      <w:r w:rsidR="00077B9A">
        <w:rPr>
          <w:rFonts w:ascii="Times New Roman" w:hAnsi="Times New Roman"/>
          <w:sz w:val="28"/>
          <w:szCs w:val="28"/>
        </w:rPr>
        <w:t xml:space="preserve"> This </w:t>
      </w:r>
      <w:r w:rsidR="00EA0748">
        <w:rPr>
          <w:rFonts w:ascii="Times New Roman" w:hAnsi="Times New Roman"/>
          <w:sz w:val="28"/>
          <w:szCs w:val="28"/>
        </w:rPr>
        <w:t>appears to be</w:t>
      </w:r>
      <w:r w:rsidR="00077B9A">
        <w:rPr>
          <w:rFonts w:ascii="Times New Roman" w:hAnsi="Times New Roman"/>
          <w:sz w:val="28"/>
          <w:szCs w:val="28"/>
        </w:rPr>
        <w:t xml:space="preserve"> the only reason why capital aggravators and noncapital sentencing allegations are separated in Rule 13.5.</w:t>
      </w:r>
      <w:r w:rsidR="00766795">
        <w:rPr>
          <w:rStyle w:val="FootnoteReference"/>
          <w:rFonts w:ascii="Times New Roman" w:hAnsi="Times New Roman"/>
          <w:sz w:val="28"/>
          <w:szCs w:val="28"/>
        </w:rPr>
        <w:footnoteReference w:id="2"/>
      </w:r>
      <w:r w:rsidR="00EA0748">
        <w:rPr>
          <w:rFonts w:ascii="Times New Roman" w:hAnsi="Times New Roman"/>
          <w:sz w:val="28"/>
          <w:szCs w:val="28"/>
        </w:rPr>
        <w:t xml:space="preserve"> As will be discussed later, this can be clarified with minor tweaks to the rule.</w:t>
      </w:r>
    </w:p>
    <w:p w14:paraId="5A4013DC" w14:textId="48D89566" w:rsidR="00077B9A" w:rsidRDefault="0084757D" w:rsidP="008C1CCA">
      <w:pPr>
        <w:spacing w:line="480" w:lineRule="auto"/>
        <w:ind w:firstLine="720"/>
        <w:jc w:val="both"/>
        <w:rPr>
          <w:rFonts w:ascii="Times New Roman" w:hAnsi="Times New Roman"/>
          <w:sz w:val="28"/>
          <w:szCs w:val="28"/>
        </w:rPr>
      </w:pPr>
      <w:r>
        <w:rPr>
          <w:rFonts w:ascii="Times New Roman" w:hAnsi="Times New Roman"/>
          <w:sz w:val="28"/>
          <w:szCs w:val="28"/>
        </w:rPr>
        <w:t>Many</w:t>
      </w:r>
      <w:r w:rsidR="00077B9A">
        <w:rPr>
          <w:rFonts w:ascii="Times New Roman" w:hAnsi="Times New Roman"/>
          <w:sz w:val="28"/>
          <w:szCs w:val="28"/>
        </w:rPr>
        <w:t xml:space="preserve"> of the 2002 rule changes are specific to capital cases. Because the jury would now </w:t>
      </w:r>
      <w:r w:rsidR="00E40D80">
        <w:rPr>
          <w:rFonts w:ascii="Times New Roman" w:hAnsi="Times New Roman"/>
          <w:sz w:val="28"/>
          <w:szCs w:val="28"/>
        </w:rPr>
        <w:t>decide the life-or-death</w:t>
      </w:r>
      <w:r w:rsidR="00077B9A" w:rsidRPr="008109BB">
        <w:rPr>
          <w:rFonts w:ascii="Times New Roman" w:hAnsi="Times New Roman"/>
          <w:sz w:val="28"/>
          <w:szCs w:val="28"/>
        </w:rPr>
        <w:t xml:space="preserve"> sentence</w:t>
      </w:r>
      <w:r w:rsidR="00077B9A">
        <w:rPr>
          <w:rFonts w:ascii="Times New Roman" w:hAnsi="Times New Roman"/>
          <w:sz w:val="28"/>
          <w:szCs w:val="28"/>
        </w:rPr>
        <w:t xml:space="preserve">, mitigation would have to be complete prior to trial, as opposed to the former practice of trying guilt to the jury and then permitting the defense to conduct the mitigation investigation after the jury returns a verdict. Petition Attachment B at </w:t>
      </w:r>
      <w:r w:rsidR="00A12B3A">
        <w:rPr>
          <w:rFonts w:ascii="Times New Roman" w:hAnsi="Times New Roman"/>
          <w:sz w:val="28"/>
          <w:szCs w:val="28"/>
        </w:rPr>
        <w:t>2-3.</w:t>
      </w:r>
      <w:r>
        <w:rPr>
          <w:rFonts w:ascii="Times New Roman" w:hAnsi="Times New Roman"/>
          <w:sz w:val="28"/>
          <w:szCs w:val="28"/>
        </w:rPr>
        <w:t xml:space="preserve"> But the petition did not use different language when defining the scope of </w:t>
      </w:r>
      <w:r w:rsidR="00BB7100">
        <w:rPr>
          <w:rFonts w:ascii="Times New Roman" w:hAnsi="Times New Roman"/>
          <w:sz w:val="28"/>
          <w:szCs w:val="28"/>
        </w:rPr>
        <w:t>such challenges in capital versus noncapital cases. W</w:t>
      </w:r>
      <w:r>
        <w:rPr>
          <w:rFonts w:ascii="Times New Roman" w:hAnsi="Times New Roman"/>
          <w:sz w:val="28"/>
          <w:szCs w:val="28"/>
        </w:rPr>
        <w:t xml:space="preserve">hen this Court amended Rule 13.5 and provided equal opportunity to </w:t>
      </w:r>
      <w:r>
        <w:rPr>
          <w:rFonts w:ascii="Times New Roman" w:hAnsi="Times New Roman"/>
          <w:sz w:val="28"/>
          <w:szCs w:val="28"/>
        </w:rPr>
        <w:lastRenderedPageBreak/>
        <w:t xml:space="preserve">challenge capital aggravators and noncapital sentence allegations the same, it meant what it said. </w:t>
      </w:r>
      <w:r w:rsidRPr="0084757D">
        <w:rPr>
          <w:rFonts w:ascii="Times New Roman" w:hAnsi="Times New Roman"/>
          <w:i/>
          <w:iCs/>
          <w:sz w:val="28"/>
          <w:szCs w:val="28"/>
        </w:rPr>
        <w:t>See State v. Serrato</w:t>
      </w:r>
      <w:r>
        <w:rPr>
          <w:rFonts w:ascii="Times New Roman" w:hAnsi="Times New Roman"/>
          <w:sz w:val="28"/>
          <w:szCs w:val="28"/>
        </w:rPr>
        <w:t>, 259 Ariz. 493, 496 ¶ 9 (2025) (“When interpreting statutes, this Court starts with the text.”). “</w:t>
      </w:r>
      <w:r w:rsidRPr="0084757D">
        <w:rPr>
          <w:rFonts w:ascii="Times New Roman" w:hAnsi="Times New Roman"/>
          <w:sz w:val="28"/>
          <w:szCs w:val="28"/>
        </w:rPr>
        <w:t>When the text is clear and unambiguous, we apply the plain meaning and our inquiry ends.</w:t>
      </w:r>
      <w:r>
        <w:rPr>
          <w:rFonts w:ascii="Times New Roman" w:hAnsi="Times New Roman"/>
          <w:sz w:val="28"/>
          <w:szCs w:val="28"/>
        </w:rPr>
        <w:t xml:space="preserve">” </w:t>
      </w:r>
      <w:r w:rsidRPr="0084757D">
        <w:rPr>
          <w:rFonts w:ascii="Times New Roman" w:hAnsi="Times New Roman"/>
          <w:i/>
          <w:iCs/>
          <w:sz w:val="28"/>
          <w:szCs w:val="28"/>
        </w:rPr>
        <w:t>State v. Burbey</w:t>
      </w:r>
      <w:r>
        <w:rPr>
          <w:rFonts w:ascii="Times New Roman" w:hAnsi="Times New Roman"/>
          <w:sz w:val="28"/>
          <w:szCs w:val="28"/>
        </w:rPr>
        <w:t xml:space="preserve">, 243 Ariz. 145, 147 ¶ 7 (2017). </w:t>
      </w:r>
      <w:proofErr w:type="gramStart"/>
      <w:r w:rsidR="00BB7100">
        <w:rPr>
          <w:rFonts w:ascii="Times New Roman" w:hAnsi="Times New Roman"/>
          <w:sz w:val="28"/>
          <w:szCs w:val="28"/>
        </w:rPr>
        <w:t>Petitioner’s</w:t>
      </w:r>
      <w:proofErr w:type="gramEnd"/>
      <w:r w:rsidR="00BB7100">
        <w:rPr>
          <w:rFonts w:ascii="Times New Roman" w:hAnsi="Times New Roman"/>
          <w:sz w:val="28"/>
          <w:szCs w:val="28"/>
        </w:rPr>
        <w:t xml:space="preserve"> plea to ignore the text in favor of legislative history fails not only as a matter of textualism, but also because the 2002 petition reveals no such desire.</w:t>
      </w:r>
    </w:p>
    <w:p w14:paraId="29B7B213" w14:textId="7969A9D6" w:rsidR="008C1CCA" w:rsidRDefault="00766795" w:rsidP="008C1CCA">
      <w:pPr>
        <w:spacing w:line="480" w:lineRule="auto"/>
        <w:ind w:firstLine="720"/>
        <w:jc w:val="both"/>
        <w:rPr>
          <w:rFonts w:ascii="Times New Roman" w:hAnsi="Times New Roman"/>
          <w:sz w:val="28"/>
          <w:szCs w:val="28"/>
        </w:rPr>
      </w:pPr>
      <w:r>
        <w:rPr>
          <w:rFonts w:ascii="Times New Roman" w:hAnsi="Times New Roman"/>
          <w:sz w:val="28"/>
          <w:szCs w:val="28"/>
        </w:rPr>
        <w:t>Finally, Petitioner ignores that in 2016-</w:t>
      </w:r>
      <w:r w:rsidR="00734E90">
        <w:rPr>
          <w:rFonts w:ascii="Times New Roman" w:hAnsi="Times New Roman"/>
          <w:sz w:val="28"/>
          <w:szCs w:val="28"/>
        </w:rPr>
        <w:t>20</w:t>
      </w:r>
      <w:r>
        <w:rPr>
          <w:rFonts w:ascii="Times New Roman" w:hAnsi="Times New Roman"/>
          <w:sz w:val="28"/>
          <w:szCs w:val="28"/>
        </w:rPr>
        <w:t xml:space="preserve">17, this Court’s Criminal Rules Task Force overhauled the criminal rules, and although most changes to the rules were stylistic, some were substantive. Relevant to this discussion, the Task Force recommended merging Rules 13.5(a) &amp; (d) so that (a) would </w:t>
      </w:r>
      <w:r w:rsidR="005007C0">
        <w:rPr>
          <w:rFonts w:ascii="Times New Roman" w:hAnsi="Times New Roman"/>
          <w:sz w:val="28"/>
          <w:szCs w:val="28"/>
        </w:rPr>
        <w:t>more clearly track</w:t>
      </w:r>
      <w:r>
        <w:rPr>
          <w:rFonts w:ascii="Times New Roman" w:hAnsi="Times New Roman"/>
          <w:sz w:val="28"/>
          <w:szCs w:val="28"/>
        </w:rPr>
        <w:t xml:space="preserve"> (c).</w:t>
      </w:r>
      <w:r>
        <w:rPr>
          <w:rStyle w:val="FootnoteReference"/>
          <w:rFonts w:ascii="Times New Roman" w:hAnsi="Times New Roman"/>
          <w:sz w:val="28"/>
          <w:szCs w:val="28"/>
        </w:rPr>
        <w:footnoteReference w:id="3"/>
      </w:r>
      <w:r>
        <w:rPr>
          <w:rFonts w:ascii="Times New Roman" w:hAnsi="Times New Roman"/>
          <w:sz w:val="28"/>
          <w:szCs w:val="28"/>
        </w:rPr>
        <w:t xml:space="preserve"> This Court adopted that change.</w:t>
      </w:r>
      <w:r w:rsidR="005007C0">
        <w:rPr>
          <w:rFonts w:ascii="Times New Roman" w:hAnsi="Times New Roman"/>
          <w:sz w:val="28"/>
          <w:szCs w:val="28"/>
        </w:rPr>
        <w:t xml:space="preserve"> At the time of the rule change petition, the Task Force was familiar with </w:t>
      </w:r>
      <w:r w:rsidR="005007C0" w:rsidRPr="005007C0">
        <w:rPr>
          <w:rFonts w:ascii="Times New Roman" w:hAnsi="Times New Roman"/>
          <w:i/>
          <w:iCs/>
          <w:sz w:val="28"/>
          <w:szCs w:val="28"/>
        </w:rPr>
        <w:t>Chronis</w:t>
      </w:r>
      <w:r w:rsidR="005007C0">
        <w:rPr>
          <w:rFonts w:ascii="Times New Roman" w:hAnsi="Times New Roman"/>
          <w:sz w:val="28"/>
          <w:szCs w:val="28"/>
        </w:rPr>
        <w:t xml:space="preserve">, </w:t>
      </w:r>
      <w:r w:rsidR="005007C0" w:rsidRPr="005007C0">
        <w:rPr>
          <w:rFonts w:ascii="Times New Roman" w:hAnsi="Times New Roman"/>
          <w:i/>
          <w:iCs/>
          <w:sz w:val="28"/>
          <w:szCs w:val="28"/>
        </w:rPr>
        <w:t>Sanchez v. Ainley</w:t>
      </w:r>
      <w:r w:rsidR="005007C0">
        <w:rPr>
          <w:rFonts w:ascii="Times New Roman" w:hAnsi="Times New Roman"/>
          <w:sz w:val="28"/>
          <w:szCs w:val="28"/>
        </w:rPr>
        <w:t xml:space="preserve">, 234 Ariz. 250 (2014), and </w:t>
      </w:r>
      <w:r w:rsidR="005007C0" w:rsidRPr="00572716">
        <w:rPr>
          <w:rFonts w:ascii="Times New Roman" w:hAnsi="Times New Roman"/>
          <w:i/>
          <w:iCs/>
          <w:sz w:val="28"/>
          <w:szCs w:val="28"/>
        </w:rPr>
        <w:t>Allen v. Sanders</w:t>
      </w:r>
      <w:r w:rsidR="005007C0">
        <w:rPr>
          <w:rFonts w:ascii="Times New Roman" w:hAnsi="Times New Roman"/>
          <w:sz w:val="28"/>
          <w:szCs w:val="28"/>
        </w:rPr>
        <w:t>, 240 Ariz. 569 (2016). None of the Task Force materials or the comments to the rule change petition voiced any concern about treating capital and noncapital sentencing allegations the same.</w:t>
      </w:r>
    </w:p>
    <w:p w14:paraId="7BA9F498" w14:textId="77777777" w:rsidR="00E40D80" w:rsidRPr="008C1CCA" w:rsidRDefault="00E40D80" w:rsidP="008C1CCA">
      <w:pPr>
        <w:spacing w:line="480" w:lineRule="auto"/>
        <w:ind w:firstLine="720"/>
        <w:jc w:val="both"/>
        <w:rPr>
          <w:rFonts w:ascii="Times New Roman" w:hAnsi="Times New Roman"/>
          <w:sz w:val="28"/>
          <w:szCs w:val="28"/>
        </w:rPr>
      </w:pPr>
    </w:p>
    <w:p w14:paraId="7DB9DFB1" w14:textId="579D3597" w:rsidR="008C1CCA" w:rsidRPr="008C1CCA" w:rsidRDefault="008C1CCA" w:rsidP="008C1CCA">
      <w:pPr>
        <w:pStyle w:val="ListParagraph"/>
        <w:numPr>
          <w:ilvl w:val="0"/>
          <w:numId w:val="28"/>
        </w:numPr>
        <w:spacing w:line="240" w:lineRule="auto"/>
        <w:ind w:left="720"/>
        <w:jc w:val="both"/>
        <w:rPr>
          <w:rFonts w:ascii="Times New Roman" w:hAnsi="Times New Roman"/>
          <w:b/>
          <w:bCs/>
          <w:sz w:val="28"/>
          <w:szCs w:val="28"/>
        </w:rPr>
      </w:pPr>
      <w:r>
        <w:rPr>
          <w:rFonts w:ascii="Times New Roman" w:hAnsi="Times New Roman"/>
          <w:b/>
          <w:bCs/>
          <w:sz w:val="28"/>
          <w:szCs w:val="28"/>
        </w:rPr>
        <w:lastRenderedPageBreak/>
        <w:t xml:space="preserve">Rule 13.5 </w:t>
      </w:r>
      <w:r w:rsidR="00FF3145">
        <w:rPr>
          <w:rFonts w:ascii="Times New Roman" w:hAnsi="Times New Roman"/>
          <w:b/>
          <w:bCs/>
          <w:sz w:val="28"/>
          <w:szCs w:val="28"/>
        </w:rPr>
        <w:t>serves the same important purpose in capital and noncapital cases alike</w:t>
      </w:r>
      <w:r>
        <w:rPr>
          <w:rFonts w:ascii="Times New Roman" w:hAnsi="Times New Roman"/>
          <w:b/>
          <w:bCs/>
          <w:sz w:val="28"/>
          <w:szCs w:val="28"/>
        </w:rPr>
        <w:t>.</w:t>
      </w:r>
    </w:p>
    <w:p w14:paraId="3561F166" w14:textId="77777777" w:rsidR="008C1CCA" w:rsidRDefault="008C1CCA" w:rsidP="008C1CCA">
      <w:pPr>
        <w:spacing w:line="240" w:lineRule="auto"/>
        <w:ind w:firstLine="720"/>
        <w:jc w:val="both"/>
        <w:rPr>
          <w:rFonts w:ascii="Times New Roman" w:hAnsi="Times New Roman"/>
          <w:sz w:val="28"/>
          <w:szCs w:val="28"/>
        </w:rPr>
      </w:pPr>
    </w:p>
    <w:p w14:paraId="069D507D" w14:textId="359B377D" w:rsidR="00AB1F6C" w:rsidRPr="00D76829" w:rsidRDefault="00AB1F6C" w:rsidP="00AB1F6C">
      <w:pPr>
        <w:pStyle w:val="ListParagraph"/>
        <w:numPr>
          <w:ilvl w:val="0"/>
          <w:numId w:val="30"/>
        </w:numPr>
        <w:spacing w:line="480" w:lineRule="auto"/>
        <w:jc w:val="both"/>
        <w:rPr>
          <w:rFonts w:ascii="Times New Roman" w:hAnsi="Times New Roman"/>
          <w:sz w:val="28"/>
          <w:szCs w:val="28"/>
        </w:rPr>
      </w:pPr>
      <w:r w:rsidRPr="0011537F">
        <w:rPr>
          <w:rFonts w:ascii="Times New Roman" w:hAnsi="Times New Roman"/>
          <w:sz w:val="28"/>
          <w:szCs w:val="28"/>
        </w:rPr>
        <w:t xml:space="preserve">The rationale of </w:t>
      </w:r>
      <w:r w:rsidRPr="0011537F">
        <w:rPr>
          <w:rFonts w:ascii="Times New Roman" w:hAnsi="Times New Roman"/>
          <w:i/>
          <w:iCs/>
          <w:sz w:val="28"/>
          <w:szCs w:val="28"/>
        </w:rPr>
        <w:t>Chronis</w:t>
      </w:r>
      <w:r w:rsidRPr="00D76829">
        <w:rPr>
          <w:rFonts w:ascii="Times New Roman" w:hAnsi="Times New Roman"/>
          <w:sz w:val="28"/>
          <w:szCs w:val="28"/>
        </w:rPr>
        <w:t xml:space="preserve"> is </w:t>
      </w:r>
      <w:r>
        <w:rPr>
          <w:rFonts w:ascii="Times New Roman" w:hAnsi="Times New Roman"/>
          <w:sz w:val="28"/>
          <w:szCs w:val="28"/>
        </w:rPr>
        <w:t>no less applicable in noncapital cases</w:t>
      </w:r>
      <w:r w:rsidRPr="00D76829">
        <w:rPr>
          <w:rFonts w:ascii="Times New Roman" w:hAnsi="Times New Roman"/>
          <w:sz w:val="28"/>
          <w:szCs w:val="28"/>
        </w:rPr>
        <w:t>.</w:t>
      </w:r>
    </w:p>
    <w:p w14:paraId="6DBD86EE" w14:textId="6357742F" w:rsidR="008C1CCA" w:rsidRDefault="00BB7100" w:rsidP="008C1CCA">
      <w:pPr>
        <w:spacing w:line="480" w:lineRule="auto"/>
        <w:ind w:firstLine="720"/>
        <w:jc w:val="both"/>
        <w:rPr>
          <w:rFonts w:ascii="Times New Roman" w:hAnsi="Times New Roman"/>
          <w:sz w:val="28"/>
          <w:szCs w:val="28"/>
        </w:rPr>
      </w:pPr>
      <w:proofErr w:type="gramStart"/>
      <w:r>
        <w:rPr>
          <w:rFonts w:ascii="Times New Roman" w:hAnsi="Times New Roman"/>
          <w:sz w:val="28"/>
          <w:szCs w:val="28"/>
        </w:rPr>
        <w:t>Petitioner is</w:t>
      </w:r>
      <w:proofErr w:type="gramEnd"/>
      <w:r>
        <w:rPr>
          <w:rFonts w:ascii="Times New Roman" w:hAnsi="Times New Roman"/>
          <w:sz w:val="28"/>
          <w:szCs w:val="28"/>
        </w:rPr>
        <w:t xml:space="preserve"> correct </w:t>
      </w:r>
      <w:r w:rsidR="0043487D">
        <w:rPr>
          <w:rFonts w:ascii="Times New Roman" w:hAnsi="Times New Roman"/>
          <w:sz w:val="28"/>
          <w:szCs w:val="28"/>
        </w:rPr>
        <w:t>that</w:t>
      </w:r>
      <w:r>
        <w:rPr>
          <w:rFonts w:ascii="Times New Roman" w:hAnsi="Times New Roman"/>
          <w:sz w:val="28"/>
          <w:szCs w:val="28"/>
        </w:rPr>
        <w:t xml:space="preserve"> </w:t>
      </w:r>
      <w:r w:rsidRPr="00BB7100">
        <w:rPr>
          <w:rFonts w:ascii="Times New Roman" w:hAnsi="Times New Roman"/>
          <w:i/>
          <w:iCs/>
          <w:sz w:val="28"/>
          <w:szCs w:val="28"/>
        </w:rPr>
        <w:t>McKaney</w:t>
      </w:r>
      <w:r>
        <w:rPr>
          <w:rFonts w:ascii="Times New Roman" w:hAnsi="Times New Roman"/>
          <w:sz w:val="28"/>
          <w:szCs w:val="28"/>
        </w:rPr>
        <w:t xml:space="preserve"> </w:t>
      </w:r>
      <w:r w:rsidR="0043487D">
        <w:rPr>
          <w:rFonts w:ascii="Times New Roman" w:hAnsi="Times New Roman"/>
          <w:sz w:val="28"/>
          <w:szCs w:val="28"/>
        </w:rPr>
        <w:t>held</w:t>
      </w:r>
      <w:r>
        <w:rPr>
          <w:rFonts w:ascii="Times New Roman" w:hAnsi="Times New Roman"/>
          <w:sz w:val="28"/>
          <w:szCs w:val="28"/>
        </w:rPr>
        <w:t xml:space="preserve"> Arizona does not recognize a constitutional guarantee to a probable cause finding of </w:t>
      </w:r>
      <w:r w:rsidR="0043487D">
        <w:rPr>
          <w:rFonts w:ascii="Times New Roman" w:hAnsi="Times New Roman"/>
          <w:sz w:val="28"/>
          <w:szCs w:val="28"/>
        </w:rPr>
        <w:t xml:space="preserve">capital </w:t>
      </w:r>
      <w:r>
        <w:rPr>
          <w:rFonts w:ascii="Times New Roman" w:hAnsi="Times New Roman"/>
          <w:sz w:val="28"/>
          <w:szCs w:val="28"/>
        </w:rPr>
        <w:t xml:space="preserve">aggravating factors. Petition at 7 (citing </w:t>
      </w:r>
      <w:r w:rsidRPr="00BB7100">
        <w:rPr>
          <w:rFonts w:ascii="Times New Roman" w:hAnsi="Times New Roman"/>
          <w:i/>
          <w:iCs/>
          <w:sz w:val="28"/>
          <w:szCs w:val="28"/>
        </w:rPr>
        <w:t>McKaney</w:t>
      </w:r>
      <w:r>
        <w:rPr>
          <w:rFonts w:ascii="Times New Roman" w:hAnsi="Times New Roman"/>
          <w:sz w:val="28"/>
          <w:szCs w:val="28"/>
        </w:rPr>
        <w:t>, 209 Ariz. at 270-73 ¶¶ 9-22).</w:t>
      </w:r>
      <w:r w:rsidR="009821ED">
        <w:rPr>
          <w:rFonts w:ascii="Times New Roman" w:hAnsi="Times New Roman"/>
          <w:sz w:val="28"/>
          <w:szCs w:val="28"/>
        </w:rPr>
        <w:t xml:space="preserve"> This Court did not see the need to revisit this conclusion in </w:t>
      </w:r>
      <w:r w:rsidR="009821ED" w:rsidRPr="009821ED">
        <w:rPr>
          <w:rFonts w:ascii="Times New Roman" w:hAnsi="Times New Roman"/>
          <w:i/>
          <w:iCs/>
          <w:sz w:val="28"/>
          <w:szCs w:val="28"/>
        </w:rPr>
        <w:t>Chronis</w:t>
      </w:r>
      <w:r w:rsidR="009821ED">
        <w:rPr>
          <w:rFonts w:ascii="Times New Roman" w:hAnsi="Times New Roman"/>
          <w:sz w:val="28"/>
          <w:szCs w:val="28"/>
        </w:rPr>
        <w:t>, because it adopted the reasoning of the partially dissenting justices in that case as allowing a probable-cause hearing under Rule 13.5.</w:t>
      </w:r>
      <w:r w:rsidR="00905A61">
        <w:rPr>
          <w:rFonts w:ascii="Times New Roman" w:hAnsi="Times New Roman"/>
          <w:sz w:val="28"/>
          <w:szCs w:val="28"/>
        </w:rPr>
        <w:t xml:space="preserve"> </w:t>
      </w:r>
      <w:r w:rsidR="009821ED">
        <w:rPr>
          <w:rFonts w:ascii="Times New Roman" w:hAnsi="Times New Roman"/>
          <w:sz w:val="28"/>
          <w:szCs w:val="28"/>
        </w:rPr>
        <w:t xml:space="preserve">220 Ariz. at 562 ¶¶ 16-17. </w:t>
      </w:r>
      <w:r w:rsidR="0043487D">
        <w:rPr>
          <w:rFonts w:ascii="Times New Roman" w:hAnsi="Times New Roman"/>
          <w:sz w:val="28"/>
          <w:szCs w:val="28"/>
        </w:rPr>
        <w:t xml:space="preserve">Petitioner </w:t>
      </w:r>
      <w:r w:rsidR="009821ED">
        <w:rPr>
          <w:rFonts w:ascii="Times New Roman" w:hAnsi="Times New Roman"/>
          <w:sz w:val="28"/>
          <w:szCs w:val="28"/>
        </w:rPr>
        <w:t>reads</w:t>
      </w:r>
      <w:r w:rsidR="0043487D">
        <w:rPr>
          <w:rFonts w:ascii="Times New Roman" w:hAnsi="Times New Roman"/>
          <w:sz w:val="28"/>
          <w:szCs w:val="28"/>
        </w:rPr>
        <w:t xml:space="preserve"> th</w:t>
      </w:r>
      <w:r w:rsidR="009821ED">
        <w:rPr>
          <w:rFonts w:ascii="Times New Roman" w:hAnsi="Times New Roman"/>
          <w:sz w:val="28"/>
          <w:szCs w:val="28"/>
        </w:rPr>
        <w:t>e</w:t>
      </w:r>
      <w:r w:rsidR="0043487D">
        <w:rPr>
          <w:rFonts w:ascii="Times New Roman" w:hAnsi="Times New Roman"/>
          <w:sz w:val="28"/>
          <w:szCs w:val="28"/>
        </w:rPr>
        <w:t>s</w:t>
      </w:r>
      <w:r w:rsidR="009821ED">
        <w:rPr>
          <w:rFonts w:ascii="Times New Roman" w:hAnsi="Times New Roman"/>
          <w:sz w:val="28"/>
          <w:szCs w:val="28"/>
        </w:rPr>
        <w:t>e cases</w:t>
      </w:r>
      <w:r w:rsidR="0043487D">
        <w:rPr>
          <w:rFonts w:ascii="Times New Roman" w:hAnsi="Times New Roman"/>
          <w:sz w:val="28"/>
          <w:szCs w:val="28"/>
        </w:rPr>
        <w:t xml:space="preserve"> to mean that not only are the rights established in Rule 13.5(c) “judicially created,” but also that no such rights extend to noncapital cases. This is a leap of logic.</w:t>
      </w:r>
    </w:p>
    <w:p w14:paraId="1F45054B" w14:textId="6A39D0A0" w:rsidR="009821ED" w:rsidRDefault="009821ED" w:rsidP="008C1CCA">
      <w:pPr>
        <w:spacing w:line="480" w:lineRule="auto"/>
        <w:ind w:firstLine="720"/>
        <w:jc w:val="both"/>
        <w:rPr>
          <w:rFonts w:ascii="Times New Roman" w:hAnsi="Times New Roman"/>
          <w:sz w:val="28"/>
          <w:szCs w:val="28"/>
        </w:rPr>
      </w:pPr>
      <w:r>
        <w:rPr>
          <w:rFonts w:ascii="Times New Roman" w:hAnsi="Times New Roman"/>
          <w:sz w:val="28"/>
          <w:szCs w:val="28"/>
        </w:rPr>
        <w:t xml:space="preserve">Rule 13.5 serves to protect important constitutional rights. True, not every word of the rule is constitutionally mandated, and this Court has previously used the word “prophylactic” to distinguish the protections afforded by the constitution and the rule in the context of notice. </w:t>
      </w:r>
      <w:r w:rsidRPr="009821ED">
        <w:rPr>
          <w:rFonts w:ascii="Times New Roman" w:hAnsi="Times New Roman"/>
          <w:i/>
          <w:iCs/>
          <w:sz w:val="28"/>
          <w:szCs w:val="28"/>
        </w:rPr>
        <w:t>State v. Freeney</w:t>
      </w:r>
      <w:r>
        <w:rPr>
          <w:rFonts w:ascii="Times New Roman" w:hAnsi="Times New Roman"/>
          <w:sz w:val="28"/>
          <w:szCs w:val="28"/>
        </w:rPr>
        <w:t>, 223 Ariz. 110, 114 ¶¶ 24-26 (2009). Treating the rule as merely “judicially created,” however, runs the risk of ignoring the constitutional rights that the rule is designed to protect.</w:t>
      </w:r>
    </w:p>
    <w:p w14:paraId="2CE3564E" w14:textId="0D6B32A6" w:rsidR="00027F2F" w:rsidRDefault="0043487D" w:rsidP="008C1CCA">
      <w:pPr>
        <w:spacing w:line="480" w:lineRule="auto"/>
        <w:ind w:firstLine="720"/>
        <w:jc w:val="both"/>
        <w:rPr>
          <w:rFonts w:ascii="Times New Roman" w:hAnsi="Times New Roman"/>
          <w:sz w:val="28"/>
          <w:szCs w:val="28"/>
        </w:rPr>
      </w:pPr>
      <w:r>
        <w:rPr>
          <w:rFonts w:ascii="Times New Roman" w:hAnsi="Times New Roman"/>
          <w:sz w:val="28"/>
          <w:szCs w:val="28"/>
        </w:rPr>
        <w:t xml:space="preserve">Petitioner first argues that Rule 13.5(a) is restricted to preserving the right to notice, because that was the issue in </w:t>
      </w:r>
      <w:r w:rsidRPr="0043487D">
        <w:rPr>
          <w:rFonts w:ascii="Times New Roman" w:hAnsi="Times New Roman"/>
          <w:i/>
          <w:iCs/>
          <w:sz w:val="28"/>
          <w:szCs w:val="28"/>
        </w:rPr>
        <w:t>State v. Nichols</w:t>
      </w:r>
      <w:r>
        <w:rPr>
          <w:rFonts w:ascii="Times New Roman" w:hAnsi="Times New Roman"/>
          <w:sz w:val="28"/>
          <w:szCs w:val="28"/>
        </w:rPr>
        <w:t xml:space="preserve">, 201 Ariz. 234 (App. 2001), and </w:t>
      </w:r>
      <w:r w:rsidRPr="0043487D">
        <w:rPr>
          <w:rFonts w:ascii="Times New Roman" w:hAnsi="Times New Roman"/>
          <w:i/>
          <w:iCs/>
          <w:sz w:val="28"/>
          <w:szCs w:val="28"/>
        </w:rPr>
        <w:t>State ex rel. Smith v. Conn</w:t>
      </w:r>
      <w:r>
        <w:rPr>
          <w:rFonts w:ascii="Times New Roman" w:hAnsi="Times New Roman"/>
          <w:sz w:val="28"/>
          <w:szCs w:val="28"/>
        </w:rPr>
        <w:t xml:space="preserve">, 209 Ariz. 195 (App. 2004). </w:t>
      </w:r>
      <w:r w:rsidR="00027F2F">
        <w:rPr>
          <w:rFonts w:ascii="Times New Roman" w:hAnsi="Times New Roman"/>
          <w:sz w:val="28"/>
          <w:szCs w:val="28"/>
        </w:rPr>
        <w:t>But p</w:t>
      </w:r>
      <w:r>
        <w:rPr>
          <w:rFonts w:ascii="Times New Roman" w:hAnsi="Times New Roman"/>
          <w:sz w:val="28"/>
          <w:szCs w:val="28"/>
        </w:rPr>
        <w:t xml:space="preserve">retrial notice of sentencing allegations was also </w:t>
      </w:r>
      <w:r w:rsidR="00027F2F">
        <w:rPr>
          <w:rFonts w:ascii="Times New Roman" w:hAnsi="Times New Roman"/>
          <w:sz w:val="28"/>
          <w:szCs w:val="28"/>
        </w:rPr>
        <w:t>required</w:t>
      </w:r>
      <w:r>
        <w:rPr>
          <w:rFonts w:ascii="Times New Roman" w:hAnsi="Times New Roman"/>
          <w:sz w:val="28"/>
          <w:szCs w:val="28"/>
        </w:rPr>
        <w:t xml:space="preserve"> prior to </w:t>
      </w:r>
      <w:r w:rsidRPr="0043487D">
        <w:rPr>
          <w:rFonts w:ascii="Times New Roman" w:hAnsi="Times New Roman"/>
          <w:i/>
          <w:iCs/>
          <w:sz w:val="28"/>
          <w:szCs w:val="28"/>
        </w:rPr>
        <w:t>Apprendi</w:t>
      </w:r>
      <w:r>
        <w:rPr>
          <w:rFonts w:ascii="Times New Roman" w:hAnsi="Times New Roman"/>
          <w:sz w:val="28"/>
          <w:szCs w:val="28"/>
        </w:rPr>
        <w:t xml:space="preserve">. </w:t>
      </w:r>
      <w:r w:rsidRPr="0043487D">
        <w:rPr>
          <w:rFonts w:ascii="Times New Roman" w:hAnsi="Times New Roman"/>
          <w:i/>
          <w:iCs/>
          <w:sz w:val="28"/>
          <w:szCs w:val="28"/>
        </w:rPr>
        <w:t>State v. Waggoner</w:t>
      </w:r>
      <w:r>
        <w:rPr>
          <w:rFonts w:ascii="Times New Roman" w:hAnsi="Times New Roman"/>
          <w:sz w:val="28"/>
          <w:szCs w:val="28"/>
        </w:rPr>
        <w:t xml:space="preserve">, 144 </w:t>
      </w:r>
      <w:r>
        <w:rPr>
          <w:rFonts w:ascii="Times New Roman" w:hAnsi="Times New Roman"/>
          <w:sz w:val="28"/>
          <w:szCs w:val="28"/>
        </w:rPr>
        <w:lastRenderedPageBreak/>
        <w:t xml:space="preserve">Ariz. 237, 238-39 (1985); </w:t>
      </w:r>
      <w:r w:rsidRPr="0043487D">
        <w:rPr>
          <w:rFonts w:ascii="Times New Roman" w:hAnsi="Times New Roman"/>
          <w:i/>
          <w:iCs/>
          <w:sz w:val="28"/>
          <w:szCs w:val="28"/>
        </w:rPr>
        <w:t xml:space="preserve">State v. </w:t>
      </w:r>
      <w:proofErr w:type="spellStart"/>
      <w:r w:rsidRPr="0043487D">
        <w:rPr>
          <w:rFonts w:ascii="Times New Roman" w:hAnsi="Times New Roman"/>
          <w:i/>
          <w:iCs/>
          <w:sz w:val="28"/>
          <w:szCs w:val="28"/>
        </w:rPr>
        <w:t>Guytan</w:t>
      </w:r>
      <w:proofErr w:type="spellEnd"/>
      <w:r>
        <w:rPr>
          <w:rFonts w:ascii="Times New Roman" w:hAnsi="Times New Roman"/>
          <w:sz w:val="28"/>
          <w:szCs w:val="28"/>
        </w:rPr>
        <w:t>, 192 Ariz. 514, 522-23 ¶¶ 31-32 (App. 1998).</w:t>
      </w:r>
      <w:r>
        <w:rPr>
          <w:rStyle w:val="FootnoteReference"/>
          <w:rFonts w:ascii="Times New Roman" w:hAnsi="Times New Roman"/>
          <w:sz w:val="28"/>
          <w:szCs w:val="28"/>
        </w:rPr>
        <w:footnoteReference w:id="4"/>
      </w:r>
      <w:r w:rsidR="00AC5383">
        <w:rPr>
          <w:rFonts w:ascii="Times New Roman" w:hAnsi="Times New Roman"/>
          <w:sz w:val="28"/>
          <w:szCs w:val="28"/>
        </w:rPr>
        <w:t xml:space="preserve"> </w:t>
      </w:r>
      <w:r w:rsidR="00027F2F">
        <w:rPr>
          <w:rFonts w:ascii="Times New Roman" w:hAnsi="Times New Roman"/>
          <w:sz w:val="28"/>
          <w:szCs w:val="28"/>
        </w:rPr>
        <w:t>T</w:t>
      </w:r>
      <w:r w:rsidR="00F600EE">
        <w:rPr>
          <w:rFonts w:ascii="Times New Roman" w:hAnsi="Times New Roman"/>
          <w:sz w:val="28"/>
          <w:szCs w:val="28"/>
        </w:rPr>
        <w:t>hat no appellate decision</w:t>
      </w:r>
      <w:r w:rsidR="00F600EE" w:rsidRPr="00F600EE">
        <w:rPr>
          <w:rFonts w:ascii="Times New Roman" w:hAnsi="Times New Roman"/>
          <w:sz w:val="28"/>
          <w:szCs w:val="28"/>
        </w:rPr>
        <w:t xml:space="preserve"> </w:t>
      </w:r>
      <w:r w:rsidR="00F600EE">
        <w:rPr>
          <w:rFonts w:ascii="Times New Roman" w:hAnsi="Times New Roman"/>
          <w:sz w:val="28"/>
          <w:szCs w:val="28"/>
        </w:rPr>
        <w:t xml:space="preserve">prior to </w:t>
      </w:r>
      <w:r w:rsidR="00F600EE" w:rsidRPr="00AC5383">
        <w:rPr>
          <w:rFonts w:ascii="Times New Roman" w:hAnsi="Times New Roman"/>
          <w:i/>
          <w:iCs/>
          <w:sz w:val="28"/>
          <w:szCs w:val="28"/>
        </w:rPr>
        <w:t>Navarro-Figueroa</w:t>
      </w:r>
      <w:r w:rsidR="00F600EE">
        <w:rPr>
          <w:rFonts w:ascii="Times New Roman" w:hAnsi="Times New Roman"/>
          <w:sz w:val="28"/>
          <w:szCs w:val="28"/>
        </w:rPr>
        <w:t xml:space="preserve"> squarely held that Rule 13.5 provides for a pretrial probable-cause hearing </w:t>
      </w:r>
      <w:r w:rsidR="00AC5383">
        <w:rPr>
          <w:rFonts w:ascii="Times New Roman" w:hAnsi="Times New Roman"/>
          <w:sz w:val="28"/>
          <w:szCs w:val="28"/>
        </w:rPr>
        <w:t xml:space="preserve">is not evidence that </w:t>
      </w:r>
      <w:r w:rsidR="00AC5383" w:rsidRPr="00AC5383">
        <w:rPr>
          <w:rFonts w:ascii="Times New Roman" w:hAnsi="Times New Roman"/>
          <w:i/>
          <w:iCs/>
          <w:sz w:val="28"/>
          <w:szCs w:val="28"/>
        </w:rPr>
        <w:t>Navarro-Figueroa</w:t>
      </w:r>
      <w:r w:rsidR="00AC5383">
        <w:rPr>
          <w:rFonts w:ascii="Times New Roman" w:hAnsi="Times New Roman"/>
          <w:sz w:val="28"/>
          <w:szCs w:val="28"/>
        </w:rPr>
        <w:t xml:space="preserve"> was wrongly decided</w:t>
      </w:r>
      <w:r w:rsidR="00027F2F">
        <w:rPr>
          <w:rFonts w:ascii="Times New Roman" w:hAnsi="Times New Roman"/>
          <w:sz w:val="28"/>
          <w:szCs w:val="28"/>
        </w:rPr>
        <w:t>; otherwise</w:t>
      </w:r>
      <w:r w:rsidR="00F90724">
        <w:rPr>
          <w:rFonts w:ascii="Times New Roman" w:hAnsi="Times New Roman"/>
          <w:sz w:val="28"/>
          <w:szCs w:val="28"/>
        </w:rPr>
        <w:t>,</w:t>
      </w:r>
      <w:r w:rsidR="00027F2F">
        <w:rPr>
          <w:rFonts w:ascii="Times New Roman" w:hAnsi="Times New Roman"/>
          <w:sz w:val="28"/>
          <w:szCs w:val="28"/>
        </w:rPr>
        <w:t xml:space="preserve"> the same could be true of</w:t>
      </w:r>
      <w:r w:rsidR="00AC5383">
        <w:rPr>
          <w:rFonts w:ascii="Times New Roman" w:hAnsi="Times New Roman"/>
          <w:sz w:val="28"/>
          <w:szCs w:val="28"/>
        </w:rPr>
        <w:t xml:space="preserve"> </w:t>
      </w:r>
      <w:r w:rsidR="00AC5383" w:rsidRPr="00AC5383">
        <w:rPr>
          <w:rFonts w:ascii="Times New Roman" w:hAnsi="Times New Roman"/>
          <w:i/>
          <w:iCs/>
          <w:sz w:val="28"/>
          <w:szCs w:val="28"/>
        </w:rPr>
        <w:t>Chronis</w:t>
      </w:r>
      <w:r w:rsidR="00AC5383">
        <w:rPr>
          <w:rFonts w:ascii="Times New Roman" w:hAnsi="Times New Roman"/>
          <w:sz w:val="28"/>
          <w:szCs w:val="28"/>
        </w:rPr>
        <w:t xml:space="preserve">. All that this means is the issue was not litigated in appellate courts. </w:t>
      </w:r>
    </w:p>
    <w:p w14:paraId="73F20EDE" w14:textId="49364C86" w:rsidR="00F600EE" w:rsidRDefault="00AC5383" w:rsidP="008C1CCA">
      <w:pPr>
        <w:spacing w:line="480" w:lineRule="auto"/>
        <w:ind w:firstLine="720"/>
        <w:jc w:val="both"/>
        <w:rPr>
          <w:rFonts w:ascii="Times New Roman" w:hAnsi="Times New Roman"/>
          <w:sz w:val="28"/>
          <w:szCs w:val="28"/>
        </w:rPr>
      </w:pPr>
      <w:r>
        <w:rPr>
          <w:rFonts w:ascii="Times New Roman" w:hAnsi="Times New Roman"/>
          <w:sz w:val="28"/>
          <w:szCs w:val="28"/>
        </w:rPr>
        <w:t>Perhaps</w:t>
      </w:r>
      <w:r w:rsidR="00F90724">
        <w:rPr>
          <w:rFonts w:ascii="Times New Roman" w:hAnsi="Times New Roman"/>
          <w:sz w:val="28"/>
          <w:szCs w:val="28"/>
        </w:rPr>
        <w:t xml:space="preserve"> the issue has not been litigated</w:t>
      </w:r>
      <w:r>
        <w:rPr>
          <w:rFonts w:ascii="Times New Roman" w:hAnsi="Times New Roman"/>
          <w:sz w:val="28"/>
          <w:szCs w:val="28"/>
        </w:rPr>
        <w:t xml:space="preserve"> because other prosecuting agencies have accepted that </w:t>
      </w:r>
      <w:r w:rsidRPr="00AC5383">
        <w:rPr>
          <w:rFonts w:ascii="Times New Roman" w:hAnsi="Times New Roman"/>
          <w:i/>
          <w:iCs/>
          <w:sz w:val="28"/>
          <w:szCs w:val="28"/>
        </w:rPr>
        <w:t>Chronis</w:t>
      </w:r>
      <w:r>
        <w:rPr>
          <w:rFonts w:ascii="Times New Roman" w:hAnsi="Times New Roman"/>
          <w:sz w:val="28"/>
          <w:szCs w:val="28"/>
        </w:rPr>
        <w:t xml:space="preserve"> applies equally in noncapital cases</w:t>
      </w:r>
      <w:r w:rsidR="00027F2F">
        <w:rPr>
          <w:rFonts w:ascii="Times New Roman" w:hAnsi="Times New Roman"/>
          <w:sz w:val="28"/>
          <w:szCs w:val="28"/>
        </w:rPr>
        <w:t>.</w:t>
      </w:r>
      <w:r w:rsidR="0074561A">
        <w:rPr>
          <w:rStyle w:val="FootnoteReference"/>
          <w:rFonts w:ascii="Times New Roman" w:hAnsi="Times New Roman"/>
          <w:sz w:val="28"/>
          <w:szCs w:val="28"/>
        </w:rPr>
        <w:footnoteReference w:id="5"/>
      </w:r>
      <w:r w:rsidR="0074561A">
        <w:rPr>
          <w:rFonts w:ascii="Times New Roman" w:hAnsi="Times New Roman"/>
          <w:sz w:val="28"/>
          <w:szCs w:val="28"/>
        </w:rPr>
        <w:t xml:space="preserve"> Commentators also understand this to be true. </w:t>
      </w:r>
      <w:r w:rsidR="0074561A" w:rsidRPr="0074561A">
        <w:rPr>
          <w:rFonts w:ascii="Times New Roman" w:hAnsi="Times New Roman"/>
          <w:i/>
          <w:iCs/>
          <w:sz w:val="28"/>
          <w:szCs w:val="28"/>
        </w:rPr>
        <w:t>See</w:t>
      </w:r>
      <w:r w:rsidR="0074561A">
        <w:rPr>
          <w:rFonts w:ascii="Times New Roman" w:hAnsi="Times New Roman"/>
          <w:sz w:val="28"/>
          <w:szCs w:val="28"/>
        </w:rPr>
        <w:t xml:space="preserve"> David J. Euchner &amp; Barbara E. Bergman, </w:t>
      </w:r>
      <w:r w:rsidR="0074561A" w:rsidRPr="0074561A">
        <w:rPr>
          <w:rFonts w:ascii="Times New Roman" w:hAnsi="Times New Roman"/>
          <w:smallCaps/>
          <w:sz w:val="28"/>
          <w:szCs w:val="28"/>
        </w:rPr>
        <w:t>Arizona Criminal Practice Manual</w:t>
      </w:r>
      <w:r w:rsidR="0074561A">
        <w:rPr>
          <w:rFonts w:ascii="Times New Roman" w:hAnsi="Times New Roman"/>
          <w:sz w:val="28"/>
          <w:szCs w:val="28"/>
        </w:rPr>
        <w:t>, § 4:6 (2024-25 ed.) (</w:t>
      </w:r>
      <w:r w:rsidR="00027F2F">
        <w:rPr>
          <w:rFonts w:ascii="Times New Roman" w:hAnsi="Times New Roman"/>
          <w:sz w:val="28"/>
          <w:szCs w:val="28"/>
        </w:rPr>
        <w:t>“</w:t>
      </w:r>
      <w:r w:rsidR="0074561A">
        <w:rPr>
          <w:rFonts w:ascii="Times New Roman" w:hAnsi="Times New Roman"/>
          <w:sz w:val="28"/>
          <w:szCs w:val="28"/>
        </w:rPr>
        <w:t xml:space="preserve">Because there is no difference in the language between Rule 13.5(c) and the last sentence of Rule 13.5(a), the </w:t>
      </w:r>
      <w:r w:rsidR="0074561A" w:rsidRPr="00027F2F">
        <w:rPr>
          <w:rFonts w:ascii="Times New Roman" w:hAnsi="Times New Roman"/>
          <w:i/>
          <w:iCs/>
          <w:sz w:val="28"/>
          <w:szCs w:val="28"/>
        </w:rPr>
        <w:t>Chronis</w:t>
      </w:r>
      <w:r w:rsidR="0074561A">
        <w:rPr>
          <w:rFonts w:ascii="Times New Roman" w:hAnsi="Times New Roman"/>
          <w:sz w:val="28"/>
          <w:szCs w:val="28"/>
        </w:rPr>
        <w:t xml:space="preserve"> rule applies equally in noncapital cases.”).</w:t>
      </w:r>
      <w:r w:rsidR="00027F2F">
        <w:rPr>
          <w:rFonts w:ascii="Times New Roman" w:hAnsi="Times New Roman"/>
          <w:sz w:val="28"/>
          <w:szCs w:val="28"/>
        </w:rPr>
        <w:t xml:space="preserve"> Or maybe it is because defense lawyers have neglected </w:t>
      </w:r>
      <w:r w:rsidR="00027F2F" w:rsidRPr="00F90724">
        <w:rPr>
          <w:rFonts w:ascii="Times New Roman" w:hAnsi="Times New Roman"/>
          <w:sz w:val="28"/>
          <w:szCs w:val="28"/>
        </w:rPr>
        <w:t>this opportunity.</w:t>
      </w:r>
      <w:r w:rsidR="00027F2F">
        <w:rPr>
          <w:rFonts w:ascii="Times New Roman" w:hAnsi="Times New Roman"/>
          <w:sz w:val="28"/>
          <w:szCs w:val="28"/>
        </w:rPr>
        <w:t xml:space="preserve"> It is pointless to speculate why it took more than twenty years for this issue to percolate to the appellate courts, just as it is pointless to wonder why </w:t>
      </w:r>
      <w:r w:rsidR="00FF3145">
        <w:rPr>
          <w:rFonts w:ascii="Times New Roman" w:hAnsi="Times New Roman"/>
          <w:sz w:val="28"/>
          <w:szCs w:val="28"/>
        </w:rPr>
        <w:t xml:space="preserve">it took fifteen years for the court of appeals to decide that </w:t>
      </w:r>
      <w:r w:rsidR="00FF3145">
        <w:rPr>
          <w:rFonts w:ascii="Times New Roman" w:hAnsi="Times New Roman"/>
          <w:sz w:val="28"/>
          <w:szCs w:val="28"/>
        </w:rPr>
        <w:lastRenderedPageBreak/>
        <w:t xml:space="preserve">the “offenses committed on different occasions” enhancement required a jury trial. </w:t>
      </w:r>
      <w:r w:rsidR="00FF3145" w:rsidRPr="00FF3145">
        <w:rPr>
          <w:rFonts w:ascii="Times New Roman" w:hAnsi="Times New Roman"/>
          <w:i/>
          <w:iCs/>
          <w:sz w:val="28"/>
          <w:szCs w:val="28"/>
        </w:rPr>
        <w:t>State v. Flores</w:t>
      </w:r>
      <w:r w:rsidR="00FF3145">
        <w:rPr>
          <w:rFonts w:ascii="Times New Roman" w:hAnsi="Times New Roman"/>
          <w:sz w:val="28"/>
          <w:szCs w:val="28"/>
        </w:rPr>
        <w:t xml:space="preserve">, 236 Ariz. 33 (App. 2014) (erroneously holding that the issue was inherent in the verdicts); </w:t>
      </w:r>
      <w:r w:rsidR="00FF3145" w:rsidRPr="00FF3145">
        <w:rPr>
          <w:rFonts w:ascii="Times New Roman" w:hAnsi="Times New Roman"/>
          <w:i/>
          <w:iCs/>
          <w:sz w:val="28"/>
          <w:szCs w:val="28"/>
        </w:rPr>
        <w:t>State v. Ortiz</w:t>
      </w:r>
      <w:r w:rsidR="00FF3145">
        <w:rPr>
          <w:rFonts w:ascii="Times New Roman" w:hAnsi="Times New Roman"/>
          <w:sz w:val="28"/>
          <w:szCs w:val="28"/>
        </w:rPr>
        <w:t>, 238 Ariz. 329, 342-45 ¶¶ 60-71 (App. 2015) (finding error harmless).</w:t>
      </w:r>
      <w:r w:rsidR="00EA0748">
        <w:rPr>
          <w:rFonts w:ascii="Times New Roman" w:hAnsi="Times New Roman"/>
          <w:sz w:val="28"/>
          <w:szCs w:val="28"/>
        </w:rPr>
        <w:t xml:space="preserve"> As the AGO</w:t>
      </w:r>
      <w:r w:rsidR="00C677DE">
        <w:rPr>
          <w:rFonts w:ascii="Times New Roman" w:hAnsi="Times New Roman"/>
          <w:sz w:val="28"/>
          <w:szCs w:val="28"/>
        </w:rPr>
        <w:t xml:space="preserve"> recently</w:t>
      </w:r>
      <w:r w:rsidR="00EA0748">
        <w:rPr>
          <w:rFonts w:ascii="Times New Roman" w:hAnsi="Times New Roman"/>
          <w:sz w:val="28"/>
          <w:szCs w:val="28"/>
        </w:rPr>
        <w:t xml:space="preserve"> pointed out in a comment to a different rule change petition, just because a practice has existed for a long time doesn’t make it right. </w:t>
      </w:r>
      <w:r w:rsidR="00EA0748" w:rsidRPr="00EA0748">
        <w:rPr>
          <w:rFonts w:ascii="Times New Roman" w:hAnsi="Times New Roman"/>
          <w:i/>
          <w:iCs/>
          <w:sz w:val="28"/>
          <w:szCs w:val="28"/>
        </w:rPr>
        <w:t>See</w:t>
      </w:r>
      <w:r w:rsidR="00EA0748">
        <w:rPr>
          <w:rFonts w:ascii="Times New Roman" w:hAnsi="Times New Roman"/>
          <w:sz w:val="28"/>
          <w:szCs w:val="28"/>
        </w:rPr>
        <w:t xml:space="preserve"> </w:t>
      </w:r>
      <w:hyperlink r:id="rId12" w:history="1">
        <w:r w:rsidR="00EA0748" w:rsidRPr="00C677DE">
          <w:rPr>
            <w:rStyle w:val="Hyperlink"/>
            <w:rFonts w:ascii="Times New Roman" w:hAnsi="Times New Roman"/>
            <w:sz w:val="28"/>
            <w:szCs w:val="28"/>
          </w:rPr>
          <w:t>R-26-0024</w:t>
        </w:r>
      </w:hyperlink>
      <w:r w:rsidR="00EA0748">
        <w:rPr>
          <w:rFonts w:ascii="Times New Roman" w:hAnsi="Times New Roman"/>
          <w:sz w:val="28"/>
          <w:szCs w:val="28"/>
        </w:rPr>
        <w:t>, AGO Comment</w:t>
      </w:r>
      <w:r w:rsidR="00C677DE">
        <w:rPr>
          <w:rFonts w:ascii="Times New Roman" w:hAnsi="Times New Roman"/>
          <w:sz w:val="28"/>
          <w:szCs w:val="28"/>
        </w:rPr>
        <w:t xml:space="preserve"> in Opposition,</w:t>
      </w:r>
      <w:r w:rsidR="00EA0748">
        <w:rPr>
          <w:rFonts w:ascii="Times New Roman" w:hAnsi="Times New Roman"/>
          <w:sz w:val="28"/>
          <w:szCs w:val="28"/>
        </w:rPr>
        <w:t xml:space="preserve"> at </w:t>
      </w:r>
      <w:r w:rsidR="00C677DE">
        <w:rPr>
          <w:rFonts w:ascii="Times New Roman" w:hAnsi="Times New Roman"/>
          <w:sz w:val="28"/>
          <w:szCs w:val="28"/>
        </w:rPr>
        <w:t>6-7 (“</w:t>
      </w:r>
      <w:r w:rsidR="00C677DE" w:rsidRPr="00C677DE">
        <w:rPr>
          <w:rFonts w:ascii="Times New Roman" w:hAnsi="Times New Roman"/>
          <w:sz w:val="28"/>
          <w:szCs w:val="28"/>
        </w:rPr>
        <w:t>So any practice that might have developed over time in this regard has been prohibited and unauthorized by law.</w:t>
      </w:r>
      <w:r w:rsidR="00C677DE">
        <w:rPr>
          <w:rFonts w:ascii="Times New Roman" w:hAnsi="Times New Roman"/>
          <w:sz w:val="28"/>
          <w:szCs w:val="28"/>
        </w:rPr>
        <w:t>”). To the extent trial lawyers have failed to seek, and trial courts have failed to provide probable-cause hearings on sentencing allegations, it can only be attributable to a failure to read the plain language of the rule.</w:t>
      </w:r>
    </w:p>
    <w:p w14:paraId="32C3EA00" w14:textId="6CE45F49" w:rsidR="00457C42" w:rsidRDefault="00C677DE" w:rsidP="008C1CCA">
      <w:pPr>
        <w:spacing w:line="480" w:lineRule="auto"/>
        <w:ind w:firstLine="720"/>
        <w:jc w:val="both"/>
        <w:rPr>
          <w:rFonts w:ascii="Times New Roman" w:hAnsi="Times New Roman"/>
          <w:sz w:val="28"/>
          <w:szCs w:val="28"/>
        </w:rPr>
      </w:pPr>
      <w:r>
        <w:rPr>
          <w:rFonts w:ascii="Times New Roman" w:hAnsi="Times New Roman"/>
          <w:sz w:val="28"/>
          <w:szCs w:val="28"/>
        </w:rPr>
        <w:t xml:space="preserve">Allowing a probable cause hearing serves </w:t>
      </w:r>
      <w:r w:rsidR="009821ED">
        <w:rPr>
          <w:rFonts w:ascii="Times New Roman" w:hAnsi="Times New Roman"/>
          <w:sz w:val="28"/>
          <w:szCs w:val="28"/>
        </w:rPr>
        <w:t xml:space="preserve">the same purpose </w:t>
      </w:r>
      <w:r>
        <w:rPr>
          <w:rFonts w:ascii="Times New Roman" w:hAnsi="Times New Roman"/>
          <w:sz w:val="28"/>
          <w:szCs w:val="28"/>
        </w:rPr>
        <w:t>in</w:t>
      </w:r>
      <w:r w:rsidR="009821ED">
        <w:rPr>
          <w:rFonts w:ascii="Times New Roman" w:hAnsi="Times New Roman"/>
          <w:sz w:val="28"/>
          <w:szCs w:val="28"/>
        </w:rPr>
        <w:t xml:space="preserve"> </w:t>
      </w:r>
      <w:r>
        <w:rPr>
          <w:rFonts w:ascii="Times New Roman" w:hAnsi="Times New Roman"/>
          <w:sz w:val="28"/>
          <w:szCs w:val="28"/>
        </w:rPr>
        <w:t>noncapital</w:t>
      </w:r>
      <w:r w:rsidR="009821ED">
        <w:rPr>
          <w:rFonts w:ascii="Times New Roman" w:hAnsi="Times New Roman"/>
          <w:sz w:val="28"/>
          <w:szCs w:val="28"/>
        </w:rPr>
        <w:t xml:space="preserve"> and capital</w:t>
      </w:r>
      <w:r>
        <w:rPr>
          <w:rFonts w:ascii="Times New Roman" w:hAnsi="Times New Roman"/>
          <w:sz w:val="28"/>
          <w:szCs w:val="28"/>
        </w:rPr>
        <w:t xml:space="preserve"> cases </w:t>
      </w:r>
      <w:r w:rsidR="009821ED">
        <w:rPr>
          <w:rFonts w:ascii="Times New Roman" w:hAnsi="Times New Roman"/>
          <w:sz w:val="28"/>
          <w:szCs w:val="28"/>
        </w:rPr>
        <w:t>alike</w:t>
      </w:r>
      <w:r w:rsidR="00905A61">
        <w:rPr>
          <w:rFonts w:ascii="Times New Roman" w:hAnsi="Times New Roman"/>
          <w:sz w:val="28"/>
          <w:szCs w:val="28"/>
        </w:rPr>
        <w:t>.</w:t>
      </w:r>
      <w:r>
        <w:rPr>
          <w:rFonts w:ascii="Times New Roman" w:hAnsi="Times New Roman"/>
          <w:sz w:val="28"/>
          <w:szCs w:val="28"/>
        </w:rPr>
        <w:t xml:space="preserve"> </w:t>
      </w:r>
      <w:r w:rsidR="00457C42">
        <w:rPr>
          <w:rFonts w:ascii="Times New Roman" w:hAnsi="Times New Roman"/>
          <w:sz w:val="28"/>
          <w:szCs w:val="28"/>
        </w:rPr>
        <w:t>It makes sense that the jury should not hear evidence on any allegation that is unsupported in fact or law. In a capital case, the State should not be able to baldly claim an aggravating factor applies based only on a prosecutor’s say-so. It makes no sense that a noncapital defendant should have any less protection in this regard, since the rights involved concern bringing charges that are supported by probable cause, which is not specific to capital punishment.</w:t>
      </w:r>
    </w:p>
    <w:p w14:paraId="2767AD74" w14:textId="2C6EEAD8" w:rsidR="00905A61" w:rsidRDefault="00C677DE" w:rsidP="008C1CCA">
      <w:pPr>
        <w:spacing w:line="480" w:lineRule="auto"/>
        <w:ind w:firstLine="720"/>
        <w:jc w:val="both"/>
        <w:rPr>
          <w:rFonts w:ascii="Times New Roman" w:hAnsi="Times New Roman"/>
          <w:sz w:val="28"/>
          <w:szCs w:val="28"/>
        </w:rPr>
      </w:pPr>
      <w:r>
        <w:rPr>
          <w:rFonts w:ascii="Times New Roman" w:hAnsi="Times New Roman"/>
          <w:sz w:val="28"/>
          <w:szCs w:val="28"/>
        </w:rPr>
        <w:t xml:space="preserve">True, in capital cases, the trial is literally a matter of life or death. In </w:t>
      </w:r>
      <w:proofErr w:type="gramStart"/>
      <w:r>
        <w:rPr>
          <w:rFonts w:ascii="Times New Roman" w:hAnsi="Times New Roman"/>
          <w:sz w:val="28"/>
          <w:szCs w:val="28"/>
        </w:rPr>
        <w:t>noncapital</w:t>
      </w:r>
      <w:proofErr w:type="gramEnd"/>
      <w:r>
        <w:rPr>
          <w:rFonts w:ascii="Times New Roman" w:hAnsi="Times New Roman"/>
          <w:sz w:val="28"/>
          <w:szCs w:val="28"/>
        </w:rPr>
        <w:t xml:space="preserve"> cases, the stakes are less serious; but that does not mean they are not serious. For example, prior convictions not only increase the sentencing ranges, but sometimes </w:t>
      </w:r>
      <w:r>
        <w:rPr>
          <w:rFonts w:ascii="Times New Roman" w:hAnsi="Times New Roman"/>
          <w:sz w:val="28"/>
          <w:szCs w:val="28"/>
        </w:rPr>
        <w:lastRenderedPageBreak/>
        <w:t>they increase the offense level as well. See A.R.S. §</w:t>
      </w:r>
      <w:r w:rsidR="00BA423A">
        <w:rPr>
          <w:rFonts w:ascii="Times New Roman" w:hAnsi="Times New Roman"/>
          <w:sz w:val="28"/>
          <w:szCs w:val="28"/>
        </w:rPr>
        <w:t>§</w:t>
      </w:r>
      <w:r>
        <w:rPr>
          <w:rFonts w:ascii="Times New Roman" w:hAnsi="Times New Roman"/>
          <w:sz w:val="28"/>
          <w:szCs w:val="28"/>
        </w:rPr>
        <w:t xml:space="preserve"> 13-1402(C)-(D)</w:t>
      </w:r>
      <w:r w:rsidR="00BA423A">
        <w:rPr>
          <w:rFonts w:ascii="Times New Roman" w:hAnsi="Times New Roman"/>
          <w:sz w:val="28"/>
          <w:szCs w:val="28"/>
        </w:rPr>
        <w:t>, 13-1403(C)-(D)</w:t>
      </w:r>
      <w:r>
        <w:rPr>
          <w:rFonts w:ascii="Times New Roman" w:hAnsi="Times New Roman"/>
          <w:sz w:val="28"/>
          <w:szCs w:val="28"/>
        </w:rPr>
        <w:t xml:space="preserve"> (indecent exposure</w:t>
      </w:r>
      <w:r w:rsidR="00BA423A">
        <w:rPr>
          <w:rFonts w:ascii="Times New Roman" w:hAnsi="Times New Roman"/>
          <w:sz w:val="28"/>
          <w:szCs w:val="28"/>
        </w:rPr>
        <w:t xml:space="preserve"> or public sexual indecency</w:t>
      </w:r>
      <w:r>
        <w:rPr>
          <w:rFonts w:ascii="Times New Roman" w:hAnsi="Times New Roman"/>
          <w:sz w:val="28"/>
          <w:szCs w:val="28"/>
        </w:rPr>
        <w:t xml:space="preserve"> </w:t>
      </w:r>
      <w:r w:rsidR="00BA423A">
        <w:rPr>
          <w:rFonts w:ascii="Times New Roman" w:hAnsi="Times New Roman"/>
          <w:sz w:val="28"/>
          <w:szCs w:val="28"/>
        </w:rPr>
        <w:t>can range from</w:t>
      </w:r>
      <w:r>
        <w:rPr>
          <w:rFonts w:ascii="Times New Roman" w:hAnsi="Times New Roman"/>
          <w:sz w:val="28"/>
          <w:szCs w:val="28"/>
        </w:rPr>
        <w:t xml:space="preserve"> class 1 misdemeanor or a class 3 </w:t>
      </w:r>
      <w:r w:rsidR="00BA423A">
        <w:rPr>
          <w:rFonts w:ascii="Times New Roman" w:hAnsi="Times New Roman"/>
          <w:sz w:val="28"/>
          <w:szCs w:val="28"/>
        </w:rPr>
        <w:t>felony</w:t>
      </w:r>
      <w:r>
        <w:rPr>
          <w:rFonts w:ascii="Times New Roman" w:hAnsi="Times New Roman"/>
          <w:sz w:val="28"/>
          <w:szCs w:val="28"/>
        </w:rPr>
        <w:t>)</w:t>
      </w:r>
      <w:r w:rsidR="00BA423A">
        <w:rPr>
          <w:rFonts w:ascii="Times New Roman" w:hAnsi="Times New Roman"/>
          <w:sz w:val="28"/>
          <w:szCs w:val="28"/>
        </w:rPr>
        <w:t xml:space="preserve">; § 13-1805(I) (increasing penalty for shoplifting from class 1 misdemeanor to class 4 felony based on prior convictions). </w:t>
      </w:r>
      <w:r w:rsidR="00457C42">
        <w:rPr>
          <w:rFonts w:ascii="Times New Roman" w:hAnsi="Times New Roman"/>
          <w:sz w:val="28"/>
          <w:szCs w:val="28"/>
        </w:rPr>
        <w:t>Courts must impose</w:t>
      </w:r>
      <w:r w:rsidR="00BA423A">
        <w:rPr>
          <w:rFonts w:ascii="Times New Roman" w:hAnsi="Times New Roman"/>
          <w:sz w:val="28"/>
          <w:szCs w:val="28"/>
        </w:rPr>
        <w:t xml:space="preserve"> draconian penalties</w:t>
      </w:r>
      <w:r w:rsidR="00457C42">
        <w:rPr>
          <w:rFonts w:ascii="Times New Roman" w:hAnsi="Times New Roman"/>
          <w:sz w:val="28"/>
          <w:szCs w:val="28"/>
        </w:rPr>
        <w:t xml:space="preserve"> on an offender who otherwise may be appropriate for probation if offenses are dangerous </w:t>
      </w:r>
      <w:r w:rsidR="00457C42" w:rsidRPr="00E32CCB">
        <w:rPr>
          <w:rFonts w:ascii="Times New Roman" w:hAnsi="Times New Roman"/>
          <w:sz w:val="28"/>
          <w:szCs w:val="28"/>
        </w:rPr>
        <w:t>crime</w:t>
      </w:r>
      <w:r w:rsidR="00E32CCB" w:rsidRPr="00E32CCB">
        <w:rPr>
          <w:rFonts w:ascii="Times New Roman" w:hAnsi="Times New Roman"/>
          <w:sz w:val="28"/>
          <w:szCs w:val="28"/>
        </w:rPr>
        <w:t>s</w:t>
      </w:r>
      <w:r w:rsidR="00457C42">
        <w:rPr>
          <w:rFonts w:ascii="Times New Roman" w:hAnsi="Times New Roman"/>
          <w:sz w:val="28"/>
          <w:szCs w:val="28"/>
        </w:rPr>
        <w:t xml:space="preserve"> against children</w:t>
      </w:r>
      <w:r w:rsidR="00BA423A">
        <w:rPr>
          <w:rFonts w:ascii="Times New Roman" w:hAnsi="Times New Roman"/>
          <w:sz w:val="28"/>
          <w:szCs w:val="28"/>
        </w:rPr>
        <w:t>.</w:t>
      </w:r>
      <w:r w:rsidR="00457C42">
        <w:rPr>
          <w:rFonts w:ascii="Times New Roman" w:hAnsi="Times New Roman"/>
          <w:sz w:val="28"/>
          <w:szCs w:val="28"/>
        </w:rPr>
        <w:t xml:space="preserve"> </w:t>
      </w:r>
      <w:r w:rsidR="00457C42" w:rsidRPr="00457C42">
        <w:rPr>
          <w:rFonts w:ascii="Times New Roman" w:hAnsi="Times New Roman"/>
          <w:i/>
          <w:iCs/>
          <w:sz w:val="28"/>
          <w:szCs w:val="28"/>
        </w:rPr>
        <w:t>E.g.</w:t>
      </w:r>
      <w:r w:rsidR="00457C42">
        <w:rPr>
          <w:rFonts w:ascii="Times New Roman" w:hAnsi="Times New Roman"/>
          <w:sz w:val="28"/>
          <w:szCs w:val="28"/>
        </w:rPr>
        <w:t xml:space="preserve">, </w:t>
      </w:r>
      <w:r w:rsidR="00457C42" w:rsidRPr="00457C42">
        <w:rPr>
          <w:rFonts w:ascii="Times New Roman" w:hAnsi="Times New Roman"/>
          <w:i/>
          <w:iCs/>
          <w:sz w:val="28"/>
          <w:szCs w:val="28"/>
        </w:rPr>
        <w:t>State v. Berger</w:t>
      </w:r>
      <w:r w:rsidR="00457C42">
        <w:rPr>
          <w:rFonts w:ascii="Times New Roman" w:hAnsi="Times New Roman"/>
          <w:sz w:val="28"/>
          <w:szCs w:val="28"/>
        </w:rPr>
        <w:t>, 212 Ariz. 473 (2006) (discussing mandatory consecutive sentencing scheme).</w:t>
      </w:r>
      <w:r w:rsidR="00674A78">
        <w:rPr>
          <w:rFonts w:ascii="Times New Roman" w:hAnsi="Times New Roman"/>
          <w:sz w:val="28"/>
          <w:szCs w:val="28"/>
        </w:rPr>
        <w:t xml:space="preserve"> In any event, </w:t>
      </w:r>
      <w:r w:rsidR="00674A78" w:rsidRPr="00674A78">
        <w:rPr>
          <w:rFonts w:ascii="Times New Roman" w:hAnsi="Times New Roman"/>
          <w:i/>
          <w:iCs/>
          <w:sz w:val="28"/>
          <w:szCs w:val="28"/>
        </w:rPr>
        <w:t>Apprendi</w:t>
      </w:r>
      <w:r w:rsidR="00674A78">
        <w:rPr>
          <w:rFonts w:ascii="Times New Roman" w:hAnsi="Times New Roman"/>
          <w:sz w:val="28"/>
          <w:szCs w:val="28"/>
        </w:rPr>
        <w:t xml:space="preserve"> disposed of the distinction: “</w:t>
      </w:r>
      <w:r w:rsidR="00674A78" w:rsidRPr="00674A78">
        <w:rPr>
          <w:rFonts w:ascii="Times New Roman" w:hAnsi="Times New Roman"/>
          <w:sz w:val="28"/>
          <w:szCs w:val="28"/>
        </w:rPr>
        <w:t>The differential in sentence</w:t>
      </w:r>
      <w:r w:rsidR="00674A78">
        <w:rPr>
          <w:rFonts w:ascii="Times New Roman" w:hAnsi="Times New Roman"/>
          <w:sz w:val="28"/>
          <w:szCs w:val="28"/>
        </w:rPr>
        <w:t>…</w:t>
      </w:r>
      <w:r w:rsidR="00674A78" w:rsidRPr="00674A78">
        <w:rPr>
          <w:rFonts w:ascii="Times New Roman" w:hAnsi="Times New Roman"/>
          <w:sz w:val="28"/>
          <w:szCs w:val="28"/>
        </w:rPr>
        <w:t>, it is true, as extreme as the difference between a small fine and mandatory life imprisonment. But it can hardly be said that the potential doubling of one</w:t>
      </w:r>
      <w:r w:rsidR="00674A78">
        <w:rPr>
          <w:rFonts w:ascii="Times New Roman" w:hAnsi="Times New Roman"/>
          <w:sz w:val="28"/>
          <w:szCs w:val="28"/>
        </w:rPr>
        <w:t>’</w:t>
      </w:r>
      <w:r w:rsidR="00674A78" w:rsidRPr="00674A78">
        <w:rPr>
          <w:rFonts w:ascii="Times New Roman" w:hAnsi="Times New Roman"/>
          <w:sz w:val="28"/>
          <w:szCs w:val="28"/>
        </w:rPr>
        <w:t>s sentence</w:t>
      </w:r>
      <w:r w:rsidR="00674A78">
        <w:rPr>
          <w:rFonts w:ascii="Times New Roman" w:hAnsi="Times New Roman"/>
          <w:sz w:val="28"/>
          <w:szCs w:val="28"/>
        </w:rPr>
        <w:t>—</w:t>
      </w:r>
      <w:r w:rsidR="00674A78" w:rsidRPr="00674A78">
        <w:rPr>
          <w:rFonts w:ascii="Times New Roman" w:hAnsi="Times New Roman"/>
          <w:sz w:val="28"/>
          <w:szCs w:val="28"/>
        </w:rPr>
        <w:t>from</w:t>
      </w:r>
      <w:r w:rsidR="00674A78">
        <w:rPr>
          <w:rFonts w:ascii="Times New Roman" w:hAnsi="Times New Roman"/>
          <w:sz w:val="28"/>
          <w:szCs w:val="28"/>
        </w:rPr>
        <w:t xml:space="preserve"> </w:t>
      </w:r>
      <w:r w:rsidR="00674A78" w:rsidRPr="00674A78">
        <w:rPr>
          <w:rFonts w:ascii="Times New Roman" w:hAnsi="Times New Roman"/>
          <w:sz w:val="28"/>
          <w:szCs w:val="28"/>
        </w:rPr>
        <w:t>10 years to 20</w:t>
      </w:r>
      <w:r w:rsidR="00674A78">
        <w:rPr>
          <w:rFonts w:ascii="Times New Roman" w:hAnsi="Times New Roman"/>
          <w:sz w:val="28"/>
          <w:szCs w:val="28"/>
        </w:rPr>
        <w:t>—</w:t>
      </w:r>
      <w:r w:rsidR="00674A78" w:rsidRPr="00674A78">
        <w:rPr>
          <w:rFonts w:ascii="Times New Roman" w:hAnsi="Times New Roman"/>
          <w:sz w:val="28"/>
          <w:szCs w:val="28"/>
        </w:rPr>
        <w:t>has no more than a nominal effect.</w:t>
      </w:r>
      <w:r w:rsidR="00674A78">
        <w:rPr>
          <w:rFonts w:ascii="Times New Roman" w:hAnsi="Times New Roman"/>
          <w:sz w:val="28"/>
          <w:szCs w:val="28"/>
        </w:rPr>
        <w:t>” 530 U.S. at 495.</w:t>
      </w:r>
    </w:p>
    <w:p w14:paraId="4E8181AF" w14:textId="1910ED7E" w:rsidR="00AB1F6C" w:rsidRDefault="00B25B82" w:rsidP="008C1CCA">
      <w:pPr>
        <w:spacing w:line="480" w:lineRule="auto"/>
        <w:ind w:firstLine="720"/>
        <w:jc w:val="both"/>
        <w:rPr>
          <w:rFonts w:ascii="Times New Roman" w:hAnsi="Times New Roman"/>
          <w:sz w:val="28"/>
          <w:szCs w:val="28"/>
        </w:rPr>
      </w:pPr>
      <w:r>
        <w:rPr>
          <w:rFonts w:ascii="Times New Roman" w:hAnsi="Times New Roman"/>
          <w:sz w:val="28"/>
          <w:szCs w:val="28"/>
        </w:rPr>
        <w:t>Without the requirement of a probable-cause finding, the legislature could authorize prosecutors to seek life sentences based on comparatively minor offenses, under the guise of “noncapital sentence enhancements.”</w:t>
      </w:r>
      <w:r w:rsidR="006A53BB">
        <w:rPr>
          <w:rFonts w:ascii="Times New Roman" w:hAnsi="Times New Roman"/>
          <w:sz w:val="28"/>
          <w:szCs w:val="28"/>
        </w:rPr>
        <w:t xml:space="preserve"> </w:t>
      </w:r>
      <w:r w:rsidR="00B00F20">
        <w:rPr>
          <w:rFonts w:ascii="Times New Roman" w:hAnsi="Times New Roman"/>
          <w:sz w:val="28"/>
          <w:szCs w:val="28"/>
        </w:rPr>
        <w:t>As Justice Feldman asked</w:t>
      </w:r>
      <w:r w:rsidR="00666672">
        <w:rPr>
          <w:rFonts w:ascii="Times New Roman" w:hAnsi="Times New Roman"/>
          <w:sz w:val="28"/>
          <w:szCs w:val="28"/>
        </w:rPr>
        <w:t xml:space="preserve">, months before </w:t>
      </w:r>
      <w:r w:rsidR="00666672" w:rsidRPr="00666672">
        <w:rPr>
          <w:rFonts w:ascii="Times New Roman" w:hAnsi="Times New Roman"/>
          <w:i/>
          <w:iCs/>
          <w:sz w:val="28"/>
          <w:szCs w:val="28"/>
        </w:rPr>
        <w:t>Apprendi</w:t>
      </w:r>
      <w:r w:rsidR="00666672">
        <w:rPr>
          <w:rFonts w:ascii="Times New Roman" w:hAnsi="Times New Roman"/>
          <w:sz w:val="28"/>
          <w:szCs w:val="28"/>
        </w:rPr>
        <w:t xml:space="preserve"> was decided</w:t>
      </w:r>
      <w:r w:rsidR="00B00F20">
        <w:rPr>
          <w:rFonts w:ascii="Times New Roman" w:hAnsi="Times New Roman"/>
          <w:sz w:val="28"/>
          <w:szCs w:val="28"/>
        </w:rPr>
        <w:t xml:space="preserve">: </w:t>
      </w:r>
      <w:r w:rsidR="00B00F20" w:rsidRPr="00B00F20">
        <w:rPr>
          <w:rFonts w:ascii="Times New Roman" w:hAnsi="Times New Roman"/>
          <w:sz w:val="28"/>
          <w:szCs w:val="28"/>
        </w:rPr>
        <w:t>“Could Arizona establish one violent crime – ‘knowingly causing</w:t>
      </w:r>
      <w:r w:rsidR="00B00F20">
        <w:rPr>
          <w:rFonts w:ascii="Times New Roman" w:hAnsi="Times New Roman"/>
          <w:sz w:val="28"/>
          <w:szCs w:val="28"/>
        </w:rPr>
        <w:t xml:space="preserve"> </w:t>
      </w:r>
      <w:r w:rsidR="00B00F20" w:rsidRPr="00B00F20">
        <w:rPr>
          <w:rFonts w:ascii="Times New Roman" w:hAnsi="Times New Roman"/>
          <w:sz w:val="28"/>
          <w:szCs w:val="28"/>
        </w:rPr>
        <w:t>injury to another’ – punishable as a class 1 felony, subject only to a wide variety of</w:t>
      </w:r>
      <w:r w:rsidR="00B00F20">
        <w:rPr>
          <w:rFonts w:ascii="Times New Roman" w:hAnsi="Times New Roman"/>
          <w:sz w:val="28"/>
          <w:szCs w:val="28"/>
        </w:rPr>
        <w:t xml:space="preserve"> </w:t>
      </w:r>
      <w:r w:rsidR="00B00F20" w:rsidRPr="00B00F20">
        <w:rPr>
          <w:rFonts w:ascii="Times New Roman" w:hAnsi="Times New Roman"/>
          <w:sz w:val="28"/>
          <w:szCs w:val="28"/>
        </w:rPr>
        <w:t>factors that would reduce punishment to lesser levels by a series of sentence</w:t>
      </w:r>
      <w:r w:rsidR="00B00F20">
        <w:rPr>
          <w:rFonts w:ascii="Times New Roman" w:hAnsi="Times New Roman"/>
          <w:sz w:val="28"/>
          <w:szCs w:val="28"/>
        </w:rPr>
        <w:t xml:space="preserve"> </w:t>
      </w:r>
      <w:r w:rsidR="00B00F20" w:rsidRPr="00B00F20">
        <w:rPr>
          <w:rFonts w:ascii="Times New Roman" w:hAnsi="Times New Roman"/>
          <w:sz w:val="28"/>
          <w:szCs w:val="28"/>
        </w:rPr>
        <w:t>mitigators to be determined by the judge and not the jury?”</w:t>
      </w:r>
      <w:r w:rsidR="00B00F20">
        <w:rPr>
          <w:rFonts w:ascii="Times New Roman" w:hAnsi="Times New Roman"/>
          <w:sz w:val="28"/>
          <w:szCs w:val="28"/>
        </w:rPr>
        <w:t xml:space="preserve"> </w:t>
      </w:r>
      <w:r w:rsidR="00B00F20" w:rsidRPr="00666672">
        <w:rPr>
          <w:rFonts w:ascii="Times New Roman" w:hAnsi="Times New Roman"/>
          <w:i/>
          <w:iCs/>
          <w:sz w:val="28"/>
          <w:szCs w:val="28"/>
        </w:rPr>
        <w:t>State v. Eagle</w:t>
      </w:r>
      <w:r w:rsidR="00B00F20">
        <w:rPr>
          <w:rFonts w:ascii="Times New Roman" w:hAnsi="Times New Roman"/>
          <w:sz w:val="28"/>
          <w:szCs w:val="28"/>
        </w:rPr>
        <w:t>, 196 Ariz. 188</w:t>
      </w:r>
      <w:r w:rsidR="00666672">
        <w:rPr>
          <w:rFonts w:ascii="Times New Roman" w:hAnsi="Times New Roman"/>
          <w:sz w:val="28"/>
          <w:szCs w:val="28"/>
        </w:rPr>
        <w:t xml:space="preserve">, 194 ¶ 26 (2000) (Feldman, J., concurring in part, dissenting in part). </w:t>
      </w:r>
      <w:r w:rsidR="00666672" w:rsidRPr="00666672">
        <w:rPr>
          <w:rFonts w:ascii="Times New Roman" w:hAnsi="Times New Roman"/>
          <w:i/>
          <w:iCs/>
          <w:sz w:val="28"/>
          <w:szCs w:val="28"/>
        </w:rPr>
        <w:t>Apprendi</w:t>
      </w:r>
      <w:r w:rsidR="00666672">
        <w:rPr>
          <w:rFonts w:ascii="Times New Roman" w:hAnsi="Times New Roman"/>
          <w:sz w:val="28"/>
          <w:szCs w:val="28"/>
        </w:rPr>
        <w:t xml:space="preserve"> answered that question; but if Petitioner’s rule change is adopted, </w:t>
      </w:r>
      <w:r w:rsidR="00666672">
        <w:rPr>
          <w:rFonts w:ascii="Times New Roman" w:hAnsi="Times New Roman"/>
          <w:sz w:val="28"/>
          <w:szCs w:val="28"/>
        </w:rPr>
        <w:lastRenderedPageBreak/>
        <w:t xml:space="preserve">then the State could allege a series of enhancements that increase the penalty substantially without </w:t>
      </w:r>
      <w:r w:rsidR="00666672" w:rsidRPr="00B239D3">
        <w:rPr>
          <w:rFonts w:ascii="Times New Roman" w:hAnsi="Times New Roman"/>
          <w:sz w:val="28"/>
          <w:szCs w:val="28"/>
        </w:rPr>
        <w:t xml:space="preserve">having to answer </w:t>
      </w:r>
      <w:r w:rsidR="00B239D3">
        <w:rPr>
          <w:rFonts w:ascii="Times New Roman" w:hAnsi="Times New Roman"/>
          <w:sz w:val="28"/>
          <w:szCs w:val="28"/>
        </w:rPr>
        <w:t>to</w:t>
      </w:r>
      <w:r w:rsidR="00B239D3" w:rsidRPr="00B239D3">
        <w:rPr>
          <w:rFonts w:ascii="Times New Roman" w:hAnsi="Times New Roman"/>
          <w:sz w:val="28"/>
          <w:szCs w:val="28"/>
        </w:rPr>
        <w:t xml:space="preserve"> </w:t>
      </w:r>
      <w:r w:rsidR="00666672" w:rsidRPr="00B239D3">
        <w:rPr>
          <w:rFonts w:ascii="Times New Roman" w:hAnsi="Times New Roman"/>
          <w:sz w:val="28"/>
          <w:szCs w:val="28"/>
        </w:rPr>
        <w:t>its allegations</w:t>
      </w:r>
      <w:r w:rsidR="00666672">
        <w:rPr>
          <w:rFonts w:ascii="Times New Roman" w:hAnsi="Times New Roman"/>
          <w:sz w:val="28"/>
          <w:szCs w:val="28"/>
        </w:rPr>
        <w:t xml:space="preserve"> until </w:t>
      </w:r>
      <w:proofErr w:type="gramStart"/>
      <w:r w:rsidR="00666672">
        <w:rPr>
          <w:rFonts w:ascii="Times New Roman" w:hAnsi="Times New Roman"/>
          <w:sz w:val="28"/>
          <w:szCs w:val="28"/>
        </w:rPr>
        <w:t>a Rule</w:t>
      </w:r>
      <w:proofErr w:type="gramEnd"/>
      <w:r w:rsidR="00666672">
        <w:rPr>
          <w:rFonts w:ascii="Times New Roman" w:hAnsi="Times New Roman"/>
          <w:sz w:val="28"/>
          <w:szCs w:val="28"/>
        </w:rPr>
        <w:t xml:space="preserve"> 20 motion.</w:t>
      </w:r>
    </w:p>
    <w:p w14:paraId="14BB1C81" w14:textId="54B87C29" w:rsidR="00AB1F6C" w:rsidRPr="00B25B82" w:rsidRDefault="00AB1F6C" w:rsidP="00AB1F6C">
      <w:pPr>
        <w:pStyle w:val="ListParagraph"/>
        <w:numPr>
          <w:ilvl w:val="0"/>
          <w:numId w:val="30"/>
        </w:numPr>
        <w:spacing w:line="240" w:lineRule="auto"/>
        <w:jc w:val="both"/>
        <w:rPr>
          <w:rFonts w:ascii="Times New Roman" w:hAnsi="Times New Roman"/>
          <w:sz w:val="28"/>
          <w:szCs w:val="28"/>
        </w:rPr>
      </w:pPr>
      <w:r w:rsidRPr="00B25B82">
        <w:rPr>
          <w:rFonts w:ascii="Times New Roman" w:hAnsi="Times New Roman"/>
          <w:sz w:val="28"/>
          <w:szCs w:val="28"/>
        </w:rPr>
        <w:t xml:space="preserve">Eliminating </w:t>
      </w:r>
      <w:r w:rsidRPr="00B25B82">
        <w:rPr>
          <w:rFonts w:ascii="Times New Roman" w:hAnsi="Times New Roman"/>
          <w:i/>
          <w:iCs/>
          <w:sz w:val="28"/>
          <w:szCs w:val="28"/>
        </w:rPr>
        <w:t>Chronis</w:t>
      </w:r>
      <w:r w:rsidRPr="00B25B82">
        <w:rPr>
          <w:rFonts w:ascii="Times New Roman" w:hAnsi="Times New Roman"/>
          <w:sz w:val="28"/>
          <w:szCs w:val="28"/>
        </w:rPr>
        <w:t xml:space="preserve"> hearings in noncapital cases implicates the federal constitutional right to an independent finding of probable cause.</w:t>
      </w:r>
    </w:p>
    <w:p w14:paraId="474A9ECE" w14:textId="77777777" w:rsidR="00AB1F6C" w:rsidRPr="00AB1F6C" w:rsidRDefault="00AB1F6C" w:rsidP="00AB1F6C">
      <w:pPr>
        <w:spacing w:line="240" w:lineRule="auto"/>
        <w:ind w:firstLine="720"/>
        <w:jc w:val="both"/>
        <w:rPr>
          <w:rFonts w:ascii="Times New Roman" w:hAnsi="Times New Roman"/>
          <w:b/>
          <w:bCs/>
          <w:sz w:val="28"/>
          <w:szCs w:val="28"/>
        </w:rPr>
      </w:pPr>
    </w:p>
    <w:p w14:paraId="177B4E43" w14:textId="6275D60E" w:rsidR="00517D52" w:rsidRDefault="00AB1F6C" w:rsidP="00517D52">
      <w:pPr>
        <w:spacing w:line="480" w:lineRule="auto"/>
        <w:ind w:firstLine="720"/>
        <w:jc w:val="both"/>
        <w:rPr>
          <w:rFonts w:ascii="Times New Roman" w:hAnsi="Times New Roman"/>
          <w:sz w:val="28"/>
          <w:szCs w:val="28"/>
        </w:rPr>
      </w:pPr>
      <w:r>
        <w:rPr>
          <w:rFonts w:ascii="Times New Roman" w:hAnsi="Times New Roman"/>
          <w:sz w:val="28"/>
          <w:szCs w:val="28"/>
        </w:rPr>
        <w:t xml:space="preserve">The Fifth Amendment’s right to a grand jury indictment has not yet been incorporated </w:t>
      </w:r>
      <w:proofErr w:type="gramStart"/>
      <w:r>
        <w:rPr>
          <w:rFonts w:ascii="Times New Roman" w:hAnsi="Times New Roman"/>
          <w:sz w:val="28"/>
          <w:szCs w:val="28"/>
        </w:rPr>
        <w:t>to</w:t>
      </w:r>
      <w:proofErr w:type="gramEnd"/>
      <w:r>
        <w:rPr>
          <w:rFonts w:ascii="Times New Roman" w:hAnsi="Times New Roman"/>
          <w:sz w:val="28"/>
          <w:szCs w:val="28"/>
        </w:rPr>
        <w:t xml:space="preserve"> the states through the Fourteenth Amend</w:t>
      </w:r>
      <w:r w:rsidR="00056378">
        <w:rPr>
          <w:rFonts w:ascii="Times New Roman" w:hAnsi="Times New Roman"/>
          <w:sz w:val="28"/>
          <w:szCs w:val="28"/>
        </w:rPr>
        <w:t xml:space="preserve">ment’s Due Process Clause, and </w:t>
      </w:r>
      <w:r w:rsidR="00056378" w:rsidRPr="00056378">
        <w:rPr>
          <w:rFonts w:ascii="Times New Roman" w:hAnsi="Times New Roman"/>
          <w:i/>
          <w:iCs/>
          <w:sz w:val="28"/>
          <w:szCs w:val="28"/>
        </w:rPr>
        <w:t>Apprendi</w:t>
      </w:r>
      <w:r w:rsidR="00056378">
        <w:rPr>
          <w:rFonts w:ascii="Times New Roman" w:hAnsi="Times New Roman"/>
          <w:sz w:val="28"/>
          <w:szCs w:val="28"/>
        </w:rPr>
        <w:t xml:space="preserve"> and </w:t>
      </w:r>
      <w:r w:rsidR="00056378" w:rsidRPr="00056378">
        <w:rPr>
          <w:rFonts w:ascii="Times New Roman" w:hAnsi="Times New Roman"/>
          <w:i/>
          <w:iCs/>
          <w:sz w:val="28"/>
          <w:szCs w:val="28"/>
        </w:rPr>
        <w:t>Ring</w:t>
      </w:r>
      <w:r w:rsidR="00056378">
        <w:rPr>
          <w:rFonts w:ascii="Times New Roman" w:hAnsi="Times New Roman"/>
          <w:sz w:val="28"/>
          <w:szCs w:val="28"/>
        </w:rPr>
        <w:t xml:space="preserve"> purposefully both left </w:t>
      </w:r>
      <w:r w:rsidR="00056378" w:rsidRPr="00B239D3">
        <w:rPr>
          <w:rFonts w:ascii="Times New Roman" w:hAnsi="Times New Roman"/>
          <w:sz w:val="28"/>
          <w:szCs w:val="28"/>
        </w:rPr>
        <w:t>that issue</w:t>
      </w:r>
      <w:r w:rsidR="00056378">
        <w:rPr>
          <w:rFonts w:ascii="Times New Roman" w:hAnsi="Times New Roman"/>
          <w:sz w:val="28"/>
          <w:szCs w:val="28"/>
        </w:rPr>
        <w:t xml:space="preserve"> untouched.</w:t>
      </w:r>
      <w:r w:rsidR="00517D52">
        <w:rPr>
          <w:rFonts w:ascii="Times New Roman" w:hAnsi="Times New Roman"/>
          <w:sz w:val="28"/>
          <w:szCs w:val="28"/>
        </w:rPr>
        <w:t xml:space="preserve"> </w:t>
      </w:r>
      <w:r w:rsidR="00625BDB" w:rsidRPr="00F931B3">
        <w:rPr>
          <w:rFonts w:ascii="Times New Roman" w:hAnsi="Times New Roman"/>
          <w:i/>
          <w:iCs/>
          <w:sz w:val="28"/>
          <w:szCs w:val="28"/>
        </w:rPr>
        <w:t>Apprendi</w:t>
      </w:r>
      <w:r w:rsidR="00625BDB">
        <w:rPr>
          <w:rFonts w:ascii="Times New Roman" w:hAnsi="Times New Roman"/>
          <w:sz w:val="28"/>
          <w:szCs w:val="28"/>
        </w:rPr>
        <w:t xml:space="preserve">, 530 U.S. at 477 </w:t>
      </w:r>
      <w:r w:rsidR="00F931B3">
        <w:rPr>
          <w:rFonts w:ascii="Times New Roman" w:hAnsi="Times New Roman"/>
          <w:sz w:val="28"/>
          <w:szCs w:val="28"/>
        </w:rPr>
        <w:t>n.3 (“</w:t>
      </w:r>
      <w:r w:rsidR="00F931B3" w:rsidRPr="00F931B3">
        <w:rPr>
          <w:rFonts w:ascii="Times New Roman" w:hAnsi="Times New Roman"/>
          <w:sz w:val="28"/>
          <w:szCs w:val="28"/>
        </w:rPr>
        <w:t>Apprendi has not here asserted a constitutional claim based on the omission of any reference to sentence enhancement or racial bias in the indictment .... We thus do not address the indictment question separately today.”</w:t>
      </w:r>
      <w:r w:rsidR="00F931B3">
        <w:rPr>
          <w:rFonts w:ascii="Times New Roman" w:hAnsi="Times New Roman"/>
          <w:sz w:val="28"/>
          <w:szCs w:val="28"/>
        </w:rPr>
        <w:t>)</w:t>
      </w:r>
      <w:r w:rsidR="00625BDB">
        <w:rPr>
          <w:rFonts w:ascii="Times New Roman" w:hAnsi="Times New Roman"/>
          <w:sz w:val="28"/>
          <w:szCs w:val="28"/>
        </w:rPr>
        <w:t xml:space="preserve">; </w:t>
      </w:r>
      <w:r w:rsidR="00517D52" w:rsidRPr="00625BDB">
        <w:rPr>
          <w:rFonts w:ascii="Times New Roman" w:hAnsi="Times New Roman"/>
          <w:i/>
          <w:iCs/>
          <w:sz w:val="28"/>
          <w:szCs w:val="28"/>
        </w:rPr>
        <w:t>Ring</w:t>
      </w:r>
      <w:r w:rsidR="00517D52">
        <w:rPr>
          <w:rFonts w:ascii="Times New Roman" w:hAnsi="Times New Roman"/>
          <w:sz w:val="28"/>
          <w:szCs w:val="28"/>
        </w:rPr>
        <w:t xml:space="preserve">, 536 U.S. </w:t>
      </w:r>
      <w:r w:rsidR="00517D52" w:rsidRPr="00517D52">
        <w:rPr>
          <w:rFonts w:ascii="Times New Roman" w:hAnsi="Times New Roman"/>
          <w:sz w:val="28"/>
          <w:szCs w:val="28"/>
        </w:rPr>
        <w:t>at 597 n.4 (“Ring</w:t>
      </w:r>
      <w:r w:rsidR="00517D52">
        <w:rPr>
          <w:rFonts w:ascii="Times New Roman" w:hAnsi="Times New Roman"/>
          <w:sz w:val="28"/>
          <w:szCs w:val="28"/>
        </w:rPr>
        <w:t>’</w:t>
      </w:r>
      <w:r w:rsidR="00517D52" w:rsidRPr="00517D52">
        <w:rPr>
          <w:rFonts w:ascii="Times New Roman" w:hAnsi="Times New Roman"/>
          <w:sz w:val="28"/>
          <w:szCs w:val="28"/>
        </w:rPr>
        <w:t>s claim is tightly delineated: He contends only that the Sixth Amendment required jury findings on the aggravating circumstances asserted against him .... Ring does not contend that his indictment was constitutionally defective.”)</w:t>
      </w:r>
      <w:r w:rsidR="00625BDB">
        <w:rPr>
          <w:rFonts w:ascii="Times New Roman" w:hAnsi="Times New Roman"/>
          <w:sz w:val="28"/>
          <w:szCs w:val="28"/>
        </w:rPr>
        <w:t xml:space="preserve">. Yet both </w:t>
      </w:r>
      <w:r w:rsidR="00625BDB" w:rsidRPr="00625BDB">
        <w:rPr>
          <w:rFonts w:ascii="Times New Roman" w:hAnsi="Times New Roman"/>
          <w:i/>
          <w:iCs/>
          <w:sz w:val="28"/>
          <w:szCs w:val="28"/>
        </w:rPr>
        <w:t>Apprendi</w:t>
      </w:r>
      <w:r w:rsidR="00625BDB">
        <w:rPr>
          <w:rFonts w:ascii="Times New Roman" w:hAnsi="Times New Roman"/>
          <w:sz w:val="28"/>
          <w:szCs w:val="28"/>
        </w:rPr>
        <w:t xml:space="preserve"> and </w:t>
      </w:r>
      <w:r w:rsidR="00625BDB" w:rsidRPr="00625BDB">
        <w:rPr>
          <w:rFonts w:ascii="Times New Roman" w:hAnsi="Times New Roman"/>
          <w:i/>
          <w:iCs/>
          <w:sz w:val="28"/>
          <w:szCs w:val="28"/>
        </w:rPr>
        <w:t>Blakely</w:t>
      </w:r>
      <w:r w:rsidR="00625BDB">
        <w:rPr>
          <w:rFonts w:ascii="Times New Roman" w:hAnsi="Times New Roman"/>
          <w:sz w:val="28"/>
          <w:szCs w:val="28"/>
        </w:rPr>
        <w:t xml:space="preserve"> dictate </w:t>
      </w:r>
      <w:r w:rsidR="00625BDB" w:rsidRPr="00B239D3">
        <w:rPr>
          <w:rFonts w:ascii="Times New Roman" w:hAnsi="Times New Roman"/>
          <w:sz w:val="28"/>
          <w:szCs w:val="28"/>
        </w:rPr>
        <w:t>the result.</w:t>
      </w:r>
    </w:p>
    <w:p w14:paraId="7A83F5DB" w14:textId="0027C4AB" w:rsidR="00BB7100" w:rsidRDefault="00625BDB" w:rsidP="008C1CCA">
      <w:pPr>
        <w:spacing w:line="480" w:lineRule="auto"/>
        <w:ind w:firstLine="720"/>
        <w:jc w:val="both"/>
        <w:rPr>
          <w:rFonts w:ascii="Times New Roman" w:hAnsi="Times New Roman"/>
          <w:sz w:val="28"/>
          <w:szCs w:val="28"/>
        </w:rPr>
      </w:pPr>
      <w:r>
        <w:rPr>
          <w:rFonts w:ascii="Times New Roman" w:hAnsi="Times New Roman"/>
          <w:sz w:val="28"/>
          <w:szCs w:val="28"/>
        </w:rPr>
        <w:t xml:space="preserve">First, when stating the rule in </w:t>
      </w:r>
      <w:r w:rsidRPr="00625BDB">
        <w:rPr>
          <w:rFonts w:ascii="Times New Roman" w:hAnsi="Times New Roman"/>
          <w:i/>
          <w:iCs/>
          <w:sz w:val="28"/>
          <w:szCs w:val="28"/>
        </w:rPr>
        <w:t>Apprendi</w:t>
      </w:r>
      <w:r>
        <w:rPr>
          <w:rFonts w:ascii="Times New Roman" w:hAnsi="Times New Roman"/>
          <w:sz w:val="28"/>
          <w:szCs w:val="28"/>
        </w:rPr>
        <w:t xml:space="preserve">, Justice Stevens incorporated the rule from </w:t>
      </w:r>
      <w:r w:rsidRPr="00625BDB">
        <w:rPr>
          <w:rFonts w:ascii="Times New Roman" w:hAnsi="Times New Roman"/>
          <w:i/>
          <w:iCs/>
          <w:sz w:val="28"/>
          <w:szCs w:val="28"/>
        </w:rPr>
        <w:t>Jones</w:t>
      </w:r>
      <w:r>
        <w:rPr>
          <w:rFonts w:ascii="Times New Roman" w:hAnsi="Times New Roman"/>
          <w:sz w:val="28"/>
          <w:szCs w:val="28"/>
        </w:rPr>
        <w:t xml:space="preserve">: </w:t>
      </w:r>
      <w:r w:rsidRPr="00625BDB">
        <w:rPr>
          <w:rFonts w:ascii="Times New Roman" w:hAnsi="Times New Roman"/>
          <w:sz w:val="28"/>
          <w:szCs w:val="28"/>
        </w:rPr>
        <w:t>“</w:t>
      </w:r>
      <w:r>
        <w:rPr>
          <w:rFonts w:ascii="Times New Roman" w:hAnsi="Times New Roman"/>
          <w:sz w:val="28"/>
          <w:szCs w:val="28"/>
        </w:rPr>
        <w:t>‘</w:t>
      </w:r>
      <w:r w:rsidRPr="00625BDB">
        <w:rPr>
          <w:rFonts w:ascii="Times New Roman" w:hAnsi="Times New Roman"/>
          <w:sz w:val="28"/>
          <w:szCs w:val="28"/>
        </w:rPr>
        <w:t xml:space="preserve">any fact (other than prior conviction) that increases the maximum penalty for a crime must be </w:t>
      </w:r>
      <w:r w:rsidRPr="00625BDB">
        <w:rPr>
          <w:rFonts w:ascii="Times New Roman" w:hAnsi="Times New Roman"/>
          <w:b/>
          <w:bCs/>
          <w:i/>
          <w:iCs/>
          <w:sz w:val="28"/>
          <w:szCs w:val="28"/>
        </w:rPr>
        <w:t>charged in an indictment</w:t>
      </w:r>
      <w:r w:rsidRPr="00625BDB">
        <w:rPr>
          <w:rFonts w:ascii="Times New Roman" w:hAnsi="Times New Roman"/>
          <w:sz w:val="28"/>
          <w:szCs w:val="28"/>
        </w:rPr>
        <w:t>, submitted to a jury, and proven beyond a reasonable doubt.</w:t>
      </w:r>
      <w:r>
        <w:rPr>
          <w:rFonts w:ascii="Times New Roman" w:hAnsi="Times New Roman"/>
          <w:sz w:val="28"/>
          <w:szCs w:val="28"/>
        </w:rPr>
        <w:t>’</w:t>
      </w:r>
      <w:r w:rsidRPr="00625BDB">
        <w:rPr>
          <w:rFonts w:ascii="Times New Roman" w:hAnsi="Times New Roman"/>
          <w:sz w:val="28"/>
          <w:szCs w:val="28"/>
        </w:rPr>
        <w:t xml:space="preserve"> The Fourteenth Amendment commands the same answer in this case involving a state statute.</w:t>
      </w:r>
      <w:r>
        <w:rPr>
          <w:rFonts w:ascii="Times New Roman" w:hAnsi="Times New Roman"/>
          <w:sz w:val="28"/>
          <w:szCs w:val="28"/>
        </w:rPr>
        <w:t xml:space="preserve">” </w:t>
      </w:r>
      <w:r w:rsidRPr="00625BDB">
        <w:rPr>
          <w:rFonts w:ascii="Times New Roman" w:hAnsi="Times New Roman"/>
          <w:i/>
          <w:iCs/>
          <w:sz w:val="28"/>
          <w:szCs w:val="28"/>
        </w:rPr>
        <w:t>Apprendi</w:t>
      </w:r>
      <w:r>
        <w:rPr>
          <w:rFonts w:ascii="Times New Roman" w:hAnsi="Times New Roman"/>
          <w:sz w:val="28"/>
          <w:szCs w:val="28"/>
        </w:rPr>
        <w:t xml:space="preserve">, 530 U.S. at 476 (quoting </w:t>
      </w:r>
      <w:r w:rsidRPr="00625BDB">
        <w:rPr>
          <w:rFonts w:ascii="Times New Roman" w:hAnsi="Times New Roman"/>
          <w:i/>
          <w:iCs/>
          <w:sz w:val="28"/>
          <w:szCs w:val="28"/>
        </w:rPr>
        <w:t>Jones</w:t>
      </w:r>
      <w:r>
        <w:rPr>
          <w:rFonts w:ascii="Times New Roman" w:hAnsi="Times New Roman"/>
          <w:sz w:val="28"/>
          <w:szCs w:val="28"/>
        </w:rPr>
        <w:t>, 526 U.S. at 243 n.6) (emphasis added). True, the constitutional provisions related to notice and jury trial and not to grand jury.</w:t>
      </w:r>
      <w:r w:rsidR="006A53BB">
        <w:rPr>
          <w:rFonts w:ascii="Times New Roman" w:hAnsi="Times New Roman"/>
          <w:sz w:val="28"/>
          <w:szCs w:val="28"/>
        </w:rPr>
        <w:t xml:space="preserve"> He also noted: “</w:t>
      </w:r>
      <w:r w:rsidR="006A53BB" w:rsidRPr="006A53BB">
        <w:rPr>
          <w:rFonts w:ascii="Times New Roman" w:hAnsi="Times New Roman"/>
          <w:sz w:val="28"/>
          <w:szCs w:val="28"/>
        </w:rPr>
        <w:t xml:space="preserve">Any </w:t>
      </w:r>
      <w:r w:rsidR="006A53BB" w:rsidRPr="006A53BB">
        <w:rPr>
          <w:rFonts w:ascii="Times New Roman" w:hAnsi="Times New Roman"/>
          <w:sz w:val="28"/>
          <w:szCs w:val="28"/>
        </w:rPr>
        <w:lastRenderedPageBreak/>
        <w:t xml:space="preserve">possible distinction between an </w:t>
      </w:r>
      <w:r w:rsidR="006A53BB">
        <w:rPr>
          <w:rFonts w:ascii="Times New Roman" w:hAnsi="Times New Roman"/>
          <w:sz w:val="28"/>
          <w:szCs w:val="28"/>
        </w:rPr>
        <w:t>‘</w:t>
      </w:r>
      <w:r w:rsidR="006A53BB" w:rsidRPr="006A53BB">
        <w:rPr>
          <w:rFonts w:ascii="Times New Roman" w:hAnsi="Times New Roman"/>
          <w:sz w:val="28"/>
          <w:szCs w:val="28"/>
        </w:rPr>
        <w:t>element</w:t>
      </w:r>
      <w:r w:rsidR="006A53BB">
        <w:rPr>
          <w:rFonts w:ascii="Times New Roman" w:hAnsi="Times New Roman"/>
          <w:sz w:val="28"/>
          <w:szCs w:val="28"/>
        </w:rPr>
        <w:t>’</w:t>
      </w:r>
      <w:r w:rsidR="006A53BB" w:rsidRPr="006A53BB">
        <w:rPr>
          <w:rFonts w:ascii="Times New Roman" w:hAnsi="Times New Roman"/>
          <w:sz w:val="28"/>
          <w:szCs w:val="28"/>
        </w:rPr>
        <w:t xml:space="preserve"> of a felony offense and a </w:t>
      </w:r>
      <w:r w:rsidR="006A53BB">
        <w:rPr>
          <w:rFonts w:ascii="Times New Roman" w:hAnsi="Times New Roman"/>
          <w:sz w:val="28"/>
          <w:szCs w:val="28"/>
        </w:rPr>
        <w:t>‘</w:t>
      </w:r>
      <w:r w:rsidR="006A53BB" w:rsidRPr="006A53BB">
        <w:rPr>
          <w:rFonts w:ascii="Times New Roman" w:hAnsi="Times New Roman"/>
          <w:sz w:val="28"/>
          <w:szCs w:val="28"/>
        </w:rPr>
        <w:t>sentencing factor</w:t>
      </w:r>
      <w:r w:rsidR="006A53BB">
        <w:rPr>
          <w:rFonts w:ascii="Times New Roman" w:hAnsi="Times New Roman"/>
          <w:sz w:val="28"/>
          <w:szCs w:val="28"/>
        </w:rPr>
        <w:t>’</w:t>
      </w:r>
      <w:r w:rsidR="006A53BB" w:rsidRPr="006A53BB">
        <w:rPr>
          <w:rFonts w:ascii="Times New Roman" w:hAnsi="Times New Roman"/>
          <w:sz w:val="28"/>
          <w:szCs w:val="28"/>
        </w:rPr>
        <w:t>” was unknown to the practice of criminal indictment, trial by jury, and judgment by court as it existed during the years surrounding our Nation</w:t>
      </w:r>
      <w:r w:rsidR="006A53BB">
        <w:rPr>
          <w:rFonts w:ascii="Times New Roman" w:hAnsi="Times New Roman"/>
          <w:sz w:val="28"/>
          <w:szCs w:val="28"/>
        </w:rPr>
        <w:t>’</w:t>
      </w:r>
      <w:r w:rsidR="006A53BB" w:rsidRPr="006A53BB">
        <w:rPr>
          <w:rFonts w:ascii="Times New Roman" w:hAnsi="Times New Roman"/>
          <w:sz w:val="28"/>
          <w:szCs w:val="28"/>
        </w:rPr>
        <w:t>s founding.</w:t>
      </w:r>
      <w:r w:rsidR="006A53BB">
        <w:rPr>
          <w:rFonts w:ascii="Times New Roman" w:hAnsi="Times New Roman"/>
          <w:sz w:val="28"/>
          <w:szCs w:val="28"/>
        </w:rPr>
        <w:t xml:space="preserve">” </w:t>
      </w:r>
      <w:r w:rsidR="006A53BB" w:rsidRPr="006A53BB">
        <w:rPr>
          <w:rFonts w:ascii="Times New Roman" w:hAnsi="Times New Roman"/>
          <w:i/>
          <w:iCs/>
          <w:sz w:val="28"/>
          <w:szCs w:val="28"/>
        </w:rPr>
        <w:t>Id</w:t>
      </w:r>
      <w:r w:rsidR="006A53BB">
        <w:rPr>
          <w:rFonts w:ascii="Times New Roman" w:hAnsi="Times New Roman"/>
          <w:sz w:val="28"/>
          <w:szCs w:val="28"/>
        </w:rPr>
        <w:t>. at 478.</w:t>
      </w:r>
    </w:p>
    <w:p w14:paraId="4692A8FE" w14:textId="30EA60F5" w:rsidR="00D032AB" w:rsidRDefault="00A941E4" w:rsidP="00D032AB">
      <w:pPr>
        <w:spacing w:line="480" w:lineRule="auto"/>
        <w:ind w:firstLine="720"/>
        <w:jc w:val="both"/>
        <w:rPr>
          <w:rFonts w:ascii="Times New Roman" w:hAnsi="Times New Roman"/>
          <w:sz w:val="28"/>
          <w:szCs w:val="28"/>
        </w:rPr>
      </w:pPr>
      <w:r>
        <w:rPr>
          <w:rFonts w:ascii="Times New Roman" w:hAnsi="Times New Roman"/>
          <w:sz w:val="28"/>
          <w:szCs w:val="28"/>
        </w:rPr>
        <w:t>Then, i</w:t>
      </w:r>
      <w:r w:rsidR="00D032AB">
        <w:rPr>
          <w:rFonts w:ascii="Times New Roman" w:hAnsi="Times New Roman"/>
          <w:sz w:val="28"/>
          <w:szCs w:val="28"/>
        </w:rPr>
        <w:t xml:space="preserve">n </w:t>
      </w:r>
      <w:r w:rsidR="00D032AB" w:rsidRPr="00D032AB">
        <w:rPr>
          <w:rFonts w:ascii="Times New Roman" w:hAnsi="Times New Roman"/>
          <w:i/>
          <w:iCs/>
          <w:sz w:val="28"/>
          <w:szCs w:val="28"/>
        </w:rPr>
        <w:t>Blakely</w:t>
      </w:r>
      <w:r w:rsidR="00D032AB">
        <w:rPr>
          <w:rFonts w:ascii="Times New Roman" w:hAnsi="Times New Roman"/>
          <w:sz w:val="28"/>
          <w:szCs w:val="28"/>
        </w:rPr>
        <w:t>’s dictum, Justice Scalia said: “</w:t>
      </w:r>
      <w:r w:rsidR="00D032AB" w:rsidRPr="00D032AB">
        <w:rPr>
          <w:rFonts w:ascii="Times New Roman" w:hAnsi="Times New Roman"/>
          <w:sz w:val="28"/>
          <w:szCs w:val="28"/>
        </w:rPr>
        <w:t>“Bishop was not ‘addressing’ the ‘problem’ of statutes that aggravate</w:t>
      </w:r>
      <w:r w:rsidR="00D032AB">
        <w:rPr>
          <w:rFonts w:ascii="Times New Roman" w:hAnsi="Times New Roman"/>
          <w:sz w:val="28"/>
          <w:szCs w:val="28"/>
        </w:rPr>
        <w:t xml:space="preserve"> </w:t>
      </w:r>
      <w:r w:rsidR="00D032AB" w:rsidRPr="00D032AB">
        <w:rPr>
          <w:rFonts w:ascii="Times New Roman" w:hAnsi="Times New Roman"/>
          <w:sz w:val="28"/>
          <w:szCs w:val="28"/>
        </w:rPr>
        <w:t>common-law offenses. Rather, the entire chapter of his treatise is devoted to the</w:t>
      </w:r>
      <w:r w:rsidR="00D032AB">
        <w:rPr>
          <w:rFonts w:ascii="Times New Roman" w:hAnsi="Times New Roman"/>
          <w:sz w:val="28"/>
          <w:szCs w:val="28"/>
        </w:rPr>
        <w:t xml:space="preserve"> </w:t>
      </w:r>
      <w:r w:rsidR="00D032AB" w:rsidRPr="00D032AB">
        <w:rPr>
          <w:rFonts w:ascii="Times New Roman" w:hAnsi="Times New Roman"/>
          <w:sz w:val="28"/>
          <w:szCs w:val="28"/>
        </w:rPr>
        <w:t>point that ‘every fact which is legally essential to the punishment’ must be charged</w:t>
      </w:r>
      <w:r w:rsidR="00D032AB">
        <w:rPr>
          <w:rFonts w:ascii="Times New Roman" w:hAnsi="Times New Roman"/>
          <w:sz w:val="28"/>
          <w:szCs w:val="28"/>
        </w:rPr>
        <w:t xml:space="preserve"> </w:t>
      </w:r>
      <w:r w:rsidR="00D032AB" w:rsidRPr="00D032AB">
        <w:rPr>
          <w:rFonts w:ascii="Times New Roman" w:hAnsi="Times New Roman"/>
          <w:sz w:val="28"/>
          <w:szCs w:val="28"/>
        </w:rPr>
        <w:t xml:space="preserve">in the indictment and proved to a jury.” 542 U.S. at 302 n.5 (quoting 1 J. Bishop, </w:t>
      </w:r>
      <w:r w:rsidR="00D032AB" w:rsidRPr="00D032AB">
        <w:rPr>
          <w:rFonts w:ascii="Times New Roman" w:hAnsi="Times New Roman"/>
          <w:smallCaps/>
          <w:sz w:val="28"/>
          <w:szCs w:val="28"/>
        </w:rPr>
        <w:t>Criminal Procedure</w:t>
      </w:r>
      <w:r w:rsidR="00D032AB" w:rsidRPr="00D032AB">
        <w:rPr>
          <w:rFonts w:ascii="Times New Roman" w:hAnsi="Times New Roman"/>
          <w:sz w:val="28"/>
          <w:szCs w:val="28"/>
        </w:rPr>
        <w:t xml:space="preserve"> § 81)</w:t>
      </w:r>
      <w:r w:rsidR="00D032AB">
        <w:rPr>
          <w:rFonts w:ascii="Times New Roman" w:hAnsi="Times New Roman"/>
          <w:sz w:val="28"/>
          <w:szCs w:val="28"/>
        </w:rPr>
        <w:t xml:space="preserve">. Although </w:t>
      </w:r>
      <w:r w:rsidR="00D032AB" w:rsidRPr="00D032AB">
        <w:rPr>
          <w:rFonts w:ascii="Times New Roman" w:hAnsi="Times New Roman"/>
          <w:i/>
          <w:iCs/>
          <w:sz w:val="28"/>
          <w:szCs w:val="28"/>
        </w:rPr>
        <w:t>Blakely</w:t>
      </w:r>
      <w:r w:rsidR="00D032AB">
        <w:rPr>
          <w:rFonts w:ascii="Times New Roman" w:hAnsi="Times New Roman"/>
          <w:sz w:val="28"/>
          <w:szCs w:val="28"/>
        </w:rPr>
        <w:t xml:space="preserve"> did not purport to reach the additional issue of the right to a grand jury finding of probable cause on sentence enhancements, this language shows that if the Court is asked to reach the question, there is a strong likelihood that it will incorporate the right to a grand jury determination to the states.</w:t>
      </w:r>
    </w:p>
    <w:p w14:paraId="71A55F2D" w14:textId="684888C7" w:rsidR="00056378" w:rsidRDefault="00056378" w:rsidP="00D032AB">
      <w:pPr>
        <w:spacing w:line="480" w:lineRule="auto"/>
        <w:ind w:firstLine="720"/>
        <w:jc w:val="both"/>
        <w:rPr>
          <w:rFonts w:ascii="Times New Roman" w:hAnsi="Times New Roman"/>
          <w:sz w:val="28"/>
          <w:szCs w:val="28"/>
        </w:rPr>
      </w:pPr>
      <w:r>
        <w:rPr>
          <w:rFonts w:ascii="Times New Roman" w:hAnsi="Times New Roman"/>
          <w:sz w:val="28"/>
          <w:szCs w:val="28"/>
        </w:rPr>
        <w:t xml:space="preserve">Justice Hurwitz’s partial dissent in </w:t>
      </w:r>
      <w:r w:rsidRPr="00056378">
        <w:rPr>
          <w:rFonts w:ascii="Times New Roman" w:hAnsi="Times New Roman"/>
          <w:i/>
          <w:iCs/>
          <w:sz w:val="28"/>
          <w:szCs w:val="28"/>
        </w:rPr>
        <w:t>McKaney</w:t>
      </w:r>
      <w:r>
        <w:rPr>
          <w:rFonts w:ascii="Times New Roman" w:hAnsi="Times New Roman"/>
          <w:sz w:val="28"/>
          <w:szCs w:val="28"/>
        </w:rPr>
        <w:t xml:space="preserve"> shows the problem:</w:t>
      </w:r>
    </w:p>
    <w:p w14:paraId="215FF3F7" w14:textId="77777777" w:rsidR="00056378" w:rsidRDefault="00056378" w:rsidP="00056378">
      <w:pPr>
        <w:tabs>
          <w:tab w:val="left" w:pos="990"/>
        </w:tabs>
        <w:spacing w:line="240" w:lineRule="auto"/>
        <w:ind w:left="720" w:right="720" w:firstLine="720"/>
        <w:jc w:val="both"/>
        <w:rPr>
          <w:rFonts w:ascii="Times New Roman" w:hAnsi="Times New Roman"/>
          <w:sz w:val="28"/>
          <w:szCs w:val="28"/>
        </w:rPr>
      </w:pPr>
      <w:r w:rsidRPr="006D16D3">
        <w:rPr>
          <w:rFonts w:ascii="Times New Roman" w:hAnsi="Times New Roman"/>
          <w:sz w:val="28"/>
          <w:szCs w:val="28"/>
        </w:rPr>
        <w:t xml:space="preserve">The majority correctly notes that the federal indictment clause does not apply to the states, and we therefore are not mandated by federal law to provide our </w:t>
      </w:r>
      <w:proofErr w:type="gramStart"/>
      <w:r w:rsidRPr="006D16D3">
        <w:rPr>
          <w:rFonts w:ascii="Times New Roman" w:hAnsi="Times New Roman"/>
          <w:sz w:val="28"/>
          <w:szCs w:val="28"/>
        </w:rPr>
        <w:t>citizens</w:t>
      </w:r>
      <w:proofErr w:type="gramEnd"/>
      <w:r w:rsidRPr="006D16D3">
        <w:rPr>
          <w:rFonts w:ascii="Times New Roman" w:hAnsi="Times New Roman"/>
          <w:sz w:val="28"/>
          <w:szCs w:val="28"/>
        </w:rPr>
        <w:t xml:space="preserve"> the same protections mandated by the Fifth Amendment</w:t>
      </w:r>
      <w:proofErr w:type="gramStart"/>
      <w:r w:rsidRPr="006D16D3">
        <w:rPr>
          <w:rFonts w:ascii="Times New Roman" w:hAnsi="Times New Roman"/>
          <w:sz w:val="28"/>
          <w:szCs w:val="28"/>
        </w:rPr>
        <w:t xml:space="preserve">. </w:t>
      </w:r>
      <w:r>
        <w:rPr>
          <w:rFonts w:ascii="Times New Roman" w:hAnsi="Times New Roman"/>
          <w:sz w:val="28"/>
          <w:szCs w:val="28"/>
        </w:rPr>
        <w:t>. . .</w:t>
      </w:r>
      <w:proofErr w:type="gramEnd"/>
      <w:r w:rsidRPr="006D16D3">
        <w:rPr>
          <w:rFonts w:ascii="Times New Roman" w:hAnsi="Times New Roman"/>
          <w:sz w:val="28"/>
          <w:szCs w:val="28"/>
        </w:rPr>
        <w:t xml:space="preserve"> </w:t>
      </w:r>
      <w:r>
        <w:rPr>
          <w:rFonts w:ascii="Times New Roman" w:hAnsi="Times New Roman"/>
          <w:sz w:val="28"/>
          <w:szCs w:val="28"/>
        </w:rPr>
        <w:t>[I]</w:t>
      </w:r>
      <w:r w:rsidRPr="006D16D3">
        <w:rPr>
          <w:rFonts w:ascii="Times New Roman" w:hAnsi="Times New Roman"/>
          <w:sz w:val="28"/>
          <w:szCs w:val="28"/>
        </w:rPr>
        <w:t xml:space="preserve">n construing our Constitution, we properly begin from the premise that federal constitutional law is “the benchmark of minimum constitutional protection.” </w:t>
      </w:r>
      <w:r w:rsidRPr="006D16D3">
        <w:rPr>
          <w:rFonts w:ascii="Times New Roman" w:hAnsi="Times New Roman"/>
          <w:i/>
          <w:iCs/>
          <w:sz w:val="28"/>
          <w:szCs w:val="28"/>
        </w:rPr>
        <w:t>Large v. Superior Court,</w:t>
      </w:r>
      <w:r w:rsidRPr="006D16D3">
        <w:rPr>
          <w:rFonts w:ascii="Times New Roman" w:hAnsi="Times New Roman"/>
          <w:sz w:val="28"/>
          <w:szCs w:val="28"/>
        </w:rPr>
        <w:t xml:space="preserve"> 148 Ariz. 229, 235, 714 P.2d 399, 405 (1986). We have occasionally found our Constitution to provide broader protections to our citizens than afforded by analogous clauses in the federal document, </w:t>
      </w:r>
      <w:r w:rsidRPr="006D16D3">
        <w:rPr>
          <w:rFonts w:ascii="Times New Roman" w:hAnsi="Times New Roman"/>
          <w:i/>
          <w:iCs/>
          <w:sz w:val="28"/>
          <w:szCs w:val="28"/>
        </w:rPr>
        <w:t>e.g., Pool v. Superior Court,</w:t>
      </w:r>
      <w:r w:rsidRPr="006D16D3">
        <w:rPr>
          <w:rFonts w:ascii="Times New Roman" w:hAnsi="Times New Roman"/>
          <w:sz w:val="28"/>
          <w:szCs w:val="28"/>
        </w:rPr>
        <w:t xml:space="preserve"> 139 Ariz. 98, 108, 677 P.2d 261, 271 (1984), but we have never interpreted the protections of our fundamental document as narrower than those in the national charter.</w:t>
      </w:r>
      <w:r>
        <w:rPr>
          <w:rFonts w:ascii="Times New Roman" w:hAnsi="Times New Roman"/>
          <w:sz w:val="28"/>
          <w:szCs w:val="28"/>
        </w:rPr>
        <w:t xml:space="preserve"> </w:t>
      </w:r>
    </w:p>
    <w:p w14:paraId="791F0300" w14:textId="77777777" w:rsidR="00056378" w:rsidRDefault="00056378" w:rsidP="00056378">
      <w:pPr>
        <w:tabs>
          <w:tab w:val="left" w:pos="990"/>
        </w:tabs>
        <w:spacing w:line="240" w:lineRule="auto"/>
        <w:ind w:left="720" w:right="720" w:firstLine="720"/>
        <w:jc w:val="both"/>
        <w:rPr>
          <w:rFonts w:ascii="Times New Roman" w:hAnsi="Times New Roman"/>
          <w:sz w:val="28"/>
          <w:szCs w:val="28"/>
        </w:rPr>
      </w:pPr>
      <w:r>
        <w:rPr>
          <w:rFonts w:ascii="Times New Roman" w:hAnsi="Times New Roman"/>
          <w:sz w:val="28"/>
          <w:szCs w:val="28"/>
        </w:rPr>
        <w:lastRenderedPageBreak/>
        <w:t>…</w:t>
      </w:r>
    </w:p>
    <w:p w14:paraId="35C300A6" w14:textId="77777777" w:rsidR="00056378" w:rsidRPr="006D16D3" w:rsidRDefault="00056378" w:rsidP="00056378">
      <w:pPr>
        <w:spacing w:line="240" w:lineRule="auto"/>
        <w:ind w:left="720" w:right="720" w:firstLine="720"/>
        <w:jc w:val="both"/>
        <w:rPr>
          <w:rFonts w:ascii="Times New Roman" w:hAnsi="Times New Roman"/>
          <w:sz w:val="28"/>
          <w:szCs w:val="28"/>
        </w:rPr>
      </w:pPr>
      <w:r w:rsidRPr="00056378">
        <w:rPr>
          <w:rFonts w:ascii="Times New Roman" w:hAnsi="Times New Roman"/>
          <w:sz w:val="28"/>
          <w:szCs w:val="28"/>
        </w:rPr>
        <w:t>The Court</w:t>
      </w:r>
      <w:r>
        <w:rPr>
          <w:rFonts w:ascii="Times New Roman" w:hAnsi="Times New Roman"/>
          <w:sz w:val="28"/>
          <w:szCs w:val="28"/>
        </w:rPr>
        <w:t>’</w:t>
      </w:r>
      <w:r w:rsidRPr="00056378">
        <w:rPr>
          <w:rFonts w:ascii="Times New Roman" w:hAnsi="Times New Roman"/>
          <w:sz w:val="28"/>
          <w:szCs w:val="28"/>
        </w:rPr>
        <w:t xml:space="preserve">s conclusion today that Article II, Section </w:t>
      </w:r>
      <w:proofErr w:type="gramStart"/>
      <w:r w:rsidRPr="00056378">
        <w:rPr>
          <w:rFonts w:ascii="Times New Roman" w:hAnsi="Times New Roman"/>
          <w:sz w:val="28"/>
          <w:szCs w:val="28"/>
        </w:rPr>
        <w:t>30</w:t>
      </w:r>
      <w:proofErr w:type="gramEnd"/>
      <w:r w:rsidRPr="00056378">
        <w:rPr>
          <w:rFonts w:ascii="Times New Roman" w:hAnsi="Times New Roman"/>
          <w:sz w:val="28"/>
          <w:szCs w:val="28"/>
        </w:rPr>
        <w:t xml:space="preserve"> is not congruent with the Fifth Amendment rests entirely on the notion that the notice of alleged aggravating circumstances provided to defendants under Arizona Rule of Criminal Procedure 15.1(</w:t>
      </w:r>
      <w:proofErr w:type="spellStart"/>
      <w:r w:rsidRPr="00056378">
        <w:rPr>
          <w:rFonts w:ascii="Times New Roman" w:hAnsi="Times New Roman"/>
          <w:sz w:val="28"/>
          <w:szCs w:val="28"/>
        </w:rPr>
        <w:t>i</w:t>
      </w:r>
      <w:proofErr w:type="spellEnd"/>
      <w:r w:rsidRPr="00056378">
        <w:rPr>
          <w:rFonts w:ascii="Times New Roman" w:hAnsi="Times New Roman"/>
          <w:sz w:val="28"/>
          <w:szCs w:val="28"/>
        </w:rPr>
        <w:t xml:space="preserve">)(1) satisfies due process requirements. </w:t>
      </w:r>
      <w:r w:rsidRPr="00056378">
        <w:rPr>
          <w:rFonts w:ascii="Times New Roman" w:hAnsi="Times New Roman"/>
          <w:i/>
          <w:iCs/>
          <w:sz w:val="28"/>
          <w:szCs w:val="28"/>
        </w:rPr>
        <w:t>See</w:t>
      </w:r>
      <w:r w:rsidRPr="00056378">
        <w:rPr>
          <w:rFonts w:ascii="Times New Roman" w:hAnsi="Times New Roman"/>
          <w:sz w:val="28"/>
          <w:szCs w:val="28"/>
        </w:rPr>
        <w:t xml:space="preserve"> Ariz. R.</w:t>
      </w:r>
      <w:r>
        <w:rPr>
          <w:rFonts w:ascii="Times New Roman" w:hAnsi="Times New Roman"/>
          <w:sz w:val="28"/>
          <w:szCs w:val="28"/>
        </w:rPr>
        <w:t xml:space="preserve"> </w:t>
      </w:r>
      <w:r w:rsidRPr="00056378">
        <w:rPr>
          <w:rFonts w:ascii="Times New Roman" w:hAnsi="Times New Roman"/>
          <w:sz w:val="28"/>
          <w:szCs w:val="28"/>
        </w:rPr>
        <w:t xml:space="preserve">Crim. P. 13.5(c) (providing that the filing of such a list amends the charging </w:t>
      </w:r>
      <w:proofErr w:type="gramStart"/>
      <w:r w:rsidRPr="00056378">
        <w:rPr>
          <w:rFonts w:ascii="Times New Roman" w:hAnsi="Times New Roman"/>
          <w:sz w:val="28"/>
          <w:szCs w:val="28"/>
        </w:rPr>
        <w:t>document).</w:t>
      </w:r>
      <w:r>
        <w:rPr>
          <w:rFonts w:ascii="Times New Roman" w:hAnsi="Times New Roman"/>
          <w:sz w:val="28"/>
          <w:szCs w:val="28"/>
        </w:rPr>
        <w:t xml:space="preserve"> . .</w:t>
      </w:r>
      <w:proofErr w:type="gramEnd"/>
      <w:r>
        <w:rPr>
          <w:rFonts w:ascii="Times New Roman" w:hAnsi="Times New Roman"/>
          <w:sz w:val="28"/>
          <w:szCs w:val="28"/>
        </w:rPr>
        <w:t xml:space="preserve"> . </w:t>
      </w:r>
      <w:r w:rsidRPr="006D16D3">
        <w:rPr>
          <w:rFonts w:ascii="Times New Roman" w:hAnsi="Times New Roman"/>
          <w:sz w:val="28"/>
          <w:szCs w:val="28"/>
        </w:rPr>
        <w:t>Our indictment clause, however, was intended not only to provide a defendant with notice of the charges, but also to ensure that a neutral intermediary—a grand jury comprised of ordinary citizens—finds that probable cause exists before the State can bring charges.</w:t>
      </w:r>
      <w:r>
        <w:rPr>
          <w:rFonts w:ascii="Times New Roman" w:hAnsi="Times New Roman"/>
          <w:sz w:val="28"/>
          <w:szCs w:val="28"/>
        </w:rPr>
        <w:t xml:space="preserve"> </w:t>
      </w:r>
      <w:r w:rsidRPr="006D16D3">
        <w:rPr>
          <w:rFonts w:ascii="Times New Roman" w:hAnsi="Times New Roman"/>
          <w:sz w:val="28"/>
          <w:szCs w:val="28"/>
        </w:rPr>
        <w:t>Arizona grand juries, like their federal counterparts, were thus designed to act as a “vital check against the wrongful exercise of power by the State and its prosecutors.”</w:t>
      </w:r>
      <w:r>
        <w:rPr>
          <w:rFonts w:ascii="Times New Roman" w:hAnsi="Times New Roman"/>
          <w:sz w:val="28"/>
          <w:szCs w:val="28"/>
        </w:rPr>
        <w:t xml:space="preserve"> </w:t>
      </w:r>
    </w:p>
    <w:p w14:paraId="14FCBEA4" w14:textId="77777777" w:rsidR="00056378" w:rsidRPr="006D16D3" w:rsidRDefault="00056378" w:rsidP="00056378">
      <w:pPr>
        <w:tabs>
          <w:tab w:val="left" w:pos="990"/>
        </w:tabs>
        <w:spacing w:line="240" w:lineRule="auto"/>
        <w:ind w:left="720" w:right="720" w:firstLine="720"/>
        <w:jc w:val="both"/>
        <w:rPr>
          <w:rFonts w:ascii="Times New Roman" w:hAnsi="Times New Roman"/>
          <w:sz w:val="28"/>
          <w:szCs w:val="28"/>
        </w:rPr>
      </w:pPr>
    </w:p>
    <w:p w14:paraId="3F2A675B" w14:textId="218F759A" w:rsidR="00056378" w:rsidRPr="00B234C6" w:rsidRDefault="00056378" w:rsidP="00A941E4">
      <w:pPr>
        <w:spacing w:line="480" w:lineRule="auto"/>
        <w:jc w:val="both"/>
        <w:rPr>
          <w:rFonts w:ascii="Times New Roman" w:hAnsi="Times New Roman"/>
          <w:sz w:val="28"/>
          <w:szCs w:val="28"/>
        </w:rPr>
      </w:pPr>
      <w:r w:rsidRPr="006D16D3">
        <w:rPr>
          <w:rFonts w:ascii="Times New Roman" w:hAnsi="Times New Roman"/>
          <w:i/>
          <w:iCs/>
          <w:sz w:val="28"/>
          <w:szCs w:val="28"/>
        </w:rPr>
        <w:t>McKaney</w:t>
      </w:r>
      <w:r w:rsidRPr="006D16D3">
        <w:rPr>
          <w:rFonts w:ascii="Times New Roman" w:hAnsi="Times New Roman"/>
          <w:sz w:val="28"/>
          <w:szCs w:val="28"/>
        </w:rPr>
        <w:t xml:space="preserve">, 209 Ariz. </w:t>
      </w:r>
      <w:r>
        <w:rPr>
          <w:rFonts w:ascii="Times New Roman" w:hAnsi="Times New Roman"/>
          <w:sz w:val="28"/>
          <w:szCs w:val="28"/>
        </w:rPr>
        <w:t>at</w:t>
      </w:r>
      <w:r w:rsidRPr="006D16D3">
        <w:rPr>
          <w:rFonts w:ascii="Times New Roman" w:hAnsi="Times New Roman"/>
          <w:sz w:val="28"/>
          <w:szCs w:val="28"/>
        </w:rPr>
        <w:t xml:space="preserve"> 274</w:t>
      </w:r>
      <w:r>
        <w:rPr>
          <w:rFonts w:ascii="Times New Roman" w:hAnsi="Times New Roman"/>
          <w:sz w:val="28"/>
          <w:szCs w:val="28"/>
        </w:rPr>
        <w:t>-275</w:t>
      </w:r>
      <w:r w:rsidRPr="006D16D3">
        <w:rPr>
          <w:rFonts w:ascii="Times New Roman" w:hAnsi="Times New Roman"/>
          <w:sz w:val="28"/>
          <w:szCs w:val="28"/>
        </w:rPr>
        <w:t xml:space="preserve"> ¶</w:t>
      </w:r>
      <w:r>
        <w:rPr>
          <w:rFonts w:ascii="Times New Roman" w:hAnsi="Times New Roman"/>
          <w:sz w:val="28"/>
          <w:szCs w:val="28"/>
        </w:rPr>
        <w:t>¶</w:t>
      </w:r>
      <w:r w:rsidRPr="006D16D3">
        <w:rPr>
          <w:rFonts w:ascii="Times New Roman" w:hAnsi="Times New Roman"/>
          <w:sz w:val="28"/>
          <w:szCs w:val="28"/>
        </w:rPr>
        <w:t xml:space="preserve"> 29</w:t>
      </w:r>
      <w:r>
        <w:rPr>
          <w:rFonts w:ascii="Times New Roman" w:hAnsi="Times New Roman"/>
          <w:sz w:val="28"/>
          <w:szCs w:val="28"/>
        </w:rPr>
        <w:t>, 31 (Hurwitz, J., concurring in part and dissenting in part).</w:t>
      </w:r>
      <w:r w:rsidR="00F322B5">
        <w:rPr>
          <w:rFonts w:ascii="Times New Roman" w:hAnsi="Times New Roman"/>
          <w:sz w:val="28"/>
          <w:szCs w:val="28"/>
        </w:rPr>
        <w:t xml:space="preserve"> Consistent with </w:t>
      </w:r>
      <w:r w:rsidR="00F322B5" w:rsidRPr="006D16D3">
        <w:rPr>
          <w:rFonts w:ascii="Times New Roman" w:hAnsi="Times New Roman"/>
          <w:i/>
          <w:iCs/>
          <w:sz w:val="28"/>
          <w:szCs w:val="28"/>
        </w:rPr>
        <w:t>McKaney</w:t>
      </w:r>
      <w:r w:rsidR="00F322B5" w:rsidRPr="006D16D3">
        <w:rPr>
          <w:rFonts w:ascii="Times New Roman" w:hAnsi="Times New Roman"/>
          <w:sz w:val="28"/>
          <w:szCs w:val="28"/>
        </w:rPr>
        <w:t xml:space="preserve">, </w:t>
      </w:r>
      <w:r w:rsidR="00F322B5" w:rsidRPr="00B234C6">
        <w:rPr>
          <w:rFonts w:ascii="Times New Roman" w:hAnsi="Times New Roman"/>
          <w:sz w:val="28"/>
          <w:szCs w:val="28"/>
        </w:rPr>
        <w:t xml:space="preserve">this Court held </w:t>
      </w:r>
      <w:r w:rsidR="00F322B5">
        <w:rPr>
          <w:rFonts w:ascii="Times New Roman" w:hAnsi="Times New Roman"/>
          <w:sz w:val="28"/>
          <w:szCs w:val="28"/>
        </w:rPr>
        <w:t>i</w:t>
      </w:r>
      <w:r w:rsidR="00F322B5" w:rsidRPr="00B234C6">
        <w:rPr>
          <w:rFonts w:ascii="Times New Roman" w:hAnsi="Times New Roman"/>
          <w:sz w:val="28"/>
          <w:szCs w:val="28"/>
        </w:rPr>
        <w:t xml:space="preserve">n </w:t>
      </w:r>
      <w:r w:rsidR="00F322B5" w:rsidRPr="00B234C6">
        <w:rPr>
          <w:rFonts w:ascii="Times New Roman" w:hAnsi="Times New Roman"/>
          <w:i/>
          <w:iCs/>
          <w:sz w:val="28"/>
          <w:szCs w:val="28"/>
        </w:rPr>
        <w:t>Sanchez</w:t>
      </w:r>
      <w:r w:rsidR="00F322B5" w:rsidRPr="00B234C6">
        <w:rPr>
          <w:rFonts w:ascii="Times New Roman" w:hAnsi="Times New Roman"/>
          <w:sz w:val="28"/>
          <w:szCs w:val="28"/>
        </w:rPr>
        <w:t xml:space="preserve"> that not only is a grand jury not </w:t>
      </w:r>
      <w:r w:rsidR="00F322B5" w:rsidRPr="00B234C6">
        <w:rPr>
          <w:rFonts w:ascii="Times New Roman" w:hAnsi="Times New Roman"/>
          <w:i/>
          <w:iCs/>
          <w:sz w:val="28"/>
          <w:szCs w:val="28"/>
        </w:rPr>
        <w:t>required</w:t>
      </w:r>
      <w:r w:rsidR="00F322B5" w:rsidRPr="00B234C6">
        <w:rPr>
          <w:rFonts w:ascii="Times New Roman" w:hAnsi="Times New Roman"/>
          <w:sz w:val="28"/>
          <w:szCs w:val="28"/>
        </w:rPr>
        <w:t xml:space="preserve"> to find probable cause of aggravating factors, but neither is it </w:t>
      </w:r>
      <w:r w:rsidR="00F322B5" w:rsidRPr="00B234C6">
        <w:rPr>
          <w:rFonts w:ascii="Times New Roman" w:hAnsi="Times New Roman"/>
          <w:i/>
          <w:iCs/>
          <w:sz w:val="28"/>
          <w:szCs w:val="28"/>
        </w:rPr>
        <w:t>permitted</w:t>
      </w:r>
      <w:r w:rsidR="00F322B5" w:rsidRPr="00B234C6">
        <w:rPr>
          <w:rFonts w:ascii="Times New Roman" w:hAnsi="Times New Roman"/>
          <w:sz w:val="28"/>
          <w:szCs w:val="28"/>
        </w:rPr>
        <w:t xml:space="preserve"> to do so</w:t>
      </w:r>
      <w:r w:rsidR="00F322B5">
        <w:rPr>
          <w:rFonts w:ascii="Times New Roman" w:hAnsi="Times New Roman"/>
          <w:sz w:val="28"/>
          <w:szCs w:val="28"/>
        </w:rPr>
        <w:t>—and it relied on reasoning from noncapital cases to reach that conclusion. 234 Ariz. at 253-54 ¶¶ 10-13.</w:t>
      </w:r>
      <w:r w:rsidR="00F322B5">
        <w:rPr>
          <w:rFonts w:ascii="Times New Roman" w:hAnsi="Times New Roman"/>
          <w:sz w:val="28"/>
          <w:szCs w:val="28"/>
        </w:rPr>
        <w:t xml:space="preserve"> </w:t>
      </w:r>
      <w:proofErr w:type="gramStart"/>
      <w:r w:rsidRPr="00056378">
        <w:rPr>
          <w:rFonts w:ascii="Times New Roman" w:hAnsi="Times New Roman"/>
          <w:i/>
          <w:iCs/>
          <w:sz w:val="28"/>
          <w:szCs w:val="28"/>
        </w:rPr>
        <w:t>McKaney</w:t>
      </w:r>
      <w:proofErr w:type="gramEnd"/>
      <w:r>
        <w:rPr>
          <w:rFonts w:ascii="Times New Roman" w:hAnsi="Times New Roman"/>
          <w:sz w:val="28"/>
          <w:szCs w:val="28"/>
        </w:rPr>
        <w:t xml:space="preserve"> need not be revisited so long as the accused has an opportunity to demand a probable-cause finding in some form before trial. Rule 13.5 provides that avenue, and for that reason</w:t>
      </w:r>
      <w:r w:rsidRPr="00B234C6">
        <w:rPr>
          <w:rFonts w:ascii="Times New Roman" w:hAnsi="Times New Roman"/>
          <w:sz w:val="28"/>
          <w:szCs w:val="28"/>
        </w:rPr>
        <w:t xml:space="preserve">, </w:t>
      </w:r>
      <w:r w:rsidR="00086485">
        <w:rPr>
          <w:rFonts w:ascii="Times New Roman" w:hAnsi="Times New Roman"/>
          <w:sz w:val="28"/>
          <w:szCs w:val="28"/>
        </w:rPr>
        <w:t>Petitioner’s rule change petition invites an unnecessary confrontation over incorporation of the Fifth Amendment right to a grand jury proceeding.</w:t>
      </w:r>
      <w:r w:rsidRPr="00B234C6">
        <w:rPr>
          <w:rFonts w:ascii="Times New Roman" w:hAnsi="Times New Roman"/>
          <w:sz w:val="28"/>
          <w:szCs w:val="28"/>
        </w:rPr>
        <w:t xml:space="preserve"> </w:t>
      </w:r>
    </w:p>
    <w:p w14:paraId="15DF98EF" w14:textId="46B957F2" w:rsidR="0096059C" w:rsidRDefault="0096059C" w:rsidP="0096059C">
      <w:pPr>
        <w:spacing w:line="480" w:lineRule="auto"/>
        <w:ind w:firstLine="720"/>
        <w:jc w:val="both"/>
        <w:rPr>
          <w:rFonts w:ascii="Times New Roman" w:hAnsi="Times New Roman"/>
          <w:sz w:val="28"/>
          <w:szCs w:val="28"/>
        </w:rPr>
      </w:pPr>
      <w:r>
        <w:rPr>
          <w:rFonts w:ascii="Times New Roman" w:hAnsi="Times New Roman"/>
          <w:sz w:val="28"/>
          <w:szCs w:val="28"/>
        </w:rPr>
        <w:t>“[T]</w:t>
      </w:r>
      <w:r w:rsidRPr="0096059C">
        <w:rPr>
          <w:rFonts w:ascii="Times New Roman" w:hAnsi="Times New Roman"/>
          <w:sz w:val="28"/>
          <w:szCs w:val="28"/>
        </w:rPr>
        <w:t>he Court has never held that federal concepts of a ‘grand jury,’ binding on the federal courts under the Fifth Amendment, are obligatory for the States.</w:t>
      </w:r>
      <w:r>
        <w:rPr>
          <w:rFonts w:ascii="Times New Roman" w:hAnsi="Times New Roman"/>
          <w:sz w:val="28"/>
          <w:szCs w:val="28"/>
        </w:rPr>
        <w:t xml:space="preserve">” </w:t>
      </w:r>
      <w:r w:rsidRPr="0096059C">
        <w:rPr>
          <w:rFonts w:ascii="Times New Roman" w:hAnsi="Times New Roman"/>
          <w:i/>
          <w:iCs/>
          <w:sz w:val="28"/>
          <w:szCs w:val="28"/>
        </w:rPr>
        <w:t>Alexander v. Louisiana</w:t>
      </w:r>
      <w:r>
        <w:rPr>
          <w:rFonts w:ascii="Times New Roman" w:hAnsi="Times New Roman"/>
          <w:sz w:val="28"/>
          <w:szCs w:val="28"/>
        </w:rPr>
        <w:t>, 405 U.S. 625, 633 (1972) (citing</w:t>
      </w:r>
      <w:r w:rsidRPr="0096059C">
        <w:rPr>
          <w:rFonts w:ascii="Times New Roman" w:hAnsi="Times New Roman"/>
          <w:sz w:val="28"/>
          <w:szCs w:val="28"/>
        </w:rPr>
        <w:t xml:space="preserve"> </w:t>
      </w:r>
      <w:r w:rsidRPr="0096059C">
        <w:rPr>
          <w:rFonts w:ascii="Times New Roman" w:hAnsi="Times New Roman"/>
          <w:i/>
          <w:iCs/>
          <w:sz w:val="28"/>
          <w:szCs w:val="28"/>
        </w:rPr>
        <w:t>Hurtado v. California</w:t>
      </w:r>
      <w:r w:rsidRPr="0096059C">
        <w:rPr>
          <w:rFonts w:ascii="Times New Roman" w:hAnsi="Times New Roman"/>
          <w:sz w:val="28"/>
          <w:szCs w:val="28"/>
        </w:rPr>
        <w:t>, 110 U.S. 516, 538 (1884</w:t>
      </w:r>
      <w:r>
        <w:rPr>
          <w:rFonts w:ascii="Times New Roman" w:hAnsi="Times New Roman"/>
          <w:sz w:val="28"/>
          <w:szCs w:val="28"/>
        </w:rPr>
        <w:t>)</w:t>
      </w:r>
      <w:r w:rsidRPr="0096059C">
        <w:rPr>
          <w:rFonts w:ascii="Times New Roman" w:hAnsi="Times New Roman"/>
          <w:sz w:val="28"/>
          <w:szCs w:val="28"/>
        </w:rPr>
        <w:t>).</w:t>
      </w:r>
      <w:r w:rsidR="00810593">
        <w:rPr>
          <w:rFonts w:ascii="Times New Roman" w:hAnsi="Times New Roman"/>
          <w:sz w:val="28"/>
          <w:szCs w:val="28"/>
        </w:rPr>
        <w:t xml:space="preserve"> In the last hundred years, every right in the Bill of Rights that </w:t>
      </w:r>
      <w:r w:rsidR="00810593">
        <w:rPr>
          <w:rFonts w:ascii="Times New Roman" w:hAnsi="Times New Roman"/>
          <w:sz w:val="28"/>
          <w:szCs w:val="28"/>
        </w:rPr>
        <w:lastRenderedPageBreak/>
        <w:t xml:space="preserve">has been considered for incorporation has been found </w:t>
      </w:r>
      <w:r w:rsidR="00810593" w:rsidRPr="00810593">
        <w:rPr>
          <w:rFonts w:ascii="Times New Roman" w:hAnsi="Times New Roman"/>
          <w:sz w:val="28"/>
          <w:szCs w:val="28"/>
        </w:rPr>
        <w:t>“fundamental to our scheme of ordered liberty,” or “deeply rooted in this Nation's history and tradition.”</w:t>
      </w:r>
      <w:r w:rsidR="00810593">
        <w:rPr>
          <w:rFonts w:ascii="Times New Roman" w:hAnsi="Times New Roman"/>
          <w:sz w:val="28"/>
          <w:szCs w:val="28"/>
        </w:rPr>
        <w:t xml:space="preserve"> </w:t>
      </w:r>
      <w:r w:rsidR="00810593" w:rsidRPr="00810593">
        <w:rPr>
          <w:rFonts w:ascii="Times New Roman" w:hAnsi="Times New Roman"/>
          <w:i/>
          <w:iCs/>
          <w:sz w:val="28"/>
          <w:szCs w:val="28"/>
        </w:rPr>
        <w:t>Timbs v. Indiana</w:t>
      </w:r>
      <w:r w:rsidR="00810593">
        <w:rPr>
          <w:rFonts w:ascii="Times New Roman" w:hAnsi="Times New Roman"/>
          <w:sz w:val="28"/>
          <w:szCs w:val="28"/>
        </w:rPr>
        <w:t xml:space="preserve">, 586 U.S. 146, 150 (2019) (quoting </w:t>
      </w:r>
      <w:r w:rsidR="00810593" w:rsidRPr="00810593">
        <w:rPr>
          <w:rFonts w:ascii="Times New Roman" w:hAnsi="Times New Roman"/>
          <w:i/>
          <w:iCs/>
          <w:sz w:val="28"/>
          <w:szCs w:val="28"/>
        </w:rPr>
        <w:t>McDonald v. Chicago</w:t>
      </w:r>
      <w:r w:rsidR="00810593">
        <w:rPr>
          <w:rFonts w:ascii="Times New Roman" w:hAnsi="Times New Roman"/>
          <w:sz w:val="28"/>
          <w:szCs w:val="28"/>
        </w:rPr>
        <w:t>, 561 U.S. 742, 767 (2010)).</w:t>
      </w:r>
      <w:r w:rsidR="007061B9">
        <w:rPr>
          <w:rFonts w:ascii="Times New Roman" w:hAnsi="Times New Roman"/>
          <w:sz w:val="28"/>
          <w:szCs w:val="28"/>
        </w:rPr>
        <w:t xml:space="preserve"> </w:t>
      </w:r>
      <w:r w:rsidR="007061B9" w:rsidRPr="007061B9">
        <w:rPr>
          <w:rFonts w:ascii="Times New Roman" w:hAnsi="Times New Roman"/>
          <w:i/>
          <w:iCs/>
          <w:sz w:val="28"/>
          <w:szCs w:val="28"/>
        </w:rPr>
        <w:t>Hurtado</w:t>
      </w:r>
      <w:r w:rsidR="007061B9">
        <w:rPr>
          <w:rFonts w:ascii="Times New Roman" w:hAnsi="Times New Roman"/>
          <w:sz w:val="28"/>
          <w:szCs w:val="28"/>
        </w:rPr>
        <w:t>, decided long before the U.S. Supreme Court developed its incorporation doctrine, is the only remaining right of the criminally accused in the Bill of Rights to be incorporated. It is only a matter of time.</w:t>
      </w:r>
    </w:p>
    <w:p w14:paraId="2F5A1FB6" w14:textId="37B7F540" w:rsidR="00BB7100" w:rsidRPr="008C1CCA" w:rsidRDefault="006E3BEB" w:rsidP="00086485">
      <w:pPr>
        <w:spacing w:line="480" w:lineRule="auto"/>
        <w:ind w:firstLine="720"/>
        <w:jc w:val="both"/>
        <w:rPr>
          <w:rFonts w:ascii="Times New Roman" w:hAnsi="Times New Roman"/>
          <w:sz w:val="28"/>
          <w:szCs w:val="28"/>
        </w:rPr>
      </w:pPr>
      <w:r>
        <w:rPr>
          <w:rFonts w:ascii="Times New Roman" w:hAnsi="Times New Roman"/>
          <w:sz w:val="28"/>
          <w:szCs w:val="28"/>
        </w:rPr>
        <w:t>By</w:t>
      </w:r>
      <w:r w:rsidR="007061B9">
        <w:rPr>
          <w:rFonts w:ascii="Times New Roman" w:hAnsi="Times New Roman"/>
          <w:sz w:val="28"/>
          <w:szCs w:val="28"/>
        </w:rPr>
        <w:t xml:space="preserve"> provid</w:t>
      </w:r>
      <w:r>
        <w:rPr>
          <w:rFonts w:ascii="Times New Roman" w:hAnsi="Times New Roman"/>
          <w:sz w:val="28"/>
          <w:szCs w:val="28"/>
        </w:rPr>
        <w:t>ing</w:t>
      </w:r>
      <w:r w:rsidR="007061B9">
        <w:rPr>
          <w:rFonts w:ascii="Times New Roman" w:hAnsi="Times New Roman"/>
          <w:sz w:val="28"/>
          <w:szCs w:val="28"/>
        </w:rPr>
        <w:t xml:space="preserve"> probable-cause hearings under Rule 13.5, using the procedures for preliminary hearings under Rule 5</w:t>
      </w:r>
      <w:r>
        <w:rPr>
          <w:rFonts w:ascii="Times New Roman" w:hAnsi="Times New Roman"/>
          <w:sz w:val="28"/>
          <w:szCs w:val="28"/>
        </w:rPr>
        <w:t xml:space="preserve">, Arizona supplies an equivalent to the federal constitutional right to a grand jury. If such a right were to be taken away, and the U.S. Supreme Court then held that the Fifth Amendment right to a grand jury is incorporated to the states, then article 2, section 30 of the Arizona Constitution, which allows for a preliminary hearing as an equivalent process, would be deemed unconstitutional under the Supremacy Clause. </w:t>
      </w:r>
      <w:r w:rsidR="00086485">
        <w:rPr>
          <w:rFonts w:ascii="Times New Roman" w:hAnsi="Times New Roman"/>
          <w:sz w:val="28"/>
          <w:szCs w:val="28"/>
        </w:rPr>
        <w:t xml:space="preserve">The legislature would then be required to take immediate corrective action (as it did when </w:t>
      </w:r>
      <w:r w:rsidR="00086485" w:rsidRPr="006D16D3">
        <w:rPr>
          <w:rFonts w:ascii="Times New Roman" w:hAnsi="Times New Roman"/>
          <w:i/>
          <w:iCs/>
          <w:sz w:val="28"/>
          <w:szCs w:val="28"/>
        </w:rPr>
        <w:t>Ring</w:t>
      </w:r>
      <w:r w:rsidR="00086485">
        <w:rPr>
          <w:rFonts w:ascii="Times New Roman" w:hAnsi="Times New Roman"/>
          <w:sz w:val="28"/>
          <w:szCs w:val="28"/>
        </w:rPr>
        <w:t xml:space="preserve"> was decided). </w:t>
      </w:r>
      <w:r>
        <w:rPr>
          <w:rFonts w:ascii="Times New Roman" w:hAnsi="Times New Roman"/>
          <w:sz w:val="28"/>
          <w:szCs w:val="28"/>
        </w:rPr>
        <w:t xml:space="preserve">There is no need to upend Arizona law merely because Petitioner is unhappy about </w:t>
      </w:r>
      <w:r w:rsidRPr="006E3BEB">
        <w:rPr>
          <w:rFonts w:ascii="Times New Roman" w:hAnsi="Times New Roman"/>
          <w:i/>
          <w:iCs/>
          <w:sz w:val="28"/>
          <w:szCs w:val="28"/>
        </w:rPr>
        <w:t>Navarro-Figueroa</w:t>
      </w:r>
      <w:r>
        <w:rPr>
          <w:rFonts w:ascii="Times New Roman" w:hAnsi="Times New Roman"/>
          <w:sz w:val="28"/>
          <w:szCs w:val="28"/>
        </w:rPr>
        <w:t>.</w:t>
      </w:r>
    </w:p>
    <w:p w14:paraId="3FC1597B" w14:textId="012C6E19" w:rsidR="008C1CCA" w:rsidRPr="008C1CCA" w:rsidRDefault="00896720" w:rsidP="00896720">
      <w:pPr>
        <w:pStyle w:val="ListParagraph"/>
        <w:numPr>
          <w:ilvl w:val="0"/>
          <w:numId w:val="28"/>
        </w:numPr>
        <w:spacing w:line="240" w:lineRule="auto"/>
        <w:ind w:left="720"/>
        <w:jc w:val="both"/>
        <w:rPr>
          <w:rFonts w:ascii="Times New Roman" w:hAnsi="Times New Roman"/>
          <w:b/>
          <w:bCs/>
          <w:sz w:val="28"/>
          <w:szCs w:val="28"/>
        </w:rPr>
      </w:pPr>
      <w:proofErr w:type="gramStart"/>
      <w:r>
        <w:rPr>
          <w:rFonts w:ascii="Times New Roman" w:hAnsi="Times New Roman"/>
          <w:b/>
          <w:bCs/>
          <w:sz w:val="28"/>
          <w:szCs w:val="28"/>
        </w:rPr>
        <w:t>Petitioner’s</w:t>
      </w:r>
      <w:proofErr w:type="gramEnd"/>
      <w:r>
        <w:rPr>
          <w:rFonts w:ascii="Times New Roman" w:hAnsi="Times New Roman"/>
          <w:b/>
          <w:bCs/>
          <w:sz w:val="28"/>
          <w:szCs w:val="28"/>
        </w:rPr>
        <w:t xml:space="preserve"> policy concerns are misplaced, but minor changes to the rule may help with case management in the trial court.</w:t>
      </w:r>
    </w:p>
    <w:p w14:paraId="15B9A2A1" w14:textId="77777777" w:rsidR="008C1CCA" w:rsidRDefault="008C1CCA" w:rsidP="00896720">
      <w:pPr>
        <w:spacing w:line="240" w:lineRule="auto"/>
        <w:ind w:firstLine="720"/>
        <w:jc w:val="both"/>
        <w:rPr>
          <w:rFonts w:ascii="Times New Roman" w:hAnsi="Times New Roman"/>
          <w:sz w:val="28"/>
          <w:szCs w:val="28"/>
        </w:rPr>
      </w:pPr>
    </w:p>
    <w:p w14:paraId="6132F98C" w14:textId="5951BC89" w:rsidR="00896720" w:rsidRDefault="00896720" w:rsidP="00BB7100">
      <w:pPr>
        <w:spacing w:line="480" w:lineRule="auto"/>
        <w:ind w:firstLine="720"/>
        <w:jc w:val="both"/>
        <w:rPr>
          <w:rFonts w:ascii="Times New Roman" w:hAnsi="Times New Roman"/>
          <w:sz w:val="28"/>
          <w:szCs w:val="28"/>
        </w:rPr>
      </w:pPr>
      <w:r>
        <w:rPr>
          <w:rFonts w:ascii="Times New Roman" w:hAnsi="Times New Roman"/>
          <w:sz w:val="28"/>
          <w:szCs w:val="28"/>
        </w:rPr>
        <w:t xml:space="preserve">Petitioner </w:t>
      </w:r>
      <w:r w:rsidR="00666672">
        <w:rPr>
          <w:rFonts w:ascii="Times New Roman" w:hAnsi="Times New Roman"/>
          <w:sz w:val="28"/>
          <w:szCs w:val="28"/>
        </w:rPr>
        <w:t>complains that permitting probable-cause challenges to sentence enhancements will require</w:t>
      </w:r>
      <w:r>
        <w:rPr>
          <w:rFonts w:ascii="Times New Roman" w:hAnsi="Times New Roman"/>
          <w:sz w:val="28"/>
          <w:szCs w:val="28"/>
        </w:rPr>
        <w:t xml:space="preserve"> </w:t>
      </w:r>
      <w:r w:rsidR="00666672">
        <w:rPr>
          <w:rFonts w:ascii="Times New Roman" w:hAnsi="Times New Roman"/>
          <w:sz w:val="28"/>
          <w:szCs w:val="28"/>
        </w:rPr>
        <w:t xml:space="preserve">“inefficient </w:t>
      </w:r>
      <w:r>
        <w:rPr>
          <w:rFonts w:ascii="Times New Roman" w:hAnsi="Times New Roman"/>
          <w:sz w:val="28"/>
          <w:szCs w:val="28"/>
        </w:rPr>
        <w:t>mini-trials</w:t>
      </w:r>
      <w:r w:rsidR="00666672">
        <w:rPr>
          <w:rFonts w:ascii="Times New Roman" w:hAnsi="Times New Roman"/>
          <w:sz w:val="28"/>
          <w:szCs w:val="28"/>
        </w:rPr>
        <w:t xml:space="preserve">.” Petition at 16. The State made </w:t>
      </w:r>
      <w:r w:rsidR="00666672">
        <w:rPr>
          <w:rFonts w:ascii="Times New Roman" w:hAnsi="Times New Roman"/>
          <w:sz w:val="28"/>
          <w:szCs w:val="28"/>
        </w:rPr>
        <w:lastRenderedPageBreak/>
        <w:t xml:space="preserve">this very argument in </w:t>
      </w:r>
      <w:r w:rsidR="00666672" w:rsidRPr="00666672">
        <w:rPr>
          <w:rFonts w:ascii="Times New Roman" w:hAnsi="Times New Roman"/>
          <w:i/>
          <w:iCs/>
          <w:sz w:val="28"/>
          <w:szCs w:val="28"/>
        </w:rPr>
        <w:t>Chronis</w:t>
      </w:r>
      <w:r w:rsidR="00295F77">
        <w:rPr>
          <w:rFonts w:ascii="Times New Roman" w:hAnsi="Times New Roman"/>
          <w:sz w:val="28"/>
          <w:szCs w:val="28"/>
        </w:rPr>
        <w:t>;</w:t>
      </w:r>
      <w:r w:rsidR="00666672">
        <w:rPr>
          <w:rFonts w:ascii="Times New Roman" w:hAnsi="Times New Roman"/>
          <w:sz w:val="28"/>
          <w:szCs w:val="28"/>
        </w:rPr>
        <w:t xml:space="preserve"> this Court rejected it out of hand</w:t>
      </w:r>
      <w:r w:rsidR="00295F77">
        <w:rPr>
          <w:rFonts w:ascii="Times New Roman" w:hAnsi="Times New Roman"/>
          <w:sz w:val="28"/>
          <w:szCs w:val="28"/>
        </w:rPr>
        <w:t xml:space="preserve"> because of relaxed evidentiary rules and the hearing’s limited scope</w:t>
      </w:r>
      <w:r w:rsidR="00666672">
        <w:rPr>
          <w:rFonts w:ascii="Times New Roman" w:hAnsi="Times New Roman"/>
          <w:sz w:val="28"/>
          <w:szCs w:val="28"/>
        </w:rPr>
        <w:t>. 220 Ariz. at 562-63 ¶¶ 18-19.</w:t>
      </w:r>
    </w:p>
    <w:p w14:paraId="42CBE71F" w14:textId="59BE1557" w:rsidR="00A85E85" w:rsidRDefault="00A85E85" w:rsidP="00A85E85">
      <w:pPr>
        <w:spacing w:line="480" w:lineRule="auto"/>
        <w:ind w:firstLine="720"/>
        <w:jc w:val="both"/>
        <w:rPr>
          <w:rFonts w:ascii="Times New Roman" w:hAnsi="Times New Roman"/>
          <w:sz w:val="28"/>
          <w:szCs w:val="28"/>
        </w:rPr>
      </w:pPr>
      <w:r>
        <w:rPr>
          <w:rFonts w:ascii="Times New Roman" w:hAnsi="Times New Roman"/>
          <w:sz w:val="28"/>
          <w:szCs w:val="28"/>
        </w:rPr>
        <w:t xml:space="preserve">Last point first. Even if the State were right about such inefficiencies, that is irrelevant. As Justice Scalia repeatedly opined, the criminal justice system is inefficient by design, because such inefficiencies ensure the protection of the rights of the accused. See </w:t>
      </w:r>
      <w:r w:rsidRPr="006E3BEB">
        <w:rPr>
          <w:rFonts w:ascii="Times New Roman" w:hAnsi="Times New Roman"/>
          <w:i/>
          <w:iCs/>
          <w:sz w:val="28"/>
          <w:szCs w:val="28"/>
        </w:rPr>
        <w:t>Apprendi</w:t>
      </w:r>
      <w:r>
        <w:rPr>
          <w:rFonts w:ascii="Times New Roman" w:hAnsi="Times New Roman"/>
          <w:sz w:val="28"/>
          <w:szCs w:val="28"/>
        </w:rPr>
        <w:t>, 530 U.S. at 498 (Scalia, J., concurring) (“[</w:t>
      </w:r>
      <w:r w:rsidRPr="00F931B3">
        <w:rPr>
          <w:rFonts w:ascii="Times New Roman" w:hAnsi="Times New Roman"/>
          <w:sz w:val="28"/>
          <w:szCs w:val="28"/>
        </w:rPr>
        <w:t>T</w:t>
      </w:r>
      <w:r>
        <w:rPr>
          <w:rFonts w:ascii="Times New Roman" w:hAnsi="Times New Roman"/>
          <w:sz w:val="28"/>
          <w:szCs w:val="28"/>
        </w:rPr>
        <w:t>]</w:t>
      </w:r>
      <w:r w:rsidRPr="00F931B3">
        <w:rPr>
          <w:rFonts w:ascii="Times New Roman" w:hAnsi="Times New Roman"/>
          <w:sz w:val="28"/>
          <w:szCs w:val="28"/>
        </w:rPr>
        <w:t>he jury-trial guarantee was one of the least controversial provisions of the Bill of Rights. It has never been efficient; but it has always been free.</w:t>
      </w:r>
      <w:r>
        <w:rPr>
          <w:rFonts w:ascii="Times New Roman" w:hAnsi="Times New Roman"/>
          <w:sz w:val="28"/>
          <w:szCs w:val="28"/>
        </w:rPr>
        <w:t xml:space="preserve">”); </w:t>
      </w:r>
      <w:r w:rsidRPr="00733F41">
        <w:rPr>
          <w:rFonts w:ascii="Times New Roman" w:hAnsi="Times New Roman"/>
          <w:i/>
          <w:iCs/>
          <w:sz w:val="28"/>
          <w:szCs w:val="28"/>
        </w:rPr>
        <w:t>Melendez-Diaz v. Massachusetts</w:t>
      </w:r>
      <w:r>
        <w:rPr>
          <w:rFonts w:ascii="Times New Roman" w:hAnsi="Times New Roman"/>
          <w:sz w:val="28"/>
          <w:szCs w:val="28"/>
        </w:rPr>
        <w:t>, 557 U.S. 305, 325 (2009) (“</w:t>
      </w:r>
      <w:r w:rsidRPr="00733F41">
        <w:rPr>
          <w:rFonts w:ascii="Times New Roman" w:hAnsi="Times New Roman"/>
          <w:sz w:val="28"/>
          <w:szCs w:val="28"/>
        </w:rPr>
        <w:t>The Confrontation Clause may make the prosecution of criminals more burdensome, but that is equally true of the right to trial by jury and the privilege against self-incrimination.</w:t>
      </w:r>
      <w:r>
        <w:rPr>
          <w:rFonts w:ascii="Times New Roman" w:hAnsi="Times New Roman"/>
          <w:sz w:val="28"/>
          <w:szCs w:val="28"/>
        </w:rPr>
        <w:t xml:space="preserve"> </w:t>
      </w:r>
      <w:r w:rsidRPr="00733F41">
        <w:rPr>
          <w:rFonts w:ascii="Times New Roman" w:hAnsi="Times New Roman"/>
          <w:sz w:val="28"/>
          <w:szCs w:val="28"/>
        </w:rPr>
        <w:t>The Confrontation Clause—like those other constitutional provisions—is binding, and we may not disregard it at our convenience.</w:t>
      </w:r>
      <w:r>
        <w:rPr>
          <w:rFonts w:ascii="Times New Roman" w:hAnsi="Times New Roman"/>
          <w:sz w:val="28"/>
          <w:szCs w:val="28"/>
        </w:rPr>
        <w:t>”).</w:t>
      </w:r>
    </w:p>
    <w:p w14:paraId="7768BD14" w14:textId="2878BEE2" w:rsidR="00E55454" w:rsidRDefault="00A85E85" w:rsidP="00BB7100">
      <w:pPr>
        <w:spacing w:line="480" w:lineRule="auto"/>
        <w:ind w:firstLine="720"/>
        <w:jc w:val="both"/>
        <w:rPr>
          <w:rFonts w:ascii="Times New Roman" w:hAnsi="Times New Roman"/>
          <w:sz w:val="28"/>
          <w:szCs w:val="28"/>
        </w:rPr>
      </w:pPr>
      <w:r>
        <w:rPr>
          <w:rFonts w:ascii="Times New Roman" w:hAnsi="Times New Roman"/>
          <w:sz w:val="28"/>
          <w:szCs w:val="28"/>
        </w:rPr>
        <w:t xml:space="preserve">Regardless, the State’s claim of </w:t>
      </w:r>
      <w:proofErr w:type="gramStart"/>
      <w:r>
        <w:rPr>
          <w:rFonts w:ascii="Times New Roman" w:hAnsi="Times New Roman"/>
          <w:sz w:val="28"/>
          <w:szCs w:val="28"/>
        </w:rPr>
        <w:t>mini-trials</w:t>
      </w:r>
      <w:proofErr w:type="gramEnd"/>
      <w:r>
        <w:rPr>
          <w:rFonts w:ascii="Times New Roman" w:hAnsi="Times New Roman"/>
          <w:sz w:val="28"/>
          <w:szCs w:val="28"/>
        </w:rPr>
        <w:t xml:space="preserve"> is not borne out by daily practice in court. </w:t>
      </w:r>
      <w:r w:rsidR="00295F77">
        <w:rPr>
          <w:rFonts w:ascii="Times New Roman" w:hAnsi="Times New Roman"/>
          <w:sz w:val="28"/>
          <w:szCs w:val="28"/>
        </w:rPr>
        <w:t>Many sentencing allegations—capital and noncapital alike</w:t>
      </w:r>
      <w:proofErr w:type="gramStart"/>
      <w:r w:rsidR="00295F77">
        <w:rPr>
          <w:rFonts w:ascii="Times New Roman" w:hAnsi="Times New Roman"/>
          <w:sz w:val="28"/>
          <w:szCs w:val="28"/>
        </w:rPr>
        <w:t>—</w:t>
      </w:r>
      <w:r w:rsidR="00572716">
        <w:rPr>
          <w:rFonts w:ascii="Times New Roman" w:hAnsi="Times New Roman"/>
          <w:sz w:val="28"/>
          <w:szCs w:val="28"/>
        </w:rPr>
        <w:t>“</w:t>
      </w:r>
      <w:proofErr w:type="gramEnd"/>
      <w:r w:rsidR="00572716">
        <w:rPr>
          <w:rFonts w:ascii="Times New Roman" w:hAnsi="Times New Roman"/>
          <w:sz w:val="28"/>
          <w:szCs w:val="28"/>
        </w:rPr>
        <w:t>turn on purely legal questions”</w:t>
      </w:r>
      <w:r w:rsidR="00295F77">
        <w:rPr>
          <w:rFonts w:ascii="Times New Roman" w:hAnsi="Times New Roman"/>
          <w:sz w:val="28"/>
          <w:szCs w:val="28"/>
        </w:rPr>
        <w:t xml:space="preserve"> that can be addressed </w:t>
      </w:r>
      <w:r w:rsidR="00572716">
        <w:rPr>
          <w:rFonts w:ascii="Times New Roman" w:hAnsi="Times New Roman"/>
          <w:sz w:val="28"/>
          <w:szCs w:val="28"/>
        </w:rPr>
        <w:t>in</w:t>
      </w:r>
      <w:r w:rsidR="00295F77">
        <w:rPr>
          <w:rFonts w:ascii="Times New Roman" w:hAnsi="Times New Roman"/>
          <w:sz w:val="28"/>
          <w:szCs w:val="28"/>
        </w:rPr>
        <w:t xml:space="preserve"> pleadings</w:t>
      </w:r>
      <w:r w:rsidR="00572716">
        <w:rPr>
          <w:rFonts w:ascii="Times New Roman" w:hAnsi="Times New Roman"/>
          <w:sz w:val="28"/>
          <w:szCs w:val="28"/>
        </w:rPr>
        <w:t xml:space="preserve"> and argument</w:t>
      </w:r>
      <w:r w:rsidR="00295F77">
        <w:rPr>
          <w:rFonts w:ascii="Times New Roman" w:hAnsi="Times New Roman"/>
          <w:sz w:val="28"/>
          <w:szCs w:val="28"/>
        </w:rPr>
        <w:t xml:space="preserve">. </w:t>
      </w:r>
      <w:r w:rsidR="00572716" w:rsidRPr="00572716">
        <w:rPr>
          <w:rFonts w:ascii="Times New Roman" w:hAnsi="Times New Roman"/>
          <w:i/>
          <w:iCs/>
          <w:sz w:val="28"/>
          <w:szCs w:val="28"/>
        </w:rPr>
        <w:t>Allen</w:t>
      </w:r>
      <w:r w:rsidR="00572716">
        <w:rPr>
          <w:rFonts w:ascii="Times New Roman" w:hAnsi="Times New Roman"/>
          <w:sz w:val="28"/>
          <w:szCs w:val="28"/>
        </w:rPr>
        <w:t xml:space="preserve">, 240 Ariz. </w:t>
      </w:r>
      <w:r w:rsidR="005F497D">
        <w:rPr>
          <w:rFonts w:ascii="Times New Roman" w:hAnsi="Times New Roman"/>
          <w:sz w:val="28"/>
          <w:szCs w:val="28"/>
        </w:rPr>
        <w:t>at</w:t>
      </w:r>
      <w:r w:rsidR="00572716">
        <w:rPr>
          <w:rFonts w:ascii="Times New Roman" w:hAnsi="Times New Roman"/>
          <w:sz w:val="28"/>
          <w:szCs w:val="28"/>
        </w:rPr>
        <w:t xml:space="preserve"> 572 ¶¶ 13-14. In </w:t>
      </w:r>
      <w:r w:rsidR="00572716" w:rsidRPr="00572716">
        <w:rPr>
          <w:rFonts w:ascii="Times New Roman" w:hAnsi="Times New Roman"/>
          <w:i/>
          <w:iCs/>
          <w:sz w:val="28"/>
          <w:szCs w:val="28"/>
        </w:rPr>
        <w:t>Allen</w:t>
      </w:r>
      <w:r w:rsidR="00572716">
        <w:rPr>
          <w:rFonts w:ascii="Times New Roman" w:hAnsi="Times New Roman"/>
          <w:sz w:val="28"/>
          <w:szCs w:val="28"/>
        </w:rPr>
        <w:t xml:space="preserve">, </w:t>
      </w:r>
      <w:r w:rsidR="00295F77">
        <w:rPr>
          <w:rFonts w:ascii="Times New Roman" w:hAnsi="Times New Roman"/>
          <w:sz w:val="28"/>
          <w:szCs w:val="28"/>
        </w:rPr>
        <w:t xml:space="preserve">this Court held that </w:t>
      </w:r>
      <w:r w:rsidR="00295F77" w:rsidRPr="00295F77">
        <w:rPr>
          <w:rFonts w:ascii="Times New Roman" w:hAnsi="Times New Roman"/>
          <w:i/>
          <w:iCs/>
          <w:sz w:val="28"/>
          <w:szCs w:val="28"/>
        </w:rPr>
        <w:t>Chronis</w:t>
      </w:r>
      <w:r w:rsidR="00295F77">
        <w:rPr>
          <w:rFonts w:ascii="Times New Roman" w:hAnsi="Times New Roman"/>
          <w:sz w:val="28"/>
          <w:szCs w:val="28"/>
        </w:rPr>
        <w:t xml:space="preserve"> and </w:t>
      </w:r>
      <w:r w:rsidR="00295F77" w:rsidRPr="00295F77">
        <w:rPr>
          <w:rFonts w:ascii="Times New Roman" w:hAnsi="Times New Roman"/>
          <w:i/>
          <w:iCs/>
          <w:sz w:val="28"/>
          <w:szCs w:val="28"/>
        </w:rPr>
        <w:t>Sanchez</w:t>
      </w:r>
      <w:r w:rsidR="00295F77">
        <w:rPr>
          <w:rFonts w:ascii="Times New Roman" w:hAnsi="Times New Roman"/>
          <w:sz w:val="28"/>
          <w:szCs w:val="28"/>
        </w:rPr>
        <w:t xml:space="preserve"> required </w:t>
      </w:r>
      <w:r w:rsidR="00572716">
        <w:rPr>
          <w:rFonts w:ascii="Times New Roman" w:hAnsi="Times New Roman"/>
          <w:sz w:val="28"/>
          <w:szCs w:val="28"/>
        </w:rPr>
        <w:t xml:space="preserve">the trial court only to make </w:t>
      </w:r>
      <w:r w:rsidR="00295F77">
        <w:rPr>
          <w:rFonts w:ascii="Times New Roman" w:hAnsi="Times New Roman"/>
          <w:sz w:val="28"/>
          <w:szCs w:val="28"/>
        </w:rPr>
        <w:t>an independent legal determination</w:t>
      </w:r>
      <w:r w:rsidR="00572716">
        <w:rPr>
          <w:rFonts w:ascii="Times New Roman" w:hAnsi="Times New Roman"/>
          <w:sz w:val="28"/>
          <w:szCs w:val="28"/>
        </w:rPr>
        <w:t xml:space="preserve"> whether a concurrently indicted charge qualified as a “serious offense” but that the trial court need not reevaluate the evidence to make a new finding of probable cause for that </w:t>
      </w:r>
      <w:r w:rsidR="00572716">
        <w:rPr>
          <w:rFonts w:ascii="Times New Roman" w:hAnsi="Times New Roman"/>
          <w:sz w:val="28"/>
          <w:szCs w:val="28"/>
        </w:rPr>
        <w:lastRenderedPageBreak/>
        <w:t>crime.</w:t>
      </w:r>
      <w:r w:rsidR="00295F77">
        <w:rPr>
          <w:rFonts w:ascii="Times New Roman" w:hAnsi="Times New Roman"/>
          <w:sz w:val="28"/>
          <w:szCs w:val="28"/>
        </w:rPr>
        <w:t xml:space="preserve"> </w:t>
      </w:r>
      <w:r w:rsidR="00572716" w:rsidRPr="00572716">
        <w:rPr>
          <w:rFonts w:ascii="Times New Roman" w:hAnsi="Times New Roman"/>
          <w:i/>
          <w:iCs/>
          <w:sz w:val="28"/>
          <w:szCs w:val="28"/>
        </w:rPr>
        <w:t>Id</w:t>
      </w:r>
      <w:r w:rsidR="00572716">
        <w:rPr>
          <w:rFonts w:ascii="Times New Roman" w:hAnsi="Times New Roman"/>
          <w:sz w:val="28"/>
          <w:szCs w:val="28"/>
        </w:rPr>
        <w:t>. ¶¶ 12-13. Such hearings could last five minutes. Others would require more evidenc</w:t>
      </w:r>
      <w:r>
        <w:rPr>
          <w:rFonts w:ascii="Times New Roman" w:hAnsi="Times New Roman"/>
          <w:sz w:val="28"/>
          <w:szCs w:val="28"/>
        </w:rPr>
        <w:t xml:space="preserve">e, such as determining </w:t>
      </w:r>
      <w:r w:rsidR="00572716">
        <w:rPr>
          <w:rFonts w:ascii="Times New Roman" w:hAnsi="Times New Roman"/>
          <w:sz w:val="28"/>
          <w:szCs w:val="28"/>
        </w:rPr>
        <w:t>whether a murder was “heinous, cruel or depraved</w:t>
      </w:r>
      <w:r>
        <w:rPr>
          <w:rFonts w:ascii="Times New Roman" w:hAnsi="Times New Roman"/>
          <w:sz w:val="28"/>
          <w:szCs w:val="28"/>
        </w:rPr>
        <w:t>,</w:t>
      </w:r>
      <w:r w:rsidR="00572716">
        <w:rPr>
          <w:rFonts w:ascii="Times New Roman" w:hAnsi="Times New Roman"/>
          <w:sz w:val="28"/>
          <w:szCs w:val="28"/>
        </w:rPr>
        <w:t>”</w:t>
      </w:r>
      <w:r>
        <w:rPr>
          <w:rFonts w:ascii="Times New Roman" w:hAnsi="Times New Roman"/>
          <w:sz w:val="28"/>
          <w:szCs w:val="28"/>
        </w:rPr>
        <w:t xml:space="preserve"> whether under the capital statute, A.R.S. § 13-751(F)(4) (Rev. 2026), or the parallel noncapital statute,</w:t>
      </w:r>
      <w:r w:rsidR="00572716">
        <w:rPr>
          <w:rFonts w:ascii="Times New Roman" w:hAnsi="Times New Roman"/>
          <w:sz w:val="28"/>
          <w:szCs w:val="28"/>
        </w:rPr>
        <w:t xml:space="preserve"> A.R.S. § 13-701(D)(5)</w:t>
      </w:r>
      <w:r>
        <w:rPr>
          <w:rFonts w:ascii="Times New Roman" w:hAnsi="Times New Roman"/>
          <w:sz w:val="28"/>
          <w:szCs w:val="28"/>
        </w:rPr>
        <w:t xml:space="preserve">. </w:t>
      </w:r>
      <w:r w:rsidRPr="00572716">
        <w:rPr>
          <w:rFonts w:ascii="Times New Roman" w:hAnsi="Times New Roman"/>
          <w:i/>
          <w:iCs/>
          <w:sz w:val="28"/>
          <w:szCs w:val="28"/>
        </w:rPr>
        <w:t>S</w:t>
      </w:r>
      <w:r>
        <w:rPr>
          <w:rFonts w:ascii="Times New Roman" w:hAnsi="Times New Roman"/>
          <w:i/>
          <w:iCs/>
          <w:sz w:val="28"/>
          <w:szCs w:val="28"/>
        </w:rPr>
        <w:t>ee S</w:t>
      </w:r>
      <w:r w:rsidRPr="00572716">
        <w:rPr>
          <w:rFonts w:ascii="Times New Roman" w:hAnsi="Times New Roman"/>
          <w:i/>
          <w:iCs/>
          <w:sz w:val="28"/>
          <w:szCs w:val="28"/>
        </w:rPr>
        <w:t>tate v. Johnson</w:t>
      </w:r>
      <w:r>
        <w:rPr>
          <w:rFonts w:ascii="Times New Roman" w:hAnsi="Times New Roman"/>
          <w:sz w:val="28"/>
          <w:szCs w:val="28"/>
        </w:rPr>
        <w:t>, 229 Ariz. 475 (2012) (</w:t>
      </w:r>
      <w:r w:rsidRPr="00A85E85">
        <w:rPr>
          <w:rFonts w:ascii="Times New Roman" w:hAnsi="Times New Roman"/>
          <w:i/>
          <w:iCs/>
          <w:sz w:val="28"/>
          <w:szCs w:val="28"/>
        </w:rPr>
        <w:t>Blakely</w:t>
      </w:r>
      <w:r>
        <w:rPr>
          <w:rFonts w:ascii="Times New Roman" w:hAnsi="Times New Roman"/>
          <w:sz w:val="28"/>
          <w:szCs w:val="28"/>
        </w:rPr>
        <w:t xml:space="preserve"> trial to determine whether second-degree murder was cruel, heinous, or depraved).</w:t>
      </w:r>
      <w:r w:rsidR="00572716">
        <w:rPr>
          <w:rFonts w:ascii="Times New Roman" w:hAnsi="Times New Roman"/>
          <w:sz w:val="28"/>
          <w:szCs w:val="28"/>
        </w:rPr>
        <w:t xml:space="preserve"> </w:t>
      </w:r>
      <w:r>
        <w:rPr>
          <w:rFonts w:ascii="Times New Roman" w:hAnsi="Times New Roman"/>
          <w:sz w:val="28"/>
          <w:szCs w:val="28"/>
        </w:rPr>
        <w:t>This is true of all evidentiary hearings; some are short and some are long, depending on the case and the issues.</w:t>
      </w:r>
      <w:r w:rsidR="00E55454">
        <w:rPr>
          <w:rFonts w:ascii="Times New Roman" w:hAnsi="Times New Roman"/>
          <w:sz w:val="28"/>
          <w:szCs w:val="28"/>
        </w:rPr>
        <w:t xml:space="preserve"> </w:t>
      </w:r>
      <w:r w:rsidR="00187C9F">
        <w:rPr>
          <w:rFonts w:ascii="Times New Roman" w:hAnsi="Times New Roman"/>
          <w:sz w:val="28"/>
          <w:szCs w:val="28"/>
        </w:rPr>
        <w:t>And other complicated motions have the same deadline: 20 days before trial.</w:t>
      </w:r>
    </w:p>
    <w:p w14:paraId="0BCD74FA" w14:textId="7E1DFAD1" w:rsidR="00295F77" w:rsidRDefault="00E55454" w:rsidP="00733F41">
      <w:pPr>
        <w:spacing w:line="480" w:lineRule="auto"/>
        <w:ind w:firstLine="720"/>
        <w:jc w:val="both"/>
        <w:rPr>
          <w:rFonts w:ascii="Times New Roman" w:hAnsi="Times New Roman"/>
          <w:sz w:val="28"/>
          <w:szCs w:val="28"/>
        </w:rPr>
      </w:pPr>
      <w:r>
        <w:rPr>
          <w:rFonts w:ascii="Times New Roman" w:hAnsi="Times New Roman"/>
          <w:sz w:val="28"/>
          <w:szCs w:val="28"/>
        </w:rPr>
        <w:t>In</w:t>
      </w:r>
      <w:r w:rsidR="009F172E">
        <w:rPr>
          <w:rFonts w:ascii="Times New Roman" w:hAnsi="Times New Roman"/>
          <w:sz w:val="28"/>
          <w:szCs w:val="28"/>
        </w:rPr>
        <w:t xml:space="preserve"> </w:t>
      </w:r>
      <w:r w:rsidR="009F172E" w:rsidRPr="009F172E">
        <w:rPr>
          <w:rFonts w:ascii="Times New Roman" w:hAnsi="Times New Roman"/>
          <w:i/>
          <w:iCs/>
          <w:sz w:val="28"/>
          <w:szCs w:val="28"/>
        </w:rPr>
        <w:t>Navarro-Figueroa</w:t>
      </w:r>
      <w:r>
        <w:rPr>
          <w:rFonts w:ascii="Times New Roman" w:hAnsi="Times New Roman"/>
          <w:sz w:val="28"/>
          <w:szCs w:val="28"/>
        </w:rPr>
        <w:t>,</w:t>
      </w:r>
      <w:r w:rsidR="009F172E">
        <w:rPr>
          <w:rFonts w:ascii="Times New Roman" w:hAnsi="Times New Roman"/>
          <w:sz w:val="28"/>
          <w:szCs w:val="28"/>
        </w:rPr>
        <w:t xml:space="preserve"> </w:t>
      </w:r>
      <w:r>
        <w:rPr>
          <w:rFonts w:ascii="Times New Roman" w:hAnsi="Times New Roman"/>
          <w:sz w:val="28"/>
          <w:szCs w:val="28"/>
        </w:rPr>
        <w:t>d</w:t>
      </w:r>
      <w:r w:rsidR="009F172E">
        <w:rPr>
          <w:rFonts w:ascii="Times New Roman" w:hAnsi="Times New Roman"/>
          <w:sz w:val="28"/>
          <w:szCs w:val="28"/>
        </w:rPr>
        <w:t xml:space="preserve">espite being required to file the motion only 20 days before trial, </w:t>
      </w:r>
      <w:r>
        <w:rPr>
          <w:rFonts w:ascii="Times New Roman" w:hAnsi="Times New Roman"/>
          <w:sz w:val="28"/>
          <w:szCs w:val="28"/>
        </w:rPr>
        <w:t>t</w:t>
      </w:r>
      <w:r w:rsidR="009F172E">
        <w:rPr>
          <w:rFonts w:ascii="Times New Roman" w:hAnsi="Times New Roman"/>
          <w:sz w:val="28"/>
          <w:szCs w:val="28"/>
        </w:rPr>
        <w:t>he</w:t>
      </w:r>
      <w:r>
        <w:rPr>
          <w:rFonts w:ascii="Times New Roman" w:hAnsi="Times New Roman"/>
          <w:sz w:val="28"/>
          <w:szCs w:val="28"/>
        </w:rPr>
        <w:t xml:space="preserve"> defendant</w:t>
      </w:r>
      <w:r w:rsidR="009F172E">
        <w:rPr>
          <w:rFonts w:ascii="Times New Roman" w:hAnsi="Times New Roman"/>
          <w:sz w:val="28"/>
          <w:szCs w:val="28"/>
        </w:rPr>
        <w:t xml:space="preserve"> filed it 73 days before trial</w:t>
      </w:r>
      <w:r>
        <w:rPr>
          <w:rFonts w:ascii="Times New Roman" w:hAnsi="Times New Roman"/>
          <w:sz w:val="28"/>
          <w:szCs w:val="28"/>
        </w:rPr>
        <w:t xml:space="preserve"> was set to begin on May 5, 2025</w:t>
      </w:r>
      <w:r w:rsidR="009F172E">
        <w:rPr>
          <w:rFonts w:ascii="Times New Roman" w:hAnsi="Times New Roman"/>
          <w:sz w:val="28"/>
          <w:szCs w:val="28"/>
        </w:rPr>
        <w:t>. 260 Ariz. at 532 ¶ 5.</w:t>
      </w:r>
      <w:r>
        <w:rPr>
          <w:rFonts w:ascii="Times New Roman" w:hAnsi="Times New Roman"/>
          <w:sz w:val="28"/>
          <w:szCs w:val="28"/>
        </w:rPr>
        <w:t xml:space="preserve"> The court held the hearing more than a month before the trial date.</w:t>
      </w:r>
      <w:r w:rsidR="00A85E85">
        <w:rPr>
          <w:rStyle w:val="FootnoteReference"/>
          <w:rFonts w:ascii="Times New Roman" w:hAnsi="Times New Roman"/>
          <w:sz w:val="28"/>
          <w:szCs w:val="28"/>
        </w:rPr>
        <w:footnoteReference w:id="6"/>
      </w:r>
      <w:r>
        <w:rPr>
          <w:rFonts w:ascii="Times New Roman" w:hAnsi="Times New Roman"/>
          <w:sz w:val="28"/>
          <w:szCs w:val="28"/>
        </w:rPr>
        <w:t xml:space="preserve"> It is possible (though not likely, much less definite) that a </w:t>
      </w:r>
      <w:proofErr w:type="gramStart"/>
      <w:r>
        <w:rPr>
          <w:rFonts w:ascii="Times New Roman" w:hAnsi="Times New Roman"/>
          <w:sz w:val="28"/>
          <w:szCs w:val="28"/>
        </w:rPr>
        <w:t>probable-cause</w:t>
      </w:r>
      <w:proofErr w:type="gramEnd"/>
      <w:r>
        <w:rPr>
          <w:rFonts w:ascii="Times New Roman" w:hAnsi="Times New Roman"/>
          <w:sz w:val="28"/>
          <w:szCs w:val="28"/>
        </w:rPr>
        <w:t xml:space="preserve"> hearing on the serious drug offender allegation, see A.R.S. § 13-3410, may involve extensive testimony, even under relaxed evidentiary rules. But if found by the jury, that allegation carries a mandatory life sentence. Requiring the accused to go to trial facing a life sentence on a prosecutor’s word that the evidence supports the allegation is bad public policy, if not unconstitutional. </w:t>
      </w:r>
    </w:p>
    <w:p w14:paraId="3B9CF267" w14:textId="1AA5957C" w:rsidR="00F95AFB" w:rsidRDefault="00187C9F" w:rsidP="00D44EE3">
      <w:pPr>
        <w:spacing w:line="480" w:lineRule="auto"/>
        <w:ind w:firstLine="720"/>
        <w:jc w:val="both"/>
        <w:rPr>
          <w:rFonts w:ascii="Times New Roman" w:hAnsi="Times New Roman"/>
          <w:sz w:val="28"/>
          <w:szCs w:val="28"/>
        </w:rPr>
      </w:pPr>
      <w:r>
        <w:rPr>
          <w:rFonts w:ascii="Times New Roman" w:hAnsi="Times New Roman"/>
          <w:sz w:val="28"/>
          <w:szCs w:val="28"/>
        </w:rPr>
        <w:lastRenderedPageBreak/>
        <w:t>A compromise is available. If the State is concerned about eve-of-trial motions, this Court should shift the deadlines both for the State to file the sentencing allegation notice and for the defendant to file a motion challenging the legal insufficiency of one or more allegations. This is the practice with motions to remand to the grand jury for redetermination of probable cause: Rule 12.9(b) requires the defendant to file the motion no later than 45 days after arraignment or after the grand jury transcript is filed (whichever is later). For example, this Court could require the State to file a sentencing allegation no later than 60 days after arraignment (as with the notice of intent to seek the death penalty), and in turn it could require the defendant to file a motion no later than 45 days after the State files its notice. Such a rule would improve the efficient management of the case and would facilitate plea negotiations, potentially obviating the need for trial.</w:t>
      </w:r>
    </w:p>
    <w:p w14:paraId="48F3CDC8" w14:textId="64B9C414" w:rsidR="008E1BE2" w:rsidRPr="008C1CCA" w:rsidRDefault="008C1CCA" w:rsidP="008C1CCA">
      <w:pPr>
        <w:spacing w:line="480" w:lineRule="auto"/>
        <w:jc w:val="both"/>
        <w:rPr>
          <w:rFonts w:ascii="Times New Roman" w:hAnsi="Times New Roman"/>
          <w:b/>
          <w:bCs/>
          <w:sz w:val="28"/>
          <w:szCs w:val="28"/>
          <w:u w:val="single"/>
        </w:rPr>
      </w:pPr>
      <w:r w:rsidRPr="008C1CCA">
        <w:rPr>
          <w:rFonts w:ascii="Times New Roman" w:hAnsi="Times New Roman"/>
          <w:b/>
          <w:bCs/>
          <w:sz w:val="28"/>
          <w:szCs w:val="28"/>
          <w:u w:val="single"/>
        </w:rPr>
        <w:t>Conclusion</w:t>
      </w:r>
    </w:p>
    <w:p w14:paraId="138404F9" w14:textId="48B9903B" w:rsidR="005F497D" w:rsidRDefault="005F497D" w:rsidP="00D44EE3">
      <w:pPr>
        <w:spacing w:line="480" w:lineRule="auto"/>
        <w:ind w:firstLine="720"/>
        <w:jc w:val="both"/>
        <w:rPr>
          <w:rFonts w:ascii="Times New Roman" w:hAnsi="Times New Roman"/>
          <w:sz w:val="28"/>
          <w:szCs w:val="28"/>
        </w:rPr>
      </w:pPr>
      <w:r>
        <w:rPr>
          <w:rFonts w:ascii="Times New Roman" w:hAnsi="Times New Roman"/>
          <w:sz w:val="28"/>
          <w:szCs w:val="28"/>
        </w:rPr>
        <w:t>The rights that Rule 13.5 seeks to protect—neutral finding of probable cause, notice of the charges, the right to test the legal sufficiency of the charges, and the right to a jury trial—are not peculiar to capital cases. On the contrary, the U.S. Supreme Court has protected these rights almost exclusively through noncapital vehicles. It is mere happenstance that this Court has interpreted Rule 13.5(c) but not Rule 13.5(a).</w:t>
      </w:r>
      <w:r w:rsidR="003444A9">
        <w:rPr>
          <w:rFonts w:ascii="Times New Roman" w:hAnsi="Times New Roman"/>
          <w:sz w:val="28"/>
          <w:szCs w:val="28"/>
        </w:rPr>
        <w:t xml:space="preserve"> </w:t>
      </w:r>
      <w:r w:rsidR="003444A9" w:rsidRPr="003444A9">
        <w:rPr>
          <w:rFonts w:ascii="Times New Roman" w:hAnsi="Times New Roman"/>
          <w:i/>
          <w:iCs/>
          <w:sz w:val="28"/>
          <w:szCs w:val="28"/>
        </w:rPr>
        <w:t>Navarro-Figueroa</w:t>
      </w:r>
      <w:r w:rsidR="003444A9">
        <w:rPr>
          <w:rFonts w:ascii="Times New Roman" w:hAnsi="Times New Roman"/>
          <w:sz w:val="28"/>
          <w:szCs w:val="28"/>
        </w:rPr>
        <w:t xml:space="preserve"> was not only correctly decided, but it represents </w:t>
      </w:r>
      <w:r w:rsidR="003444A9">
        <w:rPr>
          <w:rFonts w:ascii="Times New Roman" w:hAnsi="Times New Roman"/>
          <w:sz w:val="28"/>
          <w:szCs w:val="28"/>
        </w:rPr>
        <w:lastRenderedPageBreak/>
        <w:t>good public policy and avoids an unnecessary confrontation over incorporation of the Fifth Amendment right to a grand jury proceeding.</w:t>
      </w:r>
    </w:p>
    <w:p w14:paraId="4386003D" w14:textId="4B6CEC9C" w:rsidR="008C1CCA" w:rsidRDefault="003444A9" w:rsidP="00D44EE3">
      <w:pPr>
        <w:spacing w:line="480" w:lineRule="auto"/>
        <w:ind w:firstLine="720"/>
        <w:jc w:val="both"/>
        <w:rPr>
          <w:rFonts w:ascii="Times New Roman" w:hAnsi="Times New Roman"/>
          <w:sz w:val="28"/>
          <w:szCs w:val="28"/>
        </w:rPr>
      </w:pPr>
      <w:r>
        <w:rPr>
          <w:rFonts w:ascii="Times New Roman" w:hAnsi="Times New Roman"/>
          <w:sz w:val="28"/>
          <w:szCs w:val="28"/>
        </w:rPr>
        <w:t xml:space="preserve">For these reasons, </w:t>
      </w:r>
      <w:r w:rsidR="00187C9F">
        <w:rPr>
          <w:rFonts w:ascii="Times New Roman" w:hAnsi="Times New Roman"/>
          <w:sz w:val="28"/>
          <w:szCs w:val="28"/>
        </w:rPr>
        <w:t>AACJ asks this Court to deny the petition.</w:t>
      </w:r>
    </w:p>
    <w:p w14:paraId="0F2727B2" w14:textId="77777777" w:rsidR="00F322B5" w:rsidRDefault="00F322B5" w:rsidP="00D44EE3">
      <w:pPr>
        <w:spacing w:line="480" w:lineRule="auto"/>
        <w:ind w:firstLine="720"/>
        <w:jc w:val="both"/>
        <w:rPr>
          <w:rFonts w:ascii="Times New Roman" w:hAnsi="Times New Roman"/>
          <w:sz w:val="28"/>
          <w:szCs w:val="28"/>
        </w:rPr>
      </w:pPr>
    </w:p>
    <w:p w14:paraId="268AB80E" w14:textId="128EBC79" w:rsidR="00DC38DE" w:rsidRDefault="00802B79" w:rsidP="00CA5689">
      <w:pPr>
        <w:spacing w:line="480" w:lineRule="auto"/>
        <w:ind w:firstLine="720"/>
        <w:jc w:val="both"/>
        <w:rPr>
          <w:rFonts w:ascii="Times New Roman" w:hAnsi="Times New Roman"/>
          <w:sz w:val="28"/>
          <w:szCs w:val="28"/>
        </w:rPr>
      </w:pPr>
      <w:r>
        <w:rPr>
          <w:rFonts w:ascii="Times New Roman" w:hAnsi="Times New Roman"/>
          <w:sz w:val="28"/>
          <w:szCs w:val="28"/>
        </w:rPr>
        <w:t>DATED (electronically filed)</w:t>
      </w:r>
      <w:proofErr w:type="gramStart"/>
      <w:r w:rsidR="00DC38DE" w:rsidRPr="0014499B">
        <w:rPr>
          <w:rFonts w:ascii="Times New Roman" w:hAnsi="Times New Roman"/>
          <w:sz w:val="28"/>
          <w:szCs w:val="28"/>
        </w:rPr>
        <w:t xml:space="preserve">:  </w:t>
      </w:r>
      <w:r w:rsidR="00F95AFB">
        <w:rPr>
          <w:rFonts w:ascii="Times New Roman" w:hAnsi="Times New Roman"/>
          <w:sz w:val="28"/>
          <w:szCs w:val="28"/>
        </w:rPr>
        <w:t>June</w:t>
      </w:r>
      <w:proofErr w:type="gramEnd"/>
      <w:r w:rsidR="002C660A">
        <w:rPr>
          <w:rFonts w:ascii="Times New Roman" w:hAnsi="Times New Roman"/>
          <w:sz w:val="28"/>
          <w:szCs w:val="28"/>
        </w:rPr>
        <w:t xml:space="preserve"> </w:t>
      </w:r>
      <w:r w:rsidR="00F95AFB">
        <w:rPr>
          <w:rFonts w:ascii="Times New Roman" w:hAnsi="Times New Roman"/>
          <w:sz w:val="28"/>
          <w:szCs w:val="28"/>
        </w:rPr>
        <w:t>15</w:t>
      </w:r>
      <w:r w:rsidR="00DC38DE">
        <w:rPr>
          <w:rFonts w:ascii="Times New Roman" w:hAnsi="Times New Roman"/>
          <w:sz w:val="28"/>
          <w:szCs w:val="28"/>
        </w:rPr>
        <w:t>,</w:t>
      </w:r>
      <w:r w:rsidR="00DC38DE" w:rsidRPr="0014499B">
        <w:rPr>
          <w:rFonts w:ascii="Times New Roman" w:hAnsi="Times New Roman"/>
          <w:sz w:val="28"/>
          <w:szCs w:val="28"/>
        </w:rPr>
        <w:t xml:space="preserve"> 20</w:t>
      </w:r>
      <w:r w:rsidR="009F697C">
        <w:rPr>
          <w:rFonts w:ascii="Times New Roman" w:hAnsi="Times New Roman"/>
          <w:sz w:val="28"/>
          <w:szCs w:val="28"/>
        </w:rPr>
        <w:t>2</w:t>
      </w:r>
      <w:r w:rsidR="009A24F4">
        <w:rPr>
          <w:rFonts w:ascii="Times New Roman" w:hAnsi="Times New Roman"/>
          <w:sz w:val="28"/>
          <w:szCs w:val="28"/>
        </w:rPr>
        <w:t>6</w:t>
      </w:r>
      <w:r w:rsidR="00DC38DE" w:rsidRPr="0014499B">
        <w:rPr>
          <w:rFonts w:ascii="Times New Roman" w:hAnsi="Times New Roman"/>
          <w:sz w:val="28"/>
          <w:szCs w:val="28"/>
        </w:rPr>
        <w:t>.</w:t>
      </w:r>
    </w:p>
    <w:p w14:paraId="268AB812" w14:textId="7017EBDD" w:rsidR="000347CF" w:rsidRDefault="00DC38DE" w:rsidP="00DC38DE">
      <w:pPr>
        <w:spacing w:line="240" w:lineRule="auto"/>
        <w:rPr>
          <w:rFonts w:ascii="Times New Roman" w:hAnsi="Times New Roman"/>
          <w:sz w:val="28"/>
          <w:szCs w:val="28"/>
        </w:rPr>
      </w:pPr>
      <w:proofErr w:type="gramStart"/>
      <w:r w:rsidRPr="0014499B">
        <w:rPr>
          <w:rFonts w:ascii="Times New Roman" w:hAnsi="Times New Roman"/>
          <w:sz w:val="28"/>
          <w:szCs w:val="28"/>
        </w:rPr>
        <w:t>By</w:t>
      </w:r>
      <w:r w:rsidR="00973C53">
        <w:rPr>
          <w:rFonts w:ascii="Times New Roman" w:hAnsi="Times New Roman"/>
          <w:sz w:val="28"/>
          <w:szCs w:val="28"/>
        </w:rPr>
        <w:t>:</w:t>
      </w:r>
      <w:r>
        <w:rPr>
          <w:rFonts w:ascii="Times New Roman" w:hAnsi="Times New Roman"/>
          <w:sz w:val="28"/>
          <w:szCs w:val="28"/>
        </w:rPr>
        <w:t xml:space="preserve"> </w:t>
      </w:r>
      <w:r w:rsidR="00973C53">
        <w:rPr>
          <w:rFonts w:ascii="Times New Roman" w:hAnsi="Times New Roman"/>
          <w:sz w:val="28"/>
          <w:szCs w:val="28"/>
        </w:rPr>
        <w:tab/>
      </w:r>
      <w:r>
        <w:rPr>
          <w:rFonts w:ascii="Times New Roman" w:hAnsi="Times New Roman"/>
          <w:sz w:val="28"/>
          <w:szCs w:val="28"/>
          <w:u w:val="single"/>
        </w:rPr>
        <w:t>/</w:t>
      </w:r>
      <w:proofErr w:type="gramEnd"/>
      <w:r>
        <w:rPr>
          <w:rFonts w:ascii="Times New Roman" w:hAnsi="Times New Roman"/>
          <w:sz w:val="28"/>
          <w:szCs w:val="28"/>
          <w:u w:val="single"/>
        </w:rPr>
        <w:t>s/</w:t>
      </w:r>
      <w:r w:rsidR="00785725">
        <w:rPr>
          <w:rFonts w:ascii="Times New Roman" w:hAnsi="Times New Roman"/>
          <w:sz w:val="28"/>
          <w:szCs w:val="28"/>
          <w:u w:val="single"/>
        </w:rPr>
        <w:t xml:space="preserve"> </w:t>
      </w:r>
      <w:r w:rsidR="001C2BDE">
        <w:rPr>
          <w:rFonts w:ascii="Times New Roman" w:hAnsi="Times New Roman"/>
          <w:sz w:val="28"/>
          <w:szCs w:val="28"/>
          <w:u w:val="single"/>
        </w:rPr>
        <w:t>David J. Euchner</w:t>
      </w:r>
      <w:r w:rsidR="00AE0F9E">
        <w:rPr>
          <w:rFonts w:ascii="Times New Roman" w:hAnsi="Times New Roman"/>
          <w:sz w:val="28"/>
          <w:szCs w:val="28"/>
          <w:u w:val="single"/>
        </w:rPr>
        <w:tab/>
      </w:r>
      <w:r w:rsidR="00AE0F9E">
        <w:rPr>
          <w:rFonts w:ascii="Times New Roman" w:hAnsi="Times New Roman"/>
          <w:sz w:val="28"/>
          <w:szCs w:val="28"/>
          <w:u w:val="single"/>
        </w:rPr>
        <w:tab/>
      </w:r>
      <w:r w:rsidRPr="00D9658B">
        <w:rPr>
          <w:rFonts w:ascii="Times New Roman" w:hAnsi="Times New Roman"/>
          <w:sz w:val="28"/>
          <w:szCs w:val="28"/>
          <w:u w:val="single"/>
        </w:rPr>
        <w:tab/>
      </w:r>
      <w:r>
        <w:rPr>
          <w:rFonts w:ascii="Times New Roman" w:hAnsi="Times New Roman"/>
          <w:sz w:val="28"/>
          <w:szCs w:val="28"/>
        </w:rPr>
        <w:tab/>
      </w:r>
    </w:p>
    <w:p w14:paraId="268AB813" w14:textId="53AA4C30" w:rsidR="006235B5" w:rsidRDefault="001C2BDE" w:rsidP="006235B5">
      <w:pPr>
        <w:spacing w:line="240" w:lineRule="auto"/>
        <w:ind w:firstLine="720"/>
        <w:rPr>
          <w:rFonts w:ascii="Times New Roman" w:hAnsi="Times New Roman"/>
          <w:sz w:val="28"/>
          <w:szCs w:val="28"/>
        </w:rPr>
      </w:pPr>
      <w:r>
        <w:rPr>
          <w:rFonts w:ascii="Times New Roman" w:hAnsi="Times New Roman"/>
          <w:sz w:val="28"/>
          <w:szCs w:val="28"/>
        </w:rPr>
        <w:t>David J. Euchner</w:t>
      </w:r>
    </w:p>
    <w:p w14:paraId="21A9D8CE" w14:textId="77777777" w:rsidR="00AD3DC3" w:rsidRDefault="00AD3DC3" w:rsidP="006235B5">
      <w:pPr>
        <w:spacing w:line="240" w:lineRule="auto"/>
        <w:ind w:firstLine="720"/>
        <w:rPr>
          <w:rFonts w:ascii="Times New Roman" w:hAnsi="Times New Roman"/>
          <w:sz w:val="28"/>
          <w:szCs w:val="28"/>
        </w:rPr>
      </w:pPr>
    </w:p>
    <w:p w14:paraId="1C47B7D3" w14:textId="77777777" w:rsidR="00AD3DC3" w:rsidRDefault="00AD3DC3">
      <w:pPr>
        <w:spacing w:line="240" w:lineRule="auto"/>
        <w:rPr>
          <w:rFonts w:ascii="Times New Roman" w:hAnsi="Times New Roman"/>
          <w:sz w:val="28"/>
          <w:szCs w:val="28"/>
        </w:rPr>
      </w:pPr>
    </w:p>
    <w:p w14:paraId="4F1C28F0" w14:textId="512F487C" w:rsidR="00AD3DC3" w:rsidRDefault="00AD3DC3">
      <w:pPr>
        <w:spacing w:line="240" w:lineRule="auto"/>
        <w:rPr>
          <w:rFonts w:ascii="Times New Roman" w:hAnsi="Times New Roman"/>
          <w:sz w:val="28"/>
          <w:szCs w:val="28"/>
        </w:rPr>
      </w:pPr>
      <w:r w:rsidRPr="00AD3DC3">
        <w:rPr>
          <w:rFonts w:ascii="Times New Roman" w:hAnsi="Times New Roman"/>
          <w:sz w:val="28"/>
          <w:szCs w:val="28"/>
        </w:rPr>
        <w:t>Cop</w:t>
      </w:r>
      <w:r>
        <w:rPr>
          <w:rFonts w:ascii="Times New Roman" w:hAnsi="Times New Roman"/>
          <w:sz w:val="28"/>
          <w:szCs w:val="28"/>
        </w:rPr>
        <w:t xml:space="preserve">y </w:t>
      </w:r>
      <w:r w:rsidR="009A24F4">
        <w:rPr>
          <w:rFonts w:ascii="Times New Roman" w:hAnsi="Times New Roman"/>
          <w:sz w:val="28"/>
          <w:szCs w:val="28"/>
        </w:rPr>
        <w:t>mailed</w:t>
      </w:r>
      <w:r>
        <w:rPr>
          <w:rFonts w:ascii="Times New Roman" w:hAnsi="Times New Roman"/>
          <w:sz w:val="28"/>
          <w:szCs w:val="28"/>
        </w:rPr>
        <w:t xml:space="preserve"> to:</w:t>
      </w:r>
    </w:p>
    <w:p w14:paraId="17DAF771" w14:textId="77777777" w:rsidR="00AD3DC3" w:rsidRDefault="00AD3DC3">
      <w:pPr>
        <w:spacing w:line="240" w:lineRule="auto"/>
        <w:rPr>
          <w:rFonts w:ascii="Times New Roman" w:hAnsi="Times New Roman"/>
          <w:sz w:val="28"/>
          <w:szCs w:val="28"/>
        </w:rPr>
      </w:pPr>
    </w:p>
    <w:p w14:paraId="682AD7A3" w14:textId="0E489A85" w:rsidR="00AD3DC3" w:rsidRDefault="00F95AFB">
      <w:pPr>
        <w:spacing w:line="240" w:lineRule="auto"/>
        <w:rPr>
          <w:rFonts w:ascii="Times New Roman" w:hAnsi="Times New Roman"/>
          <w:sz w:val="28"/>
          <w:szCs w:val="28"/>
        </w:rPr>
      </w:pPr>
      <w:r>
        <w:rPr>
          <w:rFonts w:ascii="Times New Roman" w:hAnsi="Times New Roman"/>
          <w:sz w:val="28"/>
          <w:szCs w:val="28"/>
        </w:rPr>
        <w:t>Nicholas Klingerman</w:t>
      </w:r>
    </w:p>
    <w:p w14:paraId="5CC93670" w14:textId="7E3FBDD3" w:rsidR="00F261DD" w:rsidRDefault="00F95AFB" w:rsidP="00DC38DE">
      <w:pPr>
        <w:spacing w:line="240" w:lineRule="auto"/>
        <w:rPr>
          <w:rFonts w:ascii="Times New Roman" w:hAnsi="Times New Roman"/>
          <w:sz w:val="28"/>
          <w:szCs w:val="28"/>
        </w:rPr>
      </w:pPr>
      <w:r>
        <w:rPr>
          <w:rFonts w:ascii="Times New Roman" w:hAnsi="Times New Roman"/>
          <w:sz w:val="28"/>
          <w:szCs w:val="28"/>
        </w:rPr>
        <w:t>Criminal Division Chief, Arizona Attorney General’s Office</w:t>
      </w:r>
    </w:p>
    <w:p w14:paraId="3B360165" w14:textId="77777777" w:rsidR="00F95AFB" w:rsidRPr="00F95AFB" w:rsidRDefault="00F95AFB" w:rsidP="00F95AFB">
      <w:pPr>
        <w:spacing w:line="240" w:lineRule="auto"/>
        <w:rPr>
          <w:rFonts w:ascii="Times New Roman" w:hAnsi="Times New Roman"/>
          <w:sz w:val="28"/>
          <w:szCs w:val="28"/>
        </w:rPr>
      </w:pPr>
      <w:r w:rsidRPr="00F95AFB">
        <w:rPr>
          <w:rFonts w:ascii="Times New Roman" w:hAnsi="Times New Roman"/>
          <w:sz w:val="28"/>
          <w:szCs w:val="28"/>
        </w:rPr>
        <w:t>2005 N. Central Ave.</w:t>
      </w:r>
    </w:p>
    <w:p w14:paraId="21E05629" w14:textId="77777777" w:rsidR="00F95AFB" w:rsidRPr="00F95AFB" w:rsidRDefault="00F95AFB" w:rsidP="00F95AFB">
      <w:pPr>
        <w:spacing w:line="240" w:lineRule="auto"/>
        <w:rPr>
          <w:rFonts w:ascii="Times New Roman" w:hAnsi="Times New Roman"/>
          <w:sz w:val="28"/>
          <w:szCs w:val="28"/>
        </w:rPr>
      </w:pPr>
      <w:r w:rsidRPr="00F95AFB">
        <w:rPr>
          <w:rFonts w:ascii="Times New Roman" w:hAnsi="Times New Roman"/>
          <w:sz w:val="28"/>
          <w:szCs w:val="28"/>
        </w:rPr>
        <w:t>Phoenix, AZ 85004</w:t>
      </w:r>
    </w:p>
    <w:p w14:paraId="7339C7F3" w14:textId="01086DCB" w:rsidR="00F95AFB" w:rsidRDefault="00F95AFB" w:rsidP="00F95AFB">
      <w:pPr>
        <w:spacing w:line="240" w:lineRule="auto"/>
        <w:rPr>
          <w:rFonts w:ascii="Times New Roman" w:hAnsi="Times New Roman"/>
          <w:sz w:val="28"/>
          <w:szCs w:val="28"/>
        </w:rPr>
      </w:pPr>
      <w:hyperlink r:id="rId13" w:history="1">
        <w:r w:rsidRPr="00083F6E">
          <w:rPr>
            <w:rStyle w:val="Hyperlink"/>
            <w:rFonts w:ascii="Times New Roman" w:hAnsi="Times New Roman"/>
            <w:sz w:val="28"/>
            <w:szCs w:val="28"/>
          </w:rPr>
          <w:t>Nicholas.Klingerman@azag.gov</w:t>
        </w:r>
      </w:hyperlink>
    </w:p>
    <w:p w14:paraId="2D8A342A" w14:textId="7E7BECD6" w:rsidR="00C6376A" w:rsidRDefault="00F95AFB" w:rsidP="00F95AFB">
      <w:pPr>
        <w:spacing w:line="240" w:lineRule="auto"/>
        <w:rPr>
          <w:rFonts w:ascii="Times New Roman" w:hAnsi="Times New Roman"/>
          <w:sz w:val="28"/>
          <w:szCs w:val="28"/>
        </w:rPr>
      </w:pPr>
      <w:r>
        <w:rPr>
          <w:rFonts w:ascii="Times New Roman" w:hAnsi="Times New Roman"/>
          <w:sz w:val="28"/>
          <w:szCs w:val="28"/>
        </w:rPr>
        <w:t xml:space="preserve"> </w:t>
      </w:r>
    </w:p>
    <w:p w14:paraId="4B2C3E67" w14:textId="77777777" w:rsidR="00C6376A" w:rsidRDefault="00C6376A" w:rsidP="00DC38DE">
      <w:pPr>
        <w:spacing w:line="240" w:lineRule="auto"/>
        <w:rPr>
          <w:rFonts w:ascii="Times New Roman" w:hAnsi="Times New Roman"/>
          <w:sz w:val="28"/>
          <w:szCs w:val="28"/>
        </w:rPr>
      </w:pPr>
    </w:p>
    <w:sectPr w:rsidR="00C6376A" w:rsidSect="00F54AA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7534C" w14:textId="77777777" w:rsidR="003A27C5" w:rsidRDefault="003A27C5">
      <w:r>
        <w:separator/>
      </w:r>
    </w:p>
  </w:endnote>
  <w:endnote w:type="continuationSeparator" w:id="0">
    <w:p w14:paraId="517F1AD0" w14:textId="77777777" w:rsidR="003A27C5" w:rsidRDefault="003A2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B82B" w14:textId="17CBCBCC" w:rsidR="001B408E" w:rsidRDefault="001B408E"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3743">
      <w:rPr>
        <w:rStyle w:val="PageNumber"/>
        <w:noProof/>
      </w:rPr>
      <w:t>2</w:t>
    </w:r>
    <w:r>
      <w:rPr>
        <w:rStyle w:val="PageNumber"/>
      </w:rPr>
      <w:fldChar w:fldCharType="end"/>
    </w:r>
  </w:p>
  <w:p w14:paraId="268AB82C" w14:textId="77777777" w:rsidR="001B408E" w:rsidRDefault="001B4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B82D" w14:textId="15B1D2BD" w:rsidR="001B408E" w:rsidRPr="005D21EF" w:rsidRDefault="001B408E" w:rsidP="004B3410">
    <w:pPr>
      <w:pStyle w:val="Footer"/>
      <w:framePr w:wrap="around" w:vAnchor="text" w:hAnchor="margin" w:xAlign="center" w:y="1"/>
      <w:rPr>
        <w:rStyle w:val="PageNumber"/>
        <w:rFonts w:ascii="Times New Roman" w:hAnsi="Times New Roman"/>
        <w:sz w:val="28"/>
        <w:szCs w:val="28"/>
      </w:rPr>
    </w:pPr>
    <w:r w:rsidRPr="005D21EF">
      <w:rPr>
        <w:rStyle w:val="PageNumber"/>
        <w:rFonts w:ascii="Times New Roman" w:hAnsi="Times New Roman"/>
        <w:sz w:val="28"/>
        <w:szCs w:val="28"/>
      </w:rPr>
      <w:fldChar w:fldCharType="begin"/>
    </w:r>
    <w:r w:rsidRPr="005D21EF">
      <w:rPr>
        <w:rStyle w:val="PageNumber"/>
        <w:rFonts w:ascii="Times New Roman" w:hAnsi="Times New Roman"/>
        <w:sz w:val="28"/>
        <w:szCs w:val="28"/>
      </w:rPr>
      <w:instrText xml:space="preserve">PAGE  </w:instrText>
    </w:r>
    <w:r w:rsidRPr="005D21EF">
      <w:rPr>
        <w:rStyle w:val="PageNumber"/>
        <w:rFonts w:ascii="Times New Roman" w:hAnsi="Times New Roman"/>
        <w:sz w:val="28"/>
        <w:szCs w:val="28"/>
      </w:rPr>
      <w:fldChar w:fldCharType="separate"/>
    </w:r>
    <w:r w:rsidR="00836008">
      <w:rPr>
        <w:rStyle w:val="PageNumber"/>
        <w:rFonts w:ascii="Times New Roman" w:hAnsi="Times New Roman"/>
        <w:noProof/>
        <w:sz w:val="28"/>
        <w:szCs w:val="28"/>
      </w:rPr>
      <w:t>6</w:t>
    </w:r>
    <w:r w:rsidRPr="005D21EF">
      <w:rPr>
        <w:rStyle w:val="PageNumber"/>
        <w:rFonts w:ascii="Times New Roman" w:hAnsi="Times New Roman"/>
        <w:sz w:val="28"/>
        <w:szCs w:val="28"/>
      </w:rPr>
      <w:fldChar w:fldCharType="end"/>
    </w:r>
  </w:p>
  <w:p w14:paraId="268AB82E" w14:textId="77777777" w:rsidR="001B408E" w:rsidRDefault="001B40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111053"/>
      <w:docPartObj>
        <w:docPartGallery w:val="Page Numbers (Bottom of Page)"/>
        <w:docPartUnique/>
      </w:docPartObj>
    </w:sdtPr>
    <w:sdtEndPr>
      <w:rPr>
        <w:rFonts w:ascii="Times New Roman" w:hAnsi="Times New Roman"/>
        <w:noProof/>
        <w:sz w:val="28"/>
        <w:szCs w:val="32"/>
      </w:rPr>
    </w:sdtEndPr>
    <w:sdtContent>
      <w:p w14:paraId="5DDBCF84" w14:textId="7E7E7749" w:rsidR="000A3743" w:rsidRPr="000A3743" w:rsidRDefault="000A3743">
        <w:pPr>
          <w:pStyle w:val="Footer"/>
          <w:jc w:val="center"/>
          <w:rPr>
            <w:rFonts w:ascii="Times New Roman" w:hAnsi="Times New Roman"/>
            <w:sz w:val="28"/>
            <w:szCs w:val="32"/>
          </w:rPr>
        </w:pPr>
        <w:r w:rsidRPr="000A3743">
          <w:rPr>
            <w:rFonts w:ascii="Times New Roman" w:hAnsi="Times New Roman"/>
            <w:sz w:val="28"/>
            <w:szCs w:val="32"/>
          </w:rPr>
          <w:fldChar w:fldCharType="begin"/>
        </w:r>
        <w:r w:rsidRPr="000A3743">
          <w:rPr>
            <w:rFonts w:ascii="Times New Roman" w:hAnsi="Times New Roman"/>
            <w:sz w:val="28"/>
            <w:szCs w:val="32"/>
          </w:rPr>
          <w:instrText xml:space="preserve"> PAGE   \* MERGEFORMAT </w:instrText>
        </w:r>
        <w:r w:rsidRPr="000A3743">
          <w:rPr>
            <w:rFonts w:ascii="Times New Roman" w:hAnsi="Times New Roman"/>
            <w:sz w:val="28"/>
            <w:szCs w:val="32"/>
          </w:rPr>
          <w:fldChar w:fldCharType="separate"/>
        </w:r>
        <w:r w:rsidRPr="000A3743">
          <w:rPr>
            <w:rFonts w:ascii="Times New Roman" w:hAnsi="Times New Roman"/>
            <w:noProof/>
            <w:sz w:val="28"/>
            <w:szCs w:val="32"/>
          </w:rPr>
          <w:t>2</w:t>
        </w:r>
        <w:r w:rsidRPr="000A3743">
          <w:rPr>
            <w:rFonts w:ascii="Times New Roman" w:hAnsi="Times New Roman"/>
            <w:noProof/>
            <w:sz w:val="28"/>
            <w:szCs w:val="32"/>
          </w:rPr>
          <w:fldChar w:fldCharType="end"/>
        </w:r>
      </w:p>
    </w:sdtContent>
  </w:sdt>
  <w:p w14:paraId="60441CDF" w14:textId="77777777" w:rsidR="000A3743" w:rsidRDefault="000A3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3030B" w14:textId="77777777" w:rsidR="003A27C5" w:rsidRDefault="003A27C5">
      <w:r>
        <w:separator/>
      </w:r>
    </w:p>
  </w:footnote>
  <w:footnote w:type="continuationSeparator" w:id="0">
    <w:p w14:paraId="69B3297D" w14:textId="77777777" w:rsidR="003A27C5" w:rsidRDefault="003A27C5">
      <w:r>
        <w:continuationSeparator/>
      </w:r>
    </w:p>
  </w:footnote>
  <w:footnote w:id="1">
    <w:p w14:paraId="150CDF0C" w14:textId="37DBB8B2" w:rsidR="004509B6" w:rsidRPr="004509B6" w:rsidRDefault="004509B6" w:rsidP="004509B6">
      <w:pPr>
        <w:pStyle w:val="FootnoteText"/>
        <w:spacing w:line="240" w:lineRule="auto"/>
        <w:jc w:val="both"/>
        <w:rPr>
          <w:rFonts w:ascii="Times New Roman" w:hAnsi="Times New Roman"/>
          <w:sz w:val="28"/>
          <w:szCs w:val="28"/>
        </w:rPr>
      </w:pPr>
      <w:r w:rsidRPr="004509B6">
        <w:rPr>
          <w:rStyle w:val="FootnoteReference"/>
          <w:rFonts w:ascii="Times New Roman" w:hAnsi="Times New Roman"/>
          <w:sz w:val="28"/>
          <w:szCs w:val="28"/>
        </w:rPr>
        <w:footnoteRef/>
      </w:r>
      <w:r w:rsidRPr="004509B6">
        <w:rPr>
          <w:rFonts w:ascii="Times New Roman" w:hAnsi="Times New Roman"/>
          <w:sz w:val="28"/>
          <w:szCs w:val="28"/>
        </w:rPr>
        <w:t xml:space="preserve"> </w:t>
      </w:r>
      <w:r>
        <w:rPr>
          <w:rFonts w:ascii="Times New Roman" w:hAnsi="Times New Roman"/>
          <w:sz w:val="28"/>
          <w:szCs w:val="28"/>
        </w:rPr>
        <w:t>The 2002 petition</w:t>
      </w:r>
      <w:r w:rsidR="00165F02">
        <w:rPr>
          <w:rFonts w:ascii="Times New Roman" w:hAnsi="Times New Roman"/>
          <w:sz w:val="28"/>
          <w:szCs w:val="28"/>
        </w:rPr>
        <w:t xml:space="preserve"> offered a “counter argument” that no court has held </w:t>
      </w:r>
      <w:r>
        <w:rPr>
          <w:rFonts w:ascii="Times New Roman" w:hAnsi="Times New Roman"/>
          <w:sz w:val="28"/>
          <w:szCs w:val="28"/>
        </w:rPr>
        <w:t xml:space="preserve">that capital aggravating factor are elements of a greater offense. Petition Attachment B at </w:t>
      </w:r>
      <w:r w:rsidR="00165F02">
        <w:rPr>
          <w:rFonts w:ascii="Times New Roman" w:hAnsi="Times New Roman"/>
          <w:sz w:val="28"/>
          <w:szCs w:val="28"/>
        </w:rPr>
        <w:t>7</w:t>
      </w:r>
      <w:r>
        <w:rPr>
          <w:rFonts w:ascii="Times New Roman" w:hAnsi="Times New Roman"/>
          <w:sz w:val="28"/>
          <w:szCs w:val="28"/>
        </w:rPr>
        <w:t>.</w:t>
      </w:r>
      <w:r w:rsidR="00165F02">
        <w:rPr>
          <w:rFonts w:ascii="Times New Roman" w:hAnsi="Times New Roman"/>
          <w:sz w:val="28"/>
          <w:szCs w:val="28"/>
        </w:rPr>
        <w:t xml:space="preserve"> It cited </w:t>
      </w:r>
      <w:r w:rsidR="00165F02" w:rsidRPr="00165F02">
        <w:rPr>
          <w:rFonts w:ascii="Times New Roman" w:hAnsi="Times New Roman"/>
          <w:i/>
          <w:iCs/>
          <w:sz w:val="28"/>
          <w:szCs w:val="28"/>
        </w:rPr>
        <w:t>Poland v. Arizona</w:t>
      </w:r>
      <w:r w:rsidR="00165F02">
        <w:rPr>
          <w:rFonts w:ascii="Times New Roman" w:hAnsi="Times New Roman"/>
          <w:sz w:val="28"/>
          <w:szCs w:val="28"/>
        </w:rPr>
        <w:t xml:space="preserve">, 476 U.S. 147, 156 (1986), </w:t>
      </w:r>
      <w:r w:rsidR="00003039">
        <w:rPr>
          <w:rFonts w:ascii="Times New Roman" w:hAnsi="Times New Roman"/>
          <w:sz w:val="28"/>
          <w:szCs w:val="28"/>
        </w:rPr>
        <w:t xml:space="preserve">and </w:t>
      </w:r>
      <w:r w:rsidR="00003039" w:rsidRPr="00003039">
        <w:rPr>
          <w:rFonts w:ascii="Times New Roman" w:hAnsi="Times New Roman"/>
          <w:i/>
          <w:iCs/>
          <w:sz w:val="28"/>
          <w:szCs w:val="28"/>
        </w:rPr>
        <w:t>Floyd v. State</w:t>
      </w:r>
      <w:r w:rsidR="00003039">
        <w:rPr>
          <w:rFonts w:ascii="Times New Roman" w:hAnsi="Times New Roman"/>
          <w:sz w:val="28"/>
          <w:szCs w:val="28"/>
        </w:rPr>
        <w:t xml:space="preserve">, 42 P.3d 249, 256 (Nev. 2002) (quoting </w:t>
      </w:r>
      <w:r w:rsidR="00003039" w:rsidRPr="00003039">
        <w:rPr>
          <w:rFonts w:ascii="Times New Roman" w:hAnsi="Times New Roman"/>
          <w:i/>
          <w:iCs/>
          <w:sz w:val="28"/>
          <w:szCs w:val="28"/>
        </w:rPr>
        <w:t>Poland</w:t>
      </w:r>
      <w:r w:rsidR="00003039">
        <w:rPr>
          <w:rFonts w:ascii="Times New Roman" w:hAnsi="Times New Roman"/>
          <w:sz w:val="28"/>
          <w:szCs w:val="28"/>
        </w:rPr>
        <w:t xml:space="preserve">), for this proposition. </w:t>
      </w:r>
      <w:r w:rsidR="00165F02">
        <w:rPr>
          <w:rFonts w:ascii="Times New Roman" w:hAnsi="Times New Roman"/>
          <w:sz w:val="28"/>
          <w:szCs w:val="28"/>
        </w:rPr>
        <w:t xml:space="preserve">As shown above, </w:t>
      </w:r>
      <w:r w:rsidR="00165F02" w:rsidRPr="00165F02">
        <w:rPr>
          <w:rFonts w:ascii="Times New Roman" w:hAnsi="Times New Roman"/>
          <w:i/>
          <w:iCs/>
          <w:sz w:val="28"/>
          <w:szCs w:val="28"/>
        </w:rPr>
        <w:t>Ring</w:t>
      </w:r>
      <w:r w:rsidR="00165F02">
        <w:rPr>
          <w:rFonts w:ascii="Times New Roman" w:hAnsi="Times New Roman"/>
          <w:sz w:val="28"/>
          <w:szCs w:val="28"/>
        </w:rPr>
        <w:t xml:space="preserve"> resolves that question against the </w:t>
      </w:r>
      <w:proofErr w:type="gramStart"/>
      <w:r w:rsidR="00165F02">
        <w:rPr>
          <w:rFonts w:ascii="Times New Roman" w:hAnsi="Times New Roman"/>
          <w:sz w:val="28"/>
          <w:szCs w:val="28"/>
        </w:rPr>
        <w:t>counter-argument</w:t>
      </w:r>
      <w:proofErr w:type="gramEnd"/>
      <w:r w:rsidR="00165F02">
        <w:rPr>
          <w:rFonts w:ascii="Times New Roman" w:hAnsi="Times New Roman"/>
          <w:sz w:val="28"/>
          <w:szCs w:val="28"/>
        </w:rPr>
        <w:t xml:space="preserve">. </w:t>
      </w:r>
      <w:r w:rsidR="00165F02" w:rsidRPr="00165F02">
        <w:rPr>
          <w:rFonts w:ascii="Times New Roman" w:hAnsi="Times New Roman"/>
          <w:i/>
          <w:iCs/>
          <w:sz w:val="28"/>
          <w:szCs w:val="28"/>
        </w:rPr>
        <w:t>Ring</w:t>
      </w:r>
      <w:r w:rsidR="00165F02">
        <w:rPr>
          <w:rFonts w:ascii="Times New Roman" w:hAnsi="Times New Roman"/>
          <w:sz w:val="28"/>
          <w:szCs w:val="28"/>
        </w:rPr>
        <w:t xml:space="preserve"> did not cite </w:t>
      </w:r>
      <w:r w:rsidR="00165F02" w:rsidRPr="00165F02">
        <w:rPr>
          <w:rFonts w:ascii="Times New Roman" w:hAnsi="Times New Roman"/>
          <w:i/>
          <w:iCs/>
          <w:sz w:val="28"/>
          <w:szCs w:val="28"/>
        </w:rPr>
        <w:t>Poland</w:t>
      </w:r>
      <w:r w:rsidR="00165F02">
        <w:rPr>
          <w:rFonts w:ascii="Times New Roman" w:hAnsi="Times New Roman"/>
          <w:sz w:val="28"/>
          <w:szCs w:val="28"/>
        </w:rPr>
        <w:t xml:space="preserve">, but it overruled </w:t>
      </w:r>
      <w:r w:rsidR="00165F02" w:rsidRPr="00165F02">
        <w:rPr>
          <w:rFonts w:ascii="Times New Roman" w:hAnsi="Times New Roman"/>
          <w:i/>
          <w:iCs/>
          <w:sz w:val="28"/>
          <w:szCs w:val="28"/>
        </w:rPr>
        <w:t>Walton</w:t>
      </w:r>
      <w:r w:rsidR="00165F02">
        <w:rPr>
          <w:rFonts w:ascii="Times New Roman" w:hAnsi="Times New Roman"/>
          <w:sz w:val="28"/>
          <w:szCs w:val="28"/>
        </w:rPr>
        <w:t xml:space="preserve">, which in turn relied on </w:t>
      </w:r>
      <w:r w:rsidR="00165F02" w:rsidRPr="00165F02">
        <w:rPr>
          <w:rFonts w:ascii="Times New Roman" w:hAnsi="Times New Roman"/>
          <w:i/>
          <w:iCs/>
          <w:sz w:val="28"/>
          <w:szCs w:val="28"/>
        </w:rPr>
        <w:t>Poland</w:t>
      </w:r>
      <w:r w:rsidR="00165F02">
        <w:rPr>
          <w:rFonts w:ascii="Times New Roman" w:hAnsi="Times New Roman"/>
          <w:sz w:val="28"/>
          <w:szCs w:val="28"/>
        </w:rPr>
        <w:t xml:space="preserve">. </w:t>
      </w:r>
      <w:r w:rsidR="00165F02" w:rsidRPr="00165F02">
        <w:rPr>
          <w:rFonts w:ascii="Times New Roman" w:hAnsi="Times New Roman"/>
          <w:i/>
          <w:iCs/>
          <w:sz w:val="28"/>
          <w:szCs w:val="28"/>
        </w:rPr>
        <w:t>See Walton</w:t>
      </w:r>
      <w:r w:rsidR="00165F02">
        <w:rPr>
          <w:rFonts w:ascii="Times New Roman" w:hAnsi="Times New Roman"/>
          <w:sz w:val="28"/>
          <w:szCs w:val="28"/>
        </w:rPr>
        <w:t xml:space="preserve">, 497 U.S. at 639-40, 648 (analyzing </w:t>
      </w:r>
      <w:r w:rsidR="00165F02" w:rsidRPr="00165F02">
        <w:rPr>
          <w:rFonts w:ascii="Times New Roman" w:hAnsi="Times New Roman"/>
          <w:i/>
          <w:iCs/>
          <w:sz w:val="28"/>
          <w:szCs w:val="28"/>
        </w:rPr>
        <w:t>Poland</w:t>
      </w:r>
      <w:r w:rsidR="00165F02">
        <w:rPr>
          <w:rFonts w:ascii="Times New Roman" w:hAnsi="Times New Roman"/>
          <w:sz w:val="28"/>
          <w:szCs w:val="28"/>
        </w:rPr>
        <w:t xml:space="preserve"> favorably).</w:t>
      </w:r>
      <w:r w:rsidR="00003039">
        <w:rPr>
          <w:rFonts w:ascii="Times New Roman" w:hAnsi="Times New Roman"/>
          <w:sz w:val="28"/>
          <w:szCs w:val="28"/>
        </w:rPr>
        <w:t xml:space="preserve"> </w:t>
      </w:r>
    </w:p>
  </w:footnote>
  <w:footnote w:id="2">
    <w:p w14:paraId="5F8A7979" w14:textId="225CACDD" w:rsidR="00766795" w:rsidRPr="00766795" w:rsidRDefault="00766795" w:rsidP="00766795">
      <w:pPr>
        <w:pStyle w:val="FootnoteText"/>
        <w:spacing w:line="240" w:lineRule="auto"/>
        <w:jc w:val="both"/>
        <w:rPr>
          <w:rFonts w:ascii="Times New Roman" w:hAnsi="Times New Roman"/>
          <w:sz w:val="28"/>
          <w:szCs w:val="28"/>
        </w:rPr>
      </w:pPr>
      <w:r w:rsidRPr="00766795">
        <w:rPr>
          <w:rStyle w:val="FootnoteReference"/>
          <w:rFonts w:ascii="Times New Roman" w:hAnsi="Times New Roman"/>
          <w:sz w:val="28"/>
          <w:szCs w:val="28"/>
        </w:rPr>
        <w:footnoteRef/>
      </w:r>
      <w:r w:rsidRPr="00766795">
        <w:rPr>
          <w:rFonts w:ascii="Times New Roman" w:hAnsi="Times New Roman"/>
          <w:sz w:val="28"/>
          <w:szCs w:val="28"/>
        </w:rPr>
        <w:t xml:space="preserve"> </w:t>
      </w:r>
      <w:r>
        <w:rPr>
          <w:rFonts w:ascii="Times New Roman" w:hAnsi="Times New Roman"/>
          <w:sz w:val="28"/>
          <w:szCs w:val="28"/>
        </w:rPr>
        <w:t xml:space="preserve">Petitioner attributes special meaning to the fact that Rule 13.5(c) includes language that the notice of aggravating circumstances “amends the charging document.” Petition at 14. Far from the “stark contrast” Petitioner sees from Rule 13.5(a), this is a distinction without a difference. As explained above, at the time the 2002 petition was filed, it was unknown whether this Court would require the allegation of aggravating factors in the indictment. Petition Attachment B at 6-7. This Court resolved that question in </w:t>
      </w:r>
      <w:r w:rsidRPr="00766795">
        <w:rPr>
          <w:rFonts w:ascii="Times New Roman" w:hAnsi="Times New Roman"/>
          <w:i/>
          <w:iCs/>
          <w:sz w:val="28"/>
          <w:szCs w:val="28"/>
        </w:rPr>
        <w:t>McKaney</w:t>
      </w:r>
      <w:r w:rsidR="00E40D80">
        <w:rPr>
          <w:rFonts w:ascii="Times New Roman" w:hAnsi="Times New Roman"/>
          <w:sz w:val="28"/>
          <w:szCs w:val="28"/>
        </w:rPr>
        <w:t>,</w:t>
      </w:r>
      <w:r w:rsidR="00734E90">
        <w:rPr>
          <w:rFonts w:ascii="Times New Roman" w:hAnsi="Times New Roman"/>
          <w:sz w:val="28"/>
          <w:szCs w:val="28"/>
        </w:rPr>
        <w:t xml:space="preserve"> 209 Ariz. at 27</w:t>
      </w:r>
      <w:r w:rsidR="0011537F">
        <w:rPr>
          <w:rFonts w:ascii="Times New Roman" w:hAnsi="Times New Roman"/>
          <w:sz w:val="28"/>
          <w:szCs w:val="28"/>
        </w:rPr>
        <w:t xml:space="preserve">3 </w:t>
      </w:r>
      <w:r w:rsidR="00734E90">
        <w:rPr>
          <w:rFonts w:ascii="Times New Roman" w:hAnsi="Times New Roman"/>
          <w:sz w:val="28"/>
          <w:szCs w:val="28"/>
        </w:rPr>
        <w:t xml:space="preserve">¶ </w:t>
      </w:r>
      <w:r w:rsidR="0011537F">
        <w:rPr>
          <w:rFonts w:ascii="Times New Roman" w:hAnsi="Times New Roman"/>
          <w:sz w:val="28"/>
          <w:szCs w:val="28"/>
        </w:rPr>
        <w:t>23.</w:t>
      </w:r>
    </w:p>
  </w:footnote>
  <w:footnote w:id="3">
    <w:p w14:paraId="7254DB7D" w14:textId="20F18A1D" w:rsidR="00766795" w:rsidRPr="00766795" w:rsidRDefault="00766795" w:rsidP="00766795">
      <w:pPr>
        <w:pStyle w:val="FootnoteText"/>
        <w:spacing w:line="240" w:lineRule="auto"/>
        <w:jc w:val="both"/>
        <w:rPr>
          <w:rFonts w:ascii="Times New Roman" w:hAnsi="Times New Roman"/>
          <w:sz w:val="28"/>
          <w:szCs w:val="28"/>
        </w:rPr>
      </w:pPr>
      <w:r w:rsidRPr="00766795">
        <w:rPr>
          <w:rStyle w:val="FootnoteReference"/>
          <w:rFonts w:ascii="Times New Roman" w:hAnsi="Times New Roman"/>
          <w:sz w:val="28"/>
          <w:szCs w:val="28"/>
        </w:rPr>
        <w:footnoteRef/>
      </w:r>
      <w:r w:rsidRPr="00766795">
        <w:rPr>
          <w:rFonts w:ascii="Times New Roman" w:hAnsi="Times New Roman"/>
          <w:sz w:val="28"/>
          <w:szCs w:val="28"/>
        </w:rPr>
        <w:t xml:space="preserve"> </w:t>
      </w:r>
      <w:r w:rsidRPr="00766795">
        <w:rPr>
          <w:rFonts w:ascii="Times New Roman" w:hAnsi="Times New Roman"/>
          <w:i/>
          <w:iCs/>
          <w:sz w:val="28"/>
          <w:szCs w:val="28"/>
        </w:rPr>
        <w:t>See</w:t>
      </w:r>
      <w:r>
        <w:rPr>
          <w:rFonts w:ascii="Times New Roman" w:hAnsi="Times New Roman"/>
          <w:sz w:val="28"/>
          <w:szCs w:val="28"/>
        </w:rPr>
        <w:t xml:space="preserve"> </w:t>
      </w:r>
      <w:hyperlink r:id="rId1" w:history="1">
        <w:r w:rsidRPr="005007C0">
          <w:rPr>
            <w:rStyle w:val="Hyperlink"/>
            <w:rFonts w:ascii="Times New Roman" w:hAnsi="Times New Roman"/>
            <w:sz w:val="28"/>
            <w:szCs w:val="28"/>
          </w:rPr>
          <w:t>R-17-0002</w:t>
        </w:r>
      </w:hyperlink>
      <w:r>
        <w:rPr>
          <w:rFonts w:ascii="Times New Roman" w:hAnsi="Times New Roman"/>
          <w:sz w:val="28"/>
          <w:szCs w:val="28"/>
        </w:rPr>
        <w:t>, Petition Appendix B ep 24 (“</w:t>
      </w:r>
      <w:r w:rsidRPr="00766795">
        <w:rPr>
          <w:rFonts w:ascii="Times New Roman" w:hAnsi="Times New Roman"/>
          <w:sz w:val="28"/>
          <w:szCs w:val="28"/>
        </w:rPr>
        <w:t>The Task Force proposes to incorporate current Rule 13.5(d)’s provision about challenging noncapital allegations into proposed Rule 13.5(a) and to delete the rest of Rule 13.5(d). The Task Force’s other proposed changes to this rule are stylistic.</w:t>
      </w:r>
      <w:r>
        <w:rPr>
          <w:rFonts w:ascii="Times New Roman" w:hAnsi="Times New Roman"/>
          <w:sz w:val="28"/>
          <w:szCs w:val="28"/>
        </w:rPr>
        <w:t>”).</w:t>
      </w:r>
    </w:p>
  </w:footnote>
  <w:footnote w:id="4">
    <w:p w14:paraId="7D549FAB" w14:textId="4F2B2A7C" w:rsidR="0043487D" w:rsidRPr="004509B6" w:rsidRDefault="0043487D" w:rsidP="0043487D">
      <w:pPr>
        <w:pStyle w:val="FootnoteText"/>
        <w:spacing w:line="240" w:lineRule="auto"/>
        <w:jc w:val="both"/>
        <w:rPr>
          <w:rFonts w:ascii="Times New Roman" w:hAnsi="Times New Roman"/>
          <w:sz w:val="28"/>
          <w:szCs w:val="28"/>
        </w:rPr>
      </w:pPr>
      <w:r w:rsidRPr="004509B6">
        <w:rPr>
          <w:rStyle w:val="FootnoteReference"/>
          <w:rFonts w:ascii="Times New Roman" w:hAnsi="Times New Roman"/>
          <w:sz w:val="28"/>
          <w:szCs w:val="28"/>
        </w:rPr>
        <w:footnoteRef/>
      </w:r>
      <w:r w:rsidRPr="004509B6">
        <w:rPr>
          <w:rFonts w:ascii="Times New Roman" w:hAnsi="Times New Roman"/>
          <w:sz w:val="28"/>
          <w:szCs w:val="28"/>
        </w:rPr>
        <w:t xml:space="preserve"> </w:t>
      </w:r>
      <w:r>
        <w:rPr>
          <w:rFonts w:ascii="Times New Roman" w:hAnsi="Times New Roman"/>
          <w:sz w:val="28"/>
          <w:szCs w:val="28"/>
        </w:rPr>
        <w:t xml:space="preserve">Petitioner cites </w:t>
      </w:r>
      <w:r>
        <w:rPr>
          <w:rFonts w:ascii="Times New Roman" w:hAnsi="Times New Roman"/>
          <w:i/>
          <w:iCs/>
          <w:sz w:val="28"/>
          <w:szCs w:val="28"/>
        </w:rPr>
        <w:t>State</w:t>
      </w:r>
      <w:r w:rsidRPr="00165F02">
        <w:rPr>
          <w:rFonts w:ascii="Times New Roman" w:hAnsi="Times New Roman"/>
          <w:i/>
          <w:iCs/>
          <w:sz w:val="28"/>
          <w:szCs w:val="28"/>
        </w:rPr>
        <w:t xml:space="preserve"> v. </w:t>
      </w:r>
      <w:r>
        <w:rPr>
          <w:rFonts w:ascii="Times New Roman" w:hAnsi="Times New Roman"/>
          <w:i/>
          <w:iCs/>
          <w:sz w:val="28"/>
          <w:szCs w:val="28"/>
        </w:rPr>
        <w:t>Nelson</w:t>
      </w:r>
      <w:r>
        <w:rPr>
          <w:rFonts w:ascii="Times New Roman" w:hAnsi="Times New Roman"/>
          <w:sz w:val="28"/>
          <w:szCs w:val="28"/>
        </w:rPr>
        <w:t xml:space="preserve">, </w:t>
      </w:r>
      <w:r w:rsidR="00F600EE">
        <w:rPr>
          <w:rFonts w:ascii="Times New Roman" w:hAnsi="Times New Roman"/>
          <w:sz w:val="28"/>
          <w:szCs w:val="28"/>
        </w:rPr>
        <w:t>2 CA-CR 2022-0086, 2023 WL 6534124 (Ariz. App. Oct. 6, 2023) (mem.</w:t>
      </w:r>
      <w:r w:rsidR="00C677DE">
        <w:rPr>
          <w:rFonts w:ascii="Times New Roman" w:hAnsi="Times New Roman"/>
          <w:sz w:val="28"/>
          <w:szCs w:val="28"/>
        </w:rPr>
        <w:t xml:space="preserve"> </w:t>
      </w:r>
      <w:r w:rsidR="00F600EE">
        <w:rPr>
          <w:rFonts w:ascii="Times New Roman" w:hAnsi="Times New Roman"/>
          <w:sz w:val="28"/>
          <w:szCs w:val="28"/>
        </w:rPr>
        <w:t>decision</w:t>
      </w:r>
      <w:r>
        <w:rPr>
          <w:rFonts w:ascii="Times New Roman" w:hAnsi="Times New Roman"/>
          <w:sz w:val="28"/>
          <w:szCs w:val="28"/>
        </w:rPr>
        <w:t>).</w:t>
      </w:r>
      <w:r w:rsidR="00F600EE">
        <w:rPr>
          <w:rFonts w:ascii="Times New Roman" w:hAnsi="Times New Roman"/>
          <w:sz w:val="28"/>
          <w:szCs w:val="28"/>
        </w:rPr>
        <w:t xml:space="preserve"> </w:t>
      </w:r>
      <w:r w:rsidR="00F600EE" w:rsidRPr="00F600EE">
        <w:rPr>
          <w:rFonts w:ascii="Times New Roman" w:hAnsi="Times New Roman"/>
          <w:i/>
          <w:iCs/>
          <w:sz w:val="28"/>
          <w:szCs w:val="28"/>
        </w:rPr>
        <w:t>Nelson</w:t>
      </w:r>
      <w:r w:rsidR="00F600EE">
        <w:rPr>
          <w:rFonts w:ascii="Times New Roman" w:hAnsi="Times New Roman"/>
          <w:sz w:val="28"/>
          <w:szCs w:val="28"/>
        </w:rPr>
        <w:t xml:space="preserve">, a memorandum decision, held that there was no prejudicial error for the state to fail to give notice of aggravating factors prior to trial commencing. This holding contravenes the clear language of </w:t>
      </w:r>
      <w:r w:rsidR="00F600EE" w:rsidRPr="00F322B5">
        <w:rPr>
          <w:rFonts w:ascii="Times New Roman" w:hAnsi="Times New Roman"/>
          <w:i/>
          <w:iCs/>
          <w:sz w:val="28"/>
          <w:szCs w:val="28"/>
        </w:rPr>
        <w:t>Waggoner</w:t>
      </w:r>
      <w:r w:rsidR="00F600EE">
        <w:rPr>
          <w:rFonts w:ascii="Times New Roman" w:hAnsi="Times New Roman"/>
          <w:sz w:val="28"/>
          <w:szCs w:val="28"/>
        </w:rPr>
        <w:t xml:space="preserve">, which was cited in Appellant’s Opening Brief, see 2023 WL 1861406, and Reply Brief, see 2023 WL 4374387, </w:t>
      </w:r>
      <w:r w:rsidR="00F600EE" w:rsidRPr="00F90724">
        <w:rPr>
          <w:rFonts w:ascii="Times New Roman" w:hAnsi="Times New Roman"/>
          <w:sz w:val="28"/>
          <w:szCs w:val="28"/>
        </w:rPr>
        <w:t xml:space="preserve">but the court of appeals did not cite </w:t>
      </w:r>
      <w:r w:rsidR="00F600EE" w:rsidRPr="00F90724">
        <w:rPr>
          <w:rFonts w:ascii="Times New Roman" w:hAnsi="Times New Roman"/>
          <w:i/>
          <w:iCs/>
          <w:sz w:val="28"/>
          <w:szCs w:val="28"/>
        </w:rPr>
        <w:t>Waggoner</w:t>
      </w:r>
      <w:r w:rsidR="00F600EE" w:rsidRPr="00F90724">
        <w:rPr>
          <w:rFonts w:ascii="Times New Roman" w:hAnsi="Times New Roman"/>
          <w:sz w:val="28"/>
          <w:szCs w:val="28"/>
        </w:rPr>
        <w:t xml:space="preserve"> once</w:t>
      </w:r>
      <w:r w:rsidR="00F600EE">
        <w:rPr>
          <w:rFonts w:ascii="Times New Roman" w:hAnsi="Times New Roman"/>
          <w:sz w:val="28"/>
          <w:szCs w:val="28"/>
        </w:rPr>
        <w:t>.</w:t>
      </w:r>
    </w:p>
  </w:footnote>
  <w:footnote w:id="5">
    <w:p w14:paraId="249180E8" w14:textId="60476E1E" w:rsidR="0074561A" w:rsidRPr="004509B6" w:rsidRDefault="0074561A" w:rsidP="0074561A">
      <w:pPr>
        <w:pStyle w:val="FootnoteText"/>
        <w:spacing w:line="240" w:lineRule="auto"/>
        <w:jc w:val="both"/>
        <w:rPr>
          <w:rFonts w:ascii="Times New Roman" w:hAnsi="Times New Roman"/>
          <w:sz w:val="28"/>
          <w:szCs w:val="28"/>
        </w:rPr>
      </w:pPr>
      <w:r w:rsidRPr="004509B6">
        <w:rPr>
          <w:rStyle w:val="FootnoteReference"/>
          <w:rFonts w:ascii="Times New Roman" w:hAnsi="Times New Roman"/>
          <w:sz w:val="28"/>
          <w:szCs w:val="28"/>
        </w:rPr>
        <w:footnoteRef/>
      </w:r>
      <w:r w:rsidRPr="004509B6">
        <w:rPr>
          <w:rFonts w:ascii="Times New Roman" w:hAnsi="Times New Roman"/>
          <w:sz w:val="28"/>
          <w:szCs w:val="28"/>
        </w:rPr>
        <w:t xml:space="preserve"> </w:t>
      </w:r>
      <w:r>
        <w:rPr>
          <w:rFonts w:ascii="Times New Roman" w:hAnsi="Times New Roman"/>
          <w:sz w:val="28"/>
          <w:szCs w:val="28"/>
        </w:rPr>
        <w:t xml:space="preserve">Undersigned counsel conducted a noncapital trial and filed a </w:t>
      </w:r>
      <w:r w:rsidRPr="0074561A">
        <w:rPr>
          <w:rFonts w:ascii="Times New Roman" w:hAnsi="Times New Roman"/>
          <w:i/>
          <w:iCs/>
          <w:sz w:val="28"/>
          <w:szCs w:val="28"/>
        </w:rPr>
        <w:t>Chronis</w:t>
      </w:r>
      <w:r>
        <w:rPr>
          <w:rFonts w:ascii="Times New Roman" w:hAnsi="Times New Roman"/>
          <w:sz w:val="28"/>
          <w:szCs w:val="28"/>
        </w:rPr>
        <w:t xml:space="preserve"> motion, and the State responded on the merits and conceded certain points. </w:t>
      </w:r>
      <w:r w:rsidRPr="0074561A">
        <w:rPr>
          <w:rFonts w:ascii="Times New Roman" w:hAnsi="Times New Roman"/>
          <w:i/>
          <w:iCs/>
          <w:sz w:val="28"/>
          <w:szCs w:val="28"/>
        </w:rPr>
        <w:t>State v. Poitra</w:t>
      </w:r>
      <w:r>
        <w:rPr>
          <w:rFonts w:ascii="Times New Roman" w:hAnsi="Times New Roman"/>
          <w:sz w:val="28"/>
          <w:szCs w:val="28"/>
        </w:rPr>
        <w:t>, Pima County Superior Court No. CR20220548-001 (motion filed May 23, 2022).</w:t>
      </w:r>
    </w:p>
  </w:footnote>
  <w:footnote w:id="6">
    <w:p w14:paraId="286DE15D" w14:textId="2FE8789E" w:rsidR="00A85E85" w:rsidRPr="004509B6" w:rsidRDefault="00A85E85" w:rsidP="00A85E85">
      <w:pPr>
        <w:pStyle w:val="FootnoteText"/>
        <w:spacing w:line="240" w:lineRule="auto"/>
        <w:jc w:val="both"/>
        <w:rPr>
          <w:rFonts w:ascii="Times New Roman" w:hAnsi="Times New Roman"/>
          <w:sz w:val="28"/>
          <w:szCs w:val="28"/>
        </w:rPr>
      </w:pPr>
      <w:r w:rsidRPr="004509B6">
        <w:rPr>
          <w:rStyle w:val="FootnoteReference"/>
          <w:rFonts w:ascii="Times New Roman" w:hAnsi="Times New Roman"/>
          <w:sz w:val="28"/>
          <w:szCs w:val="28"/>
        </w:rPr>
        <w:footnoteRef/>
      </w:r>
      <w:r w:rsidRPr="004509B6">
        <w:rPr>
          <w:rFonts w:ascii="Times New Roman" w:hAnsi="Times New Roman"/>
          <w:sz w:val="28"/>
          <w:szCs w:val="28"/>
        </w:rPr>
        <w:t xml:space="preserve"> </w:t>
      </w:r>
      <w:r w:rsidR="00E55454" w:rsidRPr="00E55454">
        <w:rPr>
          <w:rFonts w:ascii="Times New Roman" w:hAnsi="Times New Roman"/>
          <w:i/>
          <w:iCs/>
          <w:sz w:val="28"/>
          <w:szCs w:val="28"/>
        </w:rPr>
        <w:t>See</w:t>
      </w:r>
      <w:r w:rsidR="00E55454">
        <w:rPr>
          <w:rFonts w:ascii="Times New Roman" w:hAnsi="Times New Roman"/>
          <w:sz w:val="28"/>
          <w:szCs w:val="28"/>
        </w:rPr>
        <w:t xml:space="preserve"> </w:t>
      </w:r>
      <w:r w:rsidR="00E55454" w:rsidRPr="00E55454">
        <w:rPr>
          <w:rFonts w:ascii="Times New Roman" w:hAnsi="Times New Roman"/>
          <w:i/>
          <w:iCs/>
          <w:sz w:val="28"/>
          <w:szCs w:val="28"/>
        </w:rPr>
        <w:t>Navarro-Figueroa v. State</w:t>
      </w:r>
      <w:r w:rsidR="00E55454">
        <w:rPr>
          <w:rFonts w:ascii="Times New Roman" w:hAnsi="Times New Roman"/>
          <w:sz w:val="28"/>
          <w:szCs w:val="28"/>
        </w:rPr>
        <w:t xml:space="preserve">, 2 CA-SA 2025-0028, </w:t>
      </w:r>
      <w:hyperlink r:id="rId2" w:history="1">
        <w:r w:rsidR="00E55454" w:rsidRPr="00E55454">
          <w:rPr>
            <w:rStyle w:val="Hyperlink"/>
            <w:rFonts w:ascii="Times New Roman" w:hAnsi="Times New Roman"/>
            <w:sz w:val="28"/>
            <w:szCs w:val="28"/>
          </w:rPr>
          <w:t>Appendix to Petition for Special Action</w:t>
        </w:r>
      </w:hyperlink>
      <w:r w:rsidR="00E55454">
        <w:rPr>
          <w:rFonts w:ascii="Times New Roman" w:hAnsi="Times New Roman"/>
          <w:sz w:val="28"/>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51D2" w14:textId="77777777" w:rsidR="00CB1A60" w:rsidRDefault="00CB1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6A07" w14:textId="77777777" w:rsidR="00CB1A60" w:rsidRDefault="00CB1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D99F8" w14:textId="443F5931" w:rsidR="00CB1A60" w:rsidRDefault="00CB1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34B"/>
    <w:multiLevelType w:val="hybridMultilevel"/>
    <w:tmpl w:val="8242917C"/>
    <w:lvl w:ilvl="0" w:tplc="8CAACF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80799E"/>
    <w:multiLevelType w:val="hybridMultilevel"/>
    <w:tmpl w:val="C7C8F72A"/>
    <w:lvl w:ilvl="0" w:tplc="70A606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99395E"/>
    <w:multiLevelType w:val="hybridMultilevel"/>
    <w:tmpl w:val="5C5CA070"/>
    <w:lvl w:ilvl="0" w:tplc="8DB6E16C">
      <w:start w:val="1"/>
      <w:numFmt w:val="decimal"/>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2C0833"/>
    <w:multiLevelType w:val="hybridMultilevel"/>
    <w:tmpl w:val="CAEE994C"/>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2A15318"/>
    <w:multiLevelType w:val="hybridMultilevel"/>
    <w:tmpl w:val="CFB25D0A"/>
    <w:lvl w:ilvl="0" w:tplc="C5E20F3A">
      <w:start w:val="1"/>
      <w:numFmt w:val="decimal"/>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4E2693A"/>
    <w:multiLevelType w:val="hybridMultilevel"/>
    <w:tmpl w:val="8242917C"/>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D07114"/>
    <w:multiLevelType w:val="hybridMultilevel"/>
    <w:tmpl w:val="4F6C447C"/>
    <w:lvl w:ilvl="0" w:tplc="68A4C80E">
      <w:start w:val="1"/>
      <w:numFmt w:val="lowerRoman"/>
      <w:lvlText w:val="(%1)"/>
      <w:lvlJc w:val="left"/>
      <w:pPr>
        <w:ind w:left="1460" w:hanging="72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1" w15:restartNumberingAfterBreak="0">
    <w:nsid w:val="2AD8633D"/>
    <w:multiLevelType w:val="hybridMultilevel"/>
    <w:tmpl w:val="97924C08"/>
    <w:lvl w:ilvl="0" w:tplc="E6909F08">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D306C2"/>
    <w:multiLevelType w:val="hybridMultilevel"/>
    <w:tmpl w:val="DBAACA88"/>
    <w:lvl w:ilvl="0" w:tplc="FFFFFFFF">
      <w:start w:val="1"/>
      <w:numFmt w:val="lowerLetter"/>
      <w:lvlText w:val="(%1)"/>
      <w:lvlJc w:val="left"/>
      <w:pPr>
        <w:ind w:left="1100" w:hanging="380"/>
      </w:pPr>
      <w:rPr>
        <w:rFonts w:hint="default"/>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40E3867"/>
    <w:multiLevelType w:val="hybridMultilevel"/>
    <w:tmpl w:val="1BDADEB8"/>
    <w:lvl w:ilvl="0" w:tplc="30CE959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385F6514"/>
    <w:multiLevelType w:val="hybridMultilevel"/>
    <w:tmpl w:val="EEAE1C5A"/>
    <w:lvl w:ilvl="0" w:tplc="282A3A52">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2127444"/>
    <w:multiLevelType w:val="hybridMultilevel"/>
    <w:tmpl w:val="B56C9658"/>
    <w:lvl w:ilvl="0" w:tplc="7696EE40">
      <w:start w:val="1"/>
      <w:numFmt w:val="upperLetter"/>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DE34704"/>
    <w:multiLevelType w:val="hybridMultilevel"/>
    <w:tmpl w:val="D2AEE952"/>
    <w:lvl w:ilvl="0" w:tplc="89DAD2D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562B75"/>
    <w:multiLevelType w:val="hybridMultilevel"/>
    <w:tmpl w:val="86F60DA6"/>
    <w:lvl w:ilvl="0" w:tplc="D2386AF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562521F2"/>
    <w:multiLevelType w:val="hybridMultilevel"/>
    <w:tmpl w:val="BF8A9B16"/>
    <w:lvl w:ilvl="0" w:tplc="5400183A">
      <w:start w:val="1"/>
      <w:numFmt w:val="upperLetter"/>
      <w:lvlText w:val="(%1)"/>
      <w:lvlJc w:val="left"/>
      <w:pPr>
        <w:ind w:left="740" w:hanging="3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B25C01"/>
    <w:multiLevelType w:val="hybridMultilevel"/>
    <w:tmpl w:val="CAEE994C"/>
    <w:lvl w:ilvl="0" w:tplc="BD4C9D08">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DD5700E"/>
    <w:multiLevelType w:val="hybridMultilevel"/>
    <w:tmpl w:val="16B684F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3A210EA"/>
    <w:multiLevelType w:val="hybridMultilevel"/>
    <w:tmpl w:val="1E9EE400"/>
    <w:lvl w:ilvl="0" w:tplc="CF766B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E92485"/>
    <w:multiLevelType w:val="hybridMultilevel"/>
    <w:tmpl w:val="BF8A9B16"/>
    <w:lvl w:ilvl="0" w:tplc="FFFFFFFF">
      <w:start w:val="1"/>
      <w:numFmt w:val="upperLetter"/>
      <w:lvlText w:val="(%1)"/>
      <w:lvlJc w:val="left"/>
      <w:pPr>
        <w:ind w:left="740" w:hanging="38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5F5EE6"/>
    <w:multiLevelType w:val="hybridMultilevel"/>
    <w:tmpl w:val="A6C43686"/>
    <w:lvl w:ilvl="0" w:tplc="08BED8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293F8A"/>
    <w:multiLevelType w:val="hybridMultilevel"/>
    <w:tmpl w:val="3C1449E4"/>
    <w:lvl w:ilvl="0" w:tplc="D57EDFC6">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44A1DFA"/>
    <w:multiLevelType w:val="hybridMultilevel"/>
    <w:tmpl w:val="DBAACA88"/>
    <w:lvl w:ilvl="0" w:tplc="9AF667C0">
      <w:start w:val="1"/>
      <w:numFmt w:val="lowerLetter"/>
      <w:lvlText w:val="(%1)"/>
      <w:lvlJc w:val="left"/>
      <w:pPr>
        <w:ind w:left="1100" w:hanging="380"/>
      </w:pPr>
      <w:rPr>
        <w:rFonts w:hint="default"/>
      </w:rPr>
    </w:lvl>
    <w:lvl w:ilvl="1" w:tplc="CBC2874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2903555">
    <w:abstractNumId w:val="4"/>
  </w:num>
  <w:num w:numId="2" w16cid:durableId="469400166">
    <w:abstractNumId w:val="3"/>
  </w:num>
  <w:num w:numId="3" w16cid:durableId="626275486">
    <w:abstractNumId w:val="9"/>
  </w:num>
  <w:num w:numId="4" w16cid:durableId="1237518553">
    <w:abstractNumId w:val="8"/>
  </w:num>
  <w:num w:numId="5" w16cid:durableId="1732536459">
    <w:abstractNumId w:val="23"/>
  </w:num>
  <w:num w:numId="6" w16cid:durableId="1378436400">
    <w:abstractNumId w:val="28"/>
  </w:num>
  <w:num w:numId="7" w16cid:durableId="991374513">
    <w:abstractNumId w:val="13"/>
  </w:num>
  <w:num w:numId="8" w16cid:durableId="1700660638">
    <w:abstractNumId w:val="16"/>
  </w:num>
  <w:num w:numId="9" w16cid:durableId="372001553">
    <w:abstractNumId w:val="26"/>
  </w:num>
  <w:num w:numId="10" w16cid:durableId="398214401">
    <w:abstractNumId w:val="22"/>
  </w:num>
  <w:num w:numId="11" w16cid:durableId="1932085538">
    <w:abstractNumId w:val="24"/>
  </w:num>
  <w:num w:numId="12" w16cid:durableId="212810470">
    <w:abstractNumId w:val="29"/>
  </w:num>
  <w:num w:numId="13" w16cid:durableId="154299559">
    <w:abstractNumId w:val="15"/>
  </w:num>
  <w:num w:numId="14" w16cid:durableId="2139762203">
    <w:abstractNumId w:val="27"/>
  </w:num>
  <w:num w:numId="15" w16cid:durableId="1779134998">
    <w:abstractNumId w:val="14"/>
  </w:num>
  <w:num w:numId="16" w16cid:durableId="1601137933">
    <w:abstractNumId w:val="6"/>
  </w:num>
  <w:num w:numId="17" w16cid:durableId="15499093">
    <w:abstractNumId w:val="20"/>
  </w:num>
  <w:num w:numId="18" w16cid:durableId="358897891">
    <w:abstractNumId w:val="10"/>
  </w:num>
  <w:num w:numId="19" w16cid:durableId="1631091077">
    <w:abstractNumId w:val="17"/>
  </w:num>
  <w:num w:numId="20" w16cid:durableId="1133525758">
    <w:abstractNumId w:val="25"/>
  </w:num>
  <w:num w:numId="21" w16cid:durableId="2047636258">
    <w:abstractNumId w:val="12"/>
  </w:num>
  <w:num w:numId="22" w16cid:durableId="1701322166">
    <w:abstractNumId w:val="11"/>
  </w:num>
  <w:num w:numId="23" w16cid:durableId="316150137">
    <w:abstractNumId w:val="2"/>
  </w:num>
  <w:num w:numId="24" w16cid:durableId="1405369219">
    <w:abstractNumId w:val="21"/>
  </w:num>
  <w:num w:numId="25" w16cid:durableId="976688191">
    <w:abstractNumId w:val="19"/>
  </w:num>
  <w:num w:numId="26" w16cid:durableId="793911626">
    <w:abstractNumId w:val="5"/>
  </w:num>
  <w:num w:numId="27" w16cid:durableId="2067415462">
    <w:abstractNumId w:val="1"/>
  </w:num>
  <w:num w:numId="28" w16cid:durableId="5596621">
    <w:abstractNumId w:val="18"/>
  </w:num>
  <w:num w:numId="29" w16cid:durableId="790436289">
    <w:abstractNumId w:val="0"/>
  </w:num>
  <w:num w:numId="30" w16cid:durableId="4428436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BD"/>
    <w:rsid w:val="000002CC"/>
    <w:rsid w:val="00003039"/>
    <w:rsid w:val="00003247"/>
    <w:rsid w:val="00010B33"/>
    <w:rsid w:val="00015A49"/>
    <w:rsid w:val="000170EA"/>
    <w:rsid w:val="00022C90"/>
    <w:rsid w:val="00027F2F"/>
    <w:rsid w:val="00030DFC"/>
    <w:rsid w:val="00033485"/>
    <w:rsid w:val="000347CF"/>
    <w:rsid w:val="00036CF2"/>
    <w:rsid w:val="000506CE"/>
    <w:rsid w:val="00050775"/>
    <w:rsid w:val="00051BE4"/>
    <w:rsid w:val="000539C9"/>
    <w:rsid w:val="00054624"/>
    <w:rsid w:val="00056378"/>
    <w:rsid w:val="000574A7"/>
    <w:rsid w:val="00057960"/>
    <w:rsid w:val="0006381A"/>
    <w:rsid w:val="00071B11"/>
    <w:rsid w:val="000759BB"/>
    <w:rsid w:val="000763D7"/>
    <w:rsid w:val="00076CBE"/>
    <w:rsid w:val="00077B9A"/>
    <w:rsid w:val="00083D10"/>
    <w:rsid w:val="00086485"/>
    <w:rsid w:val="00087487"/>
    <w:rsid w:val="0009281F"/>
    <w:rsid w:val="00092D1D"/>
    <w:rsid w:val="00094BC9"/>
    <w:rsid w:val="00095786"/>
    <w:rsid w:val="000966E2"/>
    <w:rsid w:val="00097D48"/>
    <w:rsid w:val="000A3743"/>
    <w:rsid w:val="000B15C4"/>
    <w:rsid w:val="000B1D0D"/>
    <w:rsid w:val="000B3D5C"/>
    <w:rsid w:val="000B58EF"/>
    <w:rsid w:val="000B6489"/>
    <w:rsid w:val="000B7ACB"/>
    <w:rsid w:val="000C72FF"/>
    <w:rsid w:val="000D50D4"/>
    <w:rsid w:val="000D6BB1"/>
    <w:rsid w:val="000E2821"/>
    <w:rsid w:val="000E3D5B"/>
    <w:rsid w:val="000E477A"/>
    <w:rsid w:val="000E6C47"/>
    <w:rsid w:val="000E7FAC"/>
    <w:rsid w:val="000F1FEC"/>
    <w:rsid w:val="000F6163"/>
    <w:rsid w:val="0010698F"/>
    <w:rsid w:val="00111A1A"/>
    <w:rsid w:val="0011537F"/>
    <w:rsid w:val="00117CB3"/>
    <w:rsid w:val="0012054D"/>
    <w:rsid w:val="00125A1E"/>
    <w:rsid w:val="00125CA9"/>
    <w:rsid w:val="001269D9"/>
    <w:rsid w:val="001279AC"/>
    <w:rsid w:val="0013019E"/>
    <w:rsid w:val="00141C61"/>
    <w:rsid w:val="00142D09"/>
    <w:rsid w:val="00147D21"/>
    <w:rsid w:val="00147D30"/>
    <w:rsid w:val="001516C5"/>
    <w:rsid w:val="001551D3"/>
    <w:rsid w:val="00160425"/>
    <w:rsid w:val="0016104B"/>
    <w:rsid w:val="0016125C"/>
    <w:rsid w:val="00165F02"/>
    <w:rsid w:val="00170A1F"/>
    <w:rsid w:val="00171C46"/>
    <w:rsid w:val="0017448D"/>
    <w:rsid w:val="00175B0A"/>
    <w:rsid w:val="00176A8B"/>
    <w:rsid w:val="0017761F"/>
    <w:rsid w:val="001841BF"/>
    <w:rsid w:val="00186903"/>
    <w:rsid w:val="00187C9F"/>
    <w:rsid w:val="001942E5"/>
    <w:rsid w:val="00197C17"/>
    <w:rsid w:val="001B1196"/>
    <w:rsid w:val="001B24C6"/>
    <w:rsid w:val="001B3667"/>
    <w:rsid w:val="001B408E"/>
    <w:rsid w:val="001B781A"/>
    <w:rsid w:val="001C015F"/>
    <w:rsid w:val="001C02C6"/>
    <w:rsid w:val="001C2BDE"/>
    <w:rsid w:val="001C30CE"/>
    <w:rsid w:val="001C5FF7"/>
    <w:rsid w:val="001C60A4"/>
    <w:rsid w:val="001D0E6C"/>
    <w:rsid w:val="001D386D"/>
    <w:rsid w:val="001D4A80"/>
    <w:rsid w:val="001E2C94"/>
    <w:rsid w:val="001E74E4"/>
    <w:rsid w:val="001F0E1F"/>
    <w:rsid w:val="001F54B7"/>
    <w:rsid w:val="001F6288"/>
    <w:rsid w:val="00205E43"/>
    <w:rsid w:val="002076F9"/>
    <w:rsid w:val="00213BA9"/>
    <w:rsid w:val="00221A90"/>
    <w:rsid w:val="00221BCC"/>
    <w:rsid w:val="00230545"/>
    <w:rsid w:val="00235C89"/>
    <w:rsid w:val="0023620C"/>
    <w:rsid w:val="00236BF8"/>
    <w:rsid w:val="0024249D"/>
    <w:rsid w:val="00252BB8"/>
    <w:rsid w:val="002549CE"/>
    <w:rsid w:val="00255E07"/>
    <w:rsid w:val="00261AF6"/>
    <w:rsid w:val="00264A6D"/>
    <w:rsid w:val="00270A6B"/>
    <w:rsid w:val="0027131F"/>
    <w:rsid w:val="0027258D"/>
    <w:rsid w:val="002763F8"/>
    <w:rsid w:val="00282895"/>
    <w:rsid w:val="00283A7C"/>
    <w:rsid w:val="00284416"/>
    <w:rsid w:val="00284E5B"/>
    <w:rsid w:val="00285283"/>
    <w:rsid w:val="002866FC"/>
    <w:rsid w:val="002901A9"/>
    <w:rsid w:val="00295F77"/>
    <w:rsid w:val="002A24BA"/>
    <w:rsid w:val="002A3420"/>
    <w:rsid w:val="002A456E"/>
    <w:rsid w:val="002A4DD3"/>
    <w:rsid w:val="002B4D0D"/>
    <w:rsid w:val="002B5B1B"/>
    <w:rsid w:val="002B62C2"/>
    <w:rsid w:val="002B7481"/>
    <w:rsid w:val="002C0EDD"/>
    <w:rsid w:val="002C54D2"/>
    <w:rsid w:val="002C660A"/>
    <w:rsid w:val="002D0E9E"/>
    <w:rsid w:val="002D17D1"/>
    <w:rsid w:val="002D1E61"/>
    <w:rsid w:val="002D6A6A"/>
    <w:rsid w:val="002E464C"/>
    <w:rsid w:val="002E545E"/>
    <w:rsid w:val="002F1FBD"/>
    <w:rsid w:val="002F2876"/>
    <w:rsid w:val="002F33EF"/>
    <w:rsid w:val="002F3B52"/>
    <w:rsid w:val="002F440E"/>
    <w:rsid w:val="003011AB"/>
    <w:rsid w:val="00301411"/>
    <w:rsid w:val="00304745"/>
    <w:rsid w:val="00304EAE"/>
    <w:rsid w:val="003055A7"/>
    <w:rsid w:val="00305778"/>
    <w:rsid w:val="00305CB1"/>
    <w:rsid w:val="00311552"/>
    <w:rsid w:val="00313AAF"/>
    <w:rsid w:val="003207D3"/>
    <w:rsid w:val="00320C7A"/>
    <w:rsid w:val="003231B0"/>
    <w:rsid w:val="00323F32"/>
    <w:rsid w:val="00325AFE"/>
    <w:rsid w:val="0033167F"/>
    <w:rsid w:val="00331802"/>
    <w:rsid w:val="003353C5"/>
    <w:rsid w:val="003367F0"/>
    <w:rsid w:val="00340ED9"/>
    <w:rsid w:val="003412D9"/>
    <w:rsid w:val="003444A9"/>
    <w:rsid w:val="00345960"/>
    <w:rsid w:val="00350551"/>
    <w:rsid w:val="00351280"/>
    <w:rsid w:val="00356079"/>
    <w:rsid w:val="00357C78"/>
    <w:rsid w:val="00361AA4"/>
    <w:rsid w:val="003659B5"/>
    <w:rsid w:val="003732CB"/>
    <w:rsid w:val="0037686D"/>
    <w:rsid w:val="00380B0B"/>
    <w:rsid w:val="003812FE"/>
    <w:rsid w:val="00396ECC"/>
    <w:rsid w:val="003A2343"/>
    <w:rsid w:val="003A27C5"/>
    <w:rsid w:val="003A346F"/>
    <w:rsid w:val="003A63AE"/>
    <w:rsid w:val="003A66E3"/>
    <w:rsid w:val="003A77A8"/>
    <w:rsid w:val="003C15EA"/>
    <w:rsid w:val="003C4E9C"/>
    <w:rsid w:val="003C6246"/>
    <w:rsid w:val="003D6070"/>
    <w:rsid w:val="003E0313"/>
    <w:rsid w:val="003E3701"/>
    <w:rsid w:val="003E5547"/>
    <w:rsid w:val="003E5927"/>
    <w:rsid w:val="003F51D3"/>
    <w:rsid w:val="003F5388"/>
    <w:rsid w:val="0041282A"/>
    <w:rsid w:val="0041704C"/>
    <w:rsid w:val="00420CBC"/>
    <w:rsid w:val="00421E9E"/>
    <w:rsid w:val="00427DEC"/>
    <w:rsid w:val="00430FD5"/>
    <w:rsid w:val="004331B6"/>
    <w:rsid w:val="0043487D"/>
    <w:rsid w:val="004434F1"/>
    <w:rsid w:val="00444BE7"/>
    <w:rsid w:val="004503FC"/>
    <w:rsid w:val="004509B6"/>
    <w:rsid w:val="00451F00"/>
    <w:rsid w:val="00454AE0"/>
    <w:rsid w:val="00457C42"/>
    <w:rsid w:val="00462D5A"/>
    <w:rsid w:val="004660ED"/>
    <w:rsid w:val="004711E3"/>
    <w:rsid w:val="0047133B"/>
    <w:rsid w:val="004724AE"/>
    <w:rsid w:val="00473FC6"/>
    <w:rsid w:val="0047497F"/>
    <w:rsid w:val="004835B0"/>
    <w:rsid w:val="00485FAA"/>
    <w:rsid w:val="00492362"/>
    <w:rsid w:val="00493A61"/>
    <w:rsid w:val="004963BA"/>
    <w:rsid w:val="004A2829"/>
    <w:rsid w:val="004B3410"/>
    <w:rsid w:val="004B6D4E"/>
    <w:rsid w:val="004B74D0"/>
    <w:rsid w:val="004B7790"/>
    <w:rsid w:val="004C19C0"/>
    <w:rsid w:val="004C7133"/>
    <w:rsid w:val="004D3C86"/>
    <w:rsid w:val="004D4BA3"/>
    <w:rsid w:val="004D6A51"/>
    <w:rsid w:val="004D72A3"/>
    <w:rsid w:val="004E26B2"/>
    <w:rsid w:val="004E66AE"/>
    <w:rsid w:val="004E6839"/>
    <w:rsid w:val="004E6EF6"/>
    <w:rsid w:val="004F2D0B"/>
    <w:rsid w:val="004F3B51"/>
    <w:rsid w:val="004F456D"/>
    <w:rsid w:val="004F5419"/>
    <w:rsid w:val="004F5882"/>
    <w:rsid w:val="005007C0"/>
    <w:rsid w:val="00502211"/>
    <w:rsid w:val="00512EB9"/>
    <w:rsid w:val="00515CB2"/>
    <w:rsid w:val="00517D52"/>
    <w:rsid w:val="0052085E"/>
    <w:rsid w:val="005252FB"/>
    <w:rsid w:val="00532636"/>
    <w:rsid w:val="00542196"/>
    <w:rsid w:val="0054468B"/>
    <w:rsid w:val="005453BE"/>
    <w:rsid w:val="0054757D"/>
    <w:rsid w:val="00550166"/>
    <w:rsid w:val="00553515"/>
    <w:rsid w:val="005552C9"/>
    <w:rsid w:val="00556A2D"/>
    <w:rsid w:val="00564A77"/>
    <w:rsid w:val="0056560C"/>
    <w:rsid w:val="00565858"/>
    <w:rsid w:val="00570AF9"/>
    <w:rsid w:val="00572716"/>
    <w:rsid w:val="005755C5"/>
    <w:rsid w:val="00584A77"/>
    <w:rsid w:val="005924A7"/>
    <w:rsid w:val="0059751C"/>
    <w:rsid w:val="005A51D7"/>
    <w:rsid w:val="005A5826"/>
    <w:rsid w:val="005B0C4F"/>
    <w:rsid w:val="005B2350"/>
    <w:rsid w:val="005B53BE"/>
    <w:rsid w:val="005B7899"/>
    <w:rsid w:val="005C109B"/>
    <w:rsid w:val="005C3BDC"/>
    <w:rsid w:val="005C5AEA"/>
    <w:rsid w:val="005C6E61"/>
    <w:rsid w:val="005D06D5"/>
    <w:rsid w:val="005D21EF"/>
    <w:rsid w:val="005D441D"/>
    <w:rsid w:val="005D7DCC"/>
    <w:rsid w:val="005E0339"/>
    <w:rsid w:val="005E11F3"/>
    <w:rsid w:val="005E162E"/>
    <w:rsid w:val="005E2629"/>
    <w:rsid w:val="005E40C0"/>
    <w:rsid w:val="005F0195"/>
    <w:rsid w:val="005F145E"/>
    <w:rsid w:val="005F4669"/>
    <w:rsid w:val="005F497D"/>
    <w:rsid w:val="0060208D"/>
    <w:rsid w:val="006068F4"/>
    <w:rsid w:val="0061055B"/>
    <w:rsid w:val="006114B6"/>
    <w:rsid w:val="00614C0B"/>
    <w:rsid w:val="00620267"/>
    <w:rsid w:val="0062185E"/>
    <w:rsid w:val="00621C77"/>
    <w:rsid w:val="006235B5"/>
    <w:rsid w:val="00625BDB"/>
    <w:rsid w:val="0062703F"/>
    <w:rsid w:val="00627605"/>
    <w:rsid w:val="00627DBE"/>
    <w:rsid w:val="00635786"/>
    <w:rsid w:val="00636918"/>
    <w:rsid w:val="006378F2"/>
    <w:rsid w:val="00642CC1"/>
    <w:rsid w:val="006463AE"/>
    <w:rsid w:val="00646589"/>
    <w:rsid w:val="00650C11"/>
    <w:rsid w:val="00656061"/>
    <w:rsid w:val="00661020"/>
    <w:rsid w:val="006650FE"/>
    <w:rsid w:val="006654B6"/>
    <w:rsid w:val="00666490"/>
    <w:rsid w:val="00666672"/>
    <w:rsid w:val="00666F70"/>
    <w:rsid w:val="00671A36"/>
    <w:rsid w:val="00674178"/>
    <w:rsid w:val="00674A78"/>
    <w:rsid w:val="00680F42"/>
    <w:rsid w:val="00682C6D"/>
    <w:rsid w:val="00685ADC"/>
    <w:rsid w:val="006876D6"/>
    <w:rsid w:val="00692962"/>
    <w:rsid w:val="006A3EB6"/>
    <w:rsid w:val="006A53BB"/>
    <w:rsid w:val="006A78C5"/>
    <w:rsid w:val="006C0F08"/>
    <w:rsid w:val="006C2808"/>
    <w:rsid w:val="006C5B68"/>
    <w:rsid w:val="006C648E"/>
    <w:rsid w:val="006C6B65"/>
    <w:rsid w:val="006D16D3"/>
    <w:rsid w:val="006D1C00"/>
    <w:rsid w:val="006D30E7"/>
    <w:rsid w:val="006D4397"/>
    <w:rsid w:val="006D4E43"/>
    <w:rsid w:val="006E34AB"/>
    <w:rsid w:val="006E3BEB"/>
    <w:rsid w:val="006F12DA"/>
    <w:rsid w:val="006F5562"/>
    <w:rsid w:val="006F594D"/>
    <w:rsid w:val="006F6CD5"/>
    <w:rsid w:val="00701CE7"/>
    <w:rsid w:val="00701DAA"/>
    <w:rsid w:val="0070604A"/>
    <w:rsid w:val="007061B9"/>
    <w:rsid w:val="007109BB"/>
    <w:rsid w:val="007143E1"/>
    <w:rsid w:val="00714CCA"/>
    <w:rsid w:val="00716D4F"/>
    <w:rsid w:val="00720596"/>
    <w:rsid w:val="007232A9"/>
    <w:rsid w:val="007320B0"/>
    <w:rsid w:val="00733F41"/>
    <w:rsid w:val="00734E90"/>
    <w:rsid w:val="00734F6C"/>
    <w:rsid w:val="00741690"/>
    <w:rsid w:val="00744748"/>
    <w:rsid w:val="0074561A"/>
    <w:rsid w:val="0075005A"/>
    <w:rsid w:val="00753D22"/>
    <w:rsid w:val="00757D2B"/>
    <w:rsid w:val="00760549"/>
    <w:rsid w:val="007626EF"/>
    <w:rsid w:val="00764591"/>
    <w:rsid w:val="00765DAF"/>
    <w:rsid w:val="00766795"/>
    <w:rsid w:val="007669E7"/>
    <w:rsid w:val="00781317"/>
    <w:rsid w:val="00783BC1"/>
    <w:rsid w:val="00783DA3"/>
    <w:rsid w:val="00785725"/>
    <w:rsid w:val="007862DA"/>
    <w:rsid w:val="00787905"/>
    <w:rsid w:val="00794743"/>
    <w:rsid w:val="00796B36"/>
    <w:rsid w:val="007973A8"/>
    <w:rsid w:val="007A1077"/>
    <w:rsid w:val="007A2304"/>
    <w:rsid w:val="007A3B11"/>
    <w:rsid w:val="007A3B23"/>
    <w:rsid w:val="007A5AD8"/>
    <w:rsid w:val="007A6AC6"/>
    <w:rsid w:val="007B3529"/>
    <w:rsid w:val="007B4B94"/>
    <w:rsid w:val="007C17AC"/>
    <w:rsid w:val="007D2D04"/>
    <w:rsid w:val="007D3933"/>
    <w:rsid w:val="007E229C"/>
    <w:rsid w:val="007E6BD2"/>
    <w:rsid w:val="007F091F"/>
    <w:rsid w:val="007F35A8"/>
    <w:rsid w:val="007F51E5"/>
    <w:rsid w:val="00802B79"/>
    <w:rsid w:val="00806D9C"/>
    <w:rsid w:val="00807277"/>
    <w:rsid w:val="00810593"/>
    <w:rsid w:val="008107F7"/>
    <w:rsid w:val="008109BB"/>
    <w:rsid w:val="0081372C"/>
    <w:rsid w:val="00814F81"/>
    <w:rsid w:val="0081534B"/>
    <w:rsid w:val="008163D1"/>
    <w:rsid w:val="008272AA"/>
    <w:rsid w:val="00830B14"/>
    <w:rsid w:val="00831FE6"/>
    <w:rsid w:val="0083406F"/>
    <w:rsid w:val="00836008"/>
    <w:rsid w:val="008367DA"/>
    <w:rsid w:val="008375B4"/>
    <w:rsid w:val="0083773C"/>
    <w:rsid w:val="008409ED"/>
    <w:rsid w:val="00840EFC"/>
    <w:rsid w:val="00841349"/>
    <w:rsid w:val="00841AB1"/>
    <w:rsid w:val="008425DB"/>
    <w:rsid w:val="00845835"/>
    <w:rsid w:val="0084744C"/>
    <w:rsid w:val="0084757D"/>
    <w:rsid w:val="0085222A"/>
    <w:rsid w:val="00852F68"/>
    <w:rsid w:val="00854B4F"/>
    <w:rsid w:val="008579E3"/>
    <w:rsid w:val="00860972"/>
    <w:rsid w:val="0086347A"/>
    <w:rsid w:val="0086599B"/>
    <w:rsid w:val="00867EDA"/>
    <w:rsid w:val="00871FC2"/>
    <w:rsid w:val="00876503"/>
    <w:rsid w:val="008828FB"/>
    <w:rsid w:val="008940B3"/>
    <w:rsid w:val="00896720"/>
    <w:rsid w:val="008A079D"/>
    <w:rsid w:val="008B54C8"/>
    <w:rsid w:val="008B7D55"/>
    <w:rsid w:val="008C0DF8"/>
    <w:rsid w:val="008C1CCA"/>
    <w:rsid w:val="008C3E22"/>
    <w:rsid w:val="008C682F"/>
    <w:rsid w:val="008D1F4D"/>
    <w:rsid w:val="008D26C0"/>
    <w:rsid w:val="008D4E4D"/>
    <w:rsid w:val="008D575C"/>
    <w:rsid w:val="008D6170"/>
    <w:rsid w:val="008D75BF"/>
    <w:rsid w:val="008E04BA"/>
    <w:rsid w:val="008E1B20"/>
    <w:rsid w:val="008E1BE2"/>
    <w:rsid w:val="008E3AD2"/>
    <w:rsid w:val="00901C63"/>
    <w:rsid w:val="009040C7"/>
    <w:rsid w:val="009049C6"/>
    <w:rsid w:val="00904D8D"/>
    <w:rsid w:val="00905A61"/>
    <w:rsid w:val="00911858"/>
    <w:rsid w:val="00917829"/>
    <w:rsid w:val="00921C3D"/>
    <w:rsid w:val="00923420"/>
    <w:rsid w:val="00936450"/>
    <w:rsid w:val="00943146"/>
    <w:rsid w:val="00952A62"/>
    <w:rsid w:val="00956F98"/>
    <w:rsid w:val="0096059C"/>
    <w:rsid w:val="00963B50"/>
    <w:rsid w:val="00964D71"/>
    <w:rsid w:val="00971CE9"/>
    <w:rsid w:val="00972189"/>
    <w:rsid w:val="00972DF1"/>
    <w:rsid w:val="00973C53"/>
    <w:rsid w:val="00975B5C"/>
    <w:rsid w:val="009815B4"/>
    <w:rsid w:val="009821ED"/>
    <w:rsid w:val="009823DE"/>
    <w:rsid w:val="0098315A"/>
    <w:rsid w:val="00984935"/>
    <w:rsid w:val="009923CC"/>
    <w:rsid w:val="009A24F4"/>
    <w:rsid w:val="009A3603"/>
    <w:rsid w:val="009B090F"/>
    <w:rsid w:val="009B5BAF"/>
    <w:rsid w:val="009B73AD"/>
    <w:rsid w:val="009C2154"/>
    <w:rsid w:val="009C525E"/>
    <w:rsid w:val="009C5D36"/>
    <w:rsid w:val="009C79C4"/>
    <w:rsid w:val="009D1942"/>
    <w:rsid w:val="009D6065"/>
    <w:rsid w:val="009D6CF4"/>
    <w:rsid w:val="009E1CBE"/>
    <w:rsid w:val="009F0094"/>
    <w:rsid w:val="009F0CE6"/>
    <w:rsid w:val="009F172E"/>
    <w:rsid w:val="009F189B"/>
    <w:rsid w:val="009F697C"/>
    <w:rsid w:val="00A00B20"/>
    <w:rsid w:val="00A03454"/>
    <w:rsid w:val="00A0443C"/>
    <w:rsid w:val="00A05C99"/>
    <w:rsid w:val="00A066BB"/>
    <w:rsid w:val="00A12B3A"/>
    <w:rsid w:val="00A25E18"/>
    <w:rsid w:val="00A275A0"/>
    <w:rsid w:val="00A32130"/>
    <w:rsid w:val="00A3745F"/>
    <w:rsid w:val="00A409D3"/>
    <w:rsid w:val="00A41AA3"/>
    <w:rsid w:val="00A41C4A"/>
    <w:rsid w:val="00A42EAA"/>
    <w:rsid w:val="00A51530"/>
    <w:rsid w:val="00A531EC"/>
    <w:rsid w:val="00A610E3"/>
    <w:rsid w:val="00A629F8"/>
    <w:rsid w:val="00A716AE"/>
    <w:rsid w:val="00A729B8"/>
    <w:rsid w:val="00A72C3A"/>
    <w:rsid w:val="00A73B82"/>
    <w:rsid w:val="00A74317"/>
    <w:rsid w:val="00A833C8"/>
    <w:rsid w:val="00A854F8"/>
    <w:rsid w:val="00A85E85"/>
    <w:rsid w:val="00A86C90"/>
    <w:rsid w:val="00A941E4"/>
    <w:rsid w:val="00AA2C8A"/>
    <w:rsid w:val="00AA3E5A"/>
    <w:rsid w:val="00AB1A5A"/>
    <w:rsid w:val="00AB1F6C"/>
    <w:rsid w:val="00AB2212"/>
    <w:rsid w:val="00AB4F91"/>
    <w:rsid w:val="00AB5BD4"/>
    <w:rsid w:val="00AC1F4E"/>
    <w:rsid w:val="00AC3538"/>
    <w:rsid w:val="00AC5383"/>
    <w:rsid w:val="00AD043A"/>
    <w:rsid w:val="00AD0EAB"/>
    <w:rsid w:val="00AD3DC3"/>
    <w:rsid w:val="00AD6707"/>
    <w:rsid w:val="00AD6744"/>
    <w:rsid w:val="00AE0F9E"/>
    <w:rsid w:val="00AE1EC2"/>
    <w:rsid w:val="00AF6D8A"/>
    <w:rsid w:val="00AF786A"/>
    <w:rsid w:val="00B00F20"/>
    <w:rsid w:val="00B13CAB"/>
    <w:rsid w:val="00B16084"/>
    <w:rsid w:val="00B16F3E"/>
    <w:rsid w:val="00B20150"/>
    <w:rsid w:val="00B20758"/>
    <w:rsid w:val="00B233C2"/>
    <w:rsid w:val="00B234C6"/>
    <w:rsid w:val="00B239D3"/>
    <w:rsid w:val="00B25B82"/>
    <w:rsid w:val="00B25F2B"/>
    <w:rsid w:val="00B262C5"/>
    <w:rsid w:val="00B306CF"/>
    <w:rsid w:val="00B40EF1"/>
    <w:rsid w:val="00B4395E"/>
    <w:rsid w:val="00B43E0F"/>
    <w:rsid w:val="00B515D5"/>
    <w:rsid w:val="00B51CAE"/>
    <w:rsid w:val="00B521D5"/>
    <w:rsid w:val="00B5586F"/>
    <w:rsid w:val="00B56225"/>
    <w:rsid w:val="00B67D5C"/>
    <w:rsid w:val="00B81136"/>
    <w:rsid w:val="00B86E8D"/>
    <w:rsid w:val="00B8700C"/>
    <w:rsid w:val="00B90C53"/>
    <w:rsid w:val="00B90D16"/>
    <w:rsid w:val="00B916BE"/>
    <w:rsid w:val="00B9276B"/>
    <w:rsid w:val="00B95D31"/>
    <w:rsid w:val="00BA1451"/>
    <w:rsid w:val="00BA423A"/>
    <w:rsid w:val="00BA45E4"/>
    <w:rsid w:val="00BA4B2B"/>
    <w:rsid w:val="00BA59FD"/>
    <w:rsid w:val="00BA7D16"/>
    <w:rsid w:val="00BB1D01"/>
    <w:rsid w:val="00BB2A3A"/>
    <w:rsid w:val="00BB39E6"/>
    <w:rsid w:val="00BB652F"/>
    <w:rsid w:val="00BB7100"/>
    <w:rsid w:val="00BC2358"/>
    <w:rsid w:val="00BC64C3"/>
    <w:rsid w:val="00BD20AB"/>
    <w:rsid w:val="00BE4C96"/>
    <w:rsid w:val="00BE622B"/>
    <w:rsid w:val="00BF0341"/>
    <w:rsid w:val="00BF265F"/>
    <w:rsid w:val="00BF346E"/>
    <w:rsid w:val="00BF6973"/>
    <w:rsid w:val="00C015D8"/>
    <w:rsid w:val="00C0694F"/>
    <w:rsid w:val="00C076FD"/>
    <w:rsid w:val="00C10845"/>
    <w:rsid w:val="00C12F09"/>
    <w:rsid w:val="00C205F1"/>
    <w:rsid w:val="00C30A6D"/>
    <w:rsid w:val="00C3108B"/>
    <w:rsid w:val="00C338D8"/>
    <w:rsid w:val="00C34094"/>
    <w:rsid w:val="00C347AE"/>
    <w:rsid w:val="00C37271"/>
    <w:rsid w:val="00C40941"/>
    <w:rsid w:val="00C44CA0"/>
    <w:rsid w:val="00C516BC"/>
    <w:rsid w:val="00C55A45"/>
    <w:rsid w:val="00C60CF3"/>
    <w:rsid w:val="00C61585"/>
    <w:rsid w:val="00C6376A"/>
    <w:rsid w:val="00C654DC"/>
    <w:rsid w:val="00C667CE"/>
    <w:rsid w:val="00C66AAB"/>
    <w:rsid w:val="00C677DE"/>
    <w:rsid w:val="00C71726"/>
    <w:rsid w:val="00C76BAA"/>
    <w:rsid w:val="00C838EB"/>
    <w:rsid w:val="00C8556E"/>
    <w:rsid w:val="00C859FD"/>
    <w:rsid w:val="00C85C64"/>
    <w:rsid w:val="00C919C7"/>
    <w:rsid w:val="00C91DE4"/>
    <w:rsid w:val="00C940C1"/>
    <w:rsid w:val="00C97315"/>
    <w:rsid w:val="00C9771B"/>
    <w:rsid w:val="00CA18B8"/>
    <w:rsid w:val="00CA3194"/>
    <w:rsid w:val="00CA5449"/>
    <w:rsid w:val="00CA5689"/>
    <w:rsid w:val="00CB1A60"/>
    <w:rsid w:val="00CB3D52"/>
    <w:rsid w:val="00CB4F3A"/>
    <w:rsid w:val="00CC311E"/>
    <w:rsid w:val="00CC3610"/>
    <w:rsid w:val="00CC4F84"/>
    <w:rsid w:val="00CC6718"/>
    <w:rsid w:val="00CD0255"/>
    <w:rsid w:val="00CD45E7"/>
    <w:rsid w:val="00CD6BE8"/>
    <w:rsid w:val="00CD7EFC"/>
    <w:rsid w:val="00CE08E0"/>
    <w:rsid w:val="00CE78D6"/>
    <w:rsid w:val="00CF6827"/>
    <w:rsid w:val="00D01B23"/>
    <w:rsid w:val="00D0294B"/>
    <w:rsid w:val="00D032AB"/>
    <w:rsid w:val="00D044C7"/>
    <w:rsid w:val="00D05ECB"/>
    <w:rsid w:val="00D145C4"/>
    <w:rsid w:val="00D16827"/>
    <w:rsid w:val="00D17B64"/>
    <w:rsid w:val="00D21163"/>
    <w:rsid w:val="00D23014"/>
    <w:rsid w:val="00D26ED2"/>
    <w:rsid w:val="00D3557D"/>
    <w:rsid w:val="00D36C8A"/>
    <w:rsid w:val="00D37836"/>
    <w:rsid w:val="00D4044E"/>
    <w:rsid w:val="00D407F7"/>
    <w:rsid w:val="00D40965"/>
    <w:rsid w:val="00D433F3"/>
    <w:rsid w:val="00D43EF2"/>
    <w:rsid w:val="00D44EE3"/>
    <w:rsid w:val="00D50F96"/>
    <w:rsid w:val="00D528ED"/>
    <w:rsid w:val="00D53865"/>
    <w:rsid w:val="00D54E73"/>
    <w:rsid w:val="00D551D6"/>
    <w:rsid w:val="00D56A26"/>
    <w:rsid w:val="00D570E0"/>
    <w:rsid w:val="00D60861"/>
    <w:rsid w:val="00D629C5"/>
    <w:rsid w:val="00D65E59"/>
    <w:rsid w:val="00D76829"/>
    <w:rsid w:val="00D774DA"/>
    <w:rsid w:val="00D77E36"/>
    <w:rsid w:val="00D80776"/>
    <w:rsid w:val="00D83F58"/>
    <w:rsid w:val="00D877B2"/>
    <w:rsid w:val="00D90267"/>
    <w:rsid w:val="00D94D24"/>
    <w:rsid w:val="00D94FD6"/>
    <w:rsid w:val="00DA0C86"/>
    <w:rsid w:val="00DA0D25"/>
    <w:rsid w:val="00DA2BE7"/>
    <w:rsid w:val="00DB048B"/>
    <w:rsid w:val="00DB231F"/>
    <w:rsid w:val="00DB2614"/>
    <w:rsid w:val="00DB3C6C"/>
    <w:rsid w:val="00DB45F7"/>
    <w:rsid w:val="00DB4EDE"/>
    <w:rsid w:val="00DC13B0"/>
    <w:rsid w:val="00DC2E85"/>
    <w:rsid w:val="00DC38DE"/>
    <w:rsid w:val="00DC40E0"/>
    <w:rsid w:val="00DC6C0A"/>
    <w:rsid w:val="00DD121E"/>
    <w:rsid w:val="00DD518B"/>
    <w:rsid w:val="00DD519E"/>
    <w:rsid w:val="00DE23AC"/>
    <w:rsid w:val="00DE4C05"/>
    <w:rsid w:val="00DE69F4"/>
    <w:rsid w:val="00DE7981"/>
    <w:rsid w:val="00DF2F5D"/>
    <w:rsid w:val="00E126BB"/>
    <w:rsid w:val="00E16B5B"/>
    <w:rsid w:val="00E2055B"/>
    <w:rsid w:val="00E212C5"/>
    <w:rsid w:val="00E23568"/>
    <w:rsid w:val="00E3060D"/>
    <w:rsid w:val="00E31A1A"/>
    <w:rsid w:val="00E32CCB"/>
    <w:rsid w:val="00E33388"/>
    <w:rsid w:val="00E34337"/>
    <w:rsid w:val="00E379BB"/>
    <w:rsid w:val="00E40D80"/>
    <w:rsid w:val="00E45F50"/>
    <w:rsid w:val="00E55454"/>
    <w:rsid w:val="00E55DCD"/>
    <w:rsid w:val="00E61971"/>
    <w:rsid w:val="00E6637E"/>
    <w:rsid w:val="00E7085F"/>
    <w:rsid w:val="00E70AE1"/>
    <w:rsid w:val="00E72B8D"/>
    <w:rsid w:val="00E7666E"/>
    <w:rsid w:val="00E82BBA"/>
    <w:rsid w:val="00E833FA"/>
    <w:rsid w:val="00E84051"/>
    <w:rsid w:val="00E84532"/>
    <w:rsid w:val="00E90801"/>
    <w:rsid w:val="00E92880"/>
    <w:rsid w:val="00E9409C"/>
    <w:rsid w:val="00E959B3"/>
    <w:rsid w:val="00EA0748"/>
    <w:rsid w:val="00EA467E"/>
    <w:rsid w:val="00EB1BC4"/>
    <w:rsid w:val="00EB36F1"/>
    <w:rsid w:val="00ED2D12"/>
    <w:rsid w:val="00EE3CFC"/>
    <w:rsid w:val="00EF5061"/>
    <w:rsid w:val="00EF7C20"/>
    <w:rsid w:val="00F01BD2"/>
    <w:rsid w:val="00F03F5F"/>
    <w:rsid w:val="00F05072"/>
    <w:rsid w:val="00F11E09"/>
    <w:rsid w:val="00F12038"/>
    <w:rsid w:val="00F16ADA"/>
    <w:rsid w:val="00F261DD"/>
    <w:rsid w:val="00F306C9"/>
    <w:rsid w:val="00F308FB"/>
    <w:rsid w:val="00F322B5"/>
    <w:rsid w:val="00F32C7C"/>
    <w:rsid w:val="00F32CE6"/>
    <w:rsid w:val="00F33774"/>
    <w:rsid w:val="00F33A8F"/>
    <w:rsid w:val="00F36004"/>
    <w:rsid w:val="00F4743E"/>
    <w:rsid w:val="00F50B0F"/>
    <w:rsid w:val="00F54AAE"/>
    <w:rsid w:val="00F55E72"/>
    <w:rsid w:val="00F600EE"/>
    <w:rsid w:val="00F648B7"/>
    <w:rsid w:val="00F720D5"/>
    <w:rsid w:val="00F72E82"/>
    <w:rsid w:val="00F75DC5"/>
    <w:rsid w:val="00F770BC"/>
    <w:rsid w:val="00F81718"/>
    <w:rsid w:val="00F82A1D"/>
    <w:rsid w:val="00F83BF1"/>
    <w:rsid w:val="00F83D96"/>
    <w:rsid w:val="00F8762B"/>
    <w:rsid w:val="00F876A0"/>
    <w:rsid w:val="00F90724"/>
    <w:rsid w:val="00F915BB"/>
    <w:rsid w:val="00F931B3"/>
    <w:rsid w:val="00F95AFB"/>
    <w:rsid w:val="00FA1691"/>
    <w:rsid w:val="00FA3DAA"/>
    <w:rsid w:val="00FA7136"/>
    <w:rsid w:val="00FB23BC"/>
    <w:rsid w:val="00FB58D4"/>
    <w:rsid w:val="00FB6218"/>
    <w:rsid w:val="00FB734C"/>
    <w:rsid w:val="00FB756E"/>
    <w:rsid w:val="00FD0252"/>
    <w:rsid w:val="00FD2BB7"/>
    <w:rsid w:val="00FD7015"/>
    <w:rsid w:val="00FE7A65"/>
    <w:rsid w:val="00FF0BFD"/>
    <w:rsid w:val="00FF0EDC"/>
    <w:rsid w:val="00FF3145"/>
    <w:rsid w:val="00FF6077"/>
    <w:rsid w:val="00FF7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68AB7E9"/>
  <w15:docId w15:val="{64FF17B8-F41B-439D-AD59-F91D909B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link w:val="FooterChar"/>
    <w:uiPriority w:val="99"/>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semiHidden/>
    <w:rsid w:val="000B1D0D"/>
    <w:rPr>
      <w:sz w:val="20"/>
    </w:rPr>
  </w:style>
  <w:style w:type="character" w:styleId="FootnoteReference">
    <w:name w:val="footnote reference"/>
    <w:basedOn w:val="DefaultParagraphFont"/>
    <w:semiHidden/>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unhideWhenUsed/>
    <w:rsid w:val="005D7DCC"/>
    <w:pPr>
      <w:spacing w:line="240" w:lineRule="auto"/>
    </w:pPr>
    <w:rPr>
      <w:sz w:val="20"/>
    </w:rPr>
  </w:style>
  <w:style w:type="character" w:customStyle="1" w:styleId="CommentTextChar">
    <w:name w:val="Comment Text Char"/>
    <w:basedOn w:val="DefaultParagraphFont"/>
    <w:link w:val="CommentText"/>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 w:type="paragraph" w:styleId="Header">
    <w:name w:val="header"/>
    <w:basedOn w:val="Normal"/>
    <w:link w:val="HeaderChar"/>
    <w:unhideWhenUsed/>
    <w:rsid w:val="003C4E9C"/>
    <w:pPr>
      <w:tabs>
        <w:tab w:val="center" w:pos="4680"/>
        <w:tab w:val="right" w:pos="9360"/>
      </w:tabs>
      <w:spacing w:line="240" w:lineRule="auto"/>
    </w:pPr>
  </w:style>
  <w:style w:type="character" w:customStyle="1" w:styleId="HeaderChar">
    <w:name w:val="Header Char"/>
    <w:basedOn w:val="DefaultParagraphFont"/>
    <w:link w:val="Header"/>
    <w:rsid w:val="003C4E9C"/>
    <w:rPr>
      <w:rFonts w:ascii="Courier New" w:hAnsi="Courier New"/>
      <w:sz w:val="18"/>
    </w:rPr>
  </w:style>
  <w:style w:type="character" w:customStyle="1" w:styleId="UnresolvedMention1">
    <w:name w:val="Unresolved Mention1"/>
    <w:basedOn w:val="DefaultParagraphFont"/>
    <w:uiPriority w:val="99"/>
    <w:semiHidden/>
    <w:unhideWhenUsed/>
    <w:rsid w:val="009B5BAF"/>
    <w:rPr>
      <w:color w:val="605E5C"/>
      <w:shd w:val="clear" w:color="auto" w:fill="E1DFDD"/>
    </w:rPr>
  </w:style>
  <w:style w:type="character" w:styleId="UnresolvedMention">
    <w:name w:val="Unresolved Mention"/>
    <w:basedOn w:val="DefaultParagraphFont"/>
    <w:uiPriority w:val="99"/>
    <w:semiHidden/>
    <w:unhideWhenUsed/>
    <w:rsid w:val="0081372C"/>
    <w:rPr>
      <w:color w:val="605E5C"/>
      <w:shd w:val="clear" w:color="auto" w:fill="E1DFDD"/>
    </w:rPr>
  </w:style>
  <w:style w:type="character" w:customStyle="1" w:styleId="FooterChar">
    <w:name w:val="Footer Char"/>
    <w:basedOn w:val="DefaultParagraphFont"/>
    <w:link w:val="Footer"/>
    <w:uiPriority w:val="99"/>
    <w:rsid w:val="000A3743"/>
    <w:rPr>
      <w:rFonts w:ascii="Courier New" w:hAnsi="Courier New"/>
      <w:sz w:val="18"/>
    </w:rPr>
  </w:style>
  <w:style w:type="paragraph" w:styleId="Revision">
    <w:name w:val="Revision"/>
    <w:hidden/>
    <w:uiPriority w:val="99"/>
    <w:semiHidden/>
    <w:rsid w:val="00CC4F84"/>
    <w:rPr>
      <w:rFonts w:ascii="Courier New" w:hAnsi="Courier New"/>
      <w:sz w:val="18"/>
    </w:rPr>
  </w:style>
  <w:style w:type="paragraph" w:customStyle="1" w:styleId="Caseinfo">
    <w:name w:val="Case_info"/>
    <w:basedOn w:val="Normal"/>
    <w:rsid w:val="00B56225"/>
    <w:pPr>
      <w:tabs>
        <w:tab w:val="left" w:pos="2179"/>
      </w:tabs>
      <w:spacing w:line="360" w:lineRule="auto"/>
    </w:pPr>
    <w:rPr>
      <w:rFonts w:ascii="Times New Roman" w:hAnsi="Times New Roman"/>
      <w:bCs/>
      <w:smallCaps/>
      <w:kern w:val="2"/>
      <w:sz w:val="28"/>
      <w:szCs w:val="28"/>
    </w:rPr>
  </w:style>
  <w:style w:type="paragraph" w:customStyle="1" w:styleId="StyleCaseinfoLeft03After12ptLinespacingsingle">
    <w:name w:val="Style Case_info + Left:  0.3&quot; After:  12 pt Line spacing:  single"/>
    <w:basedOn w:val="Caseinfo"/>
    <w:rsid w:val="00B56225"/>
    <w:pPr>
      <w:spacing w:after="240" w:line="240" w:lineRule="auto"/>
      <w:ind w:left="432"/>
    </w:pPr>
    <w:rPr>
      <w:bCs w:val="0"/>
      <w:small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424934">
      <w:bodyDiv w:val="1"/>
      <w:marLeft w:val="0"/>
      <w:marRight w:val="0"/>
      <w:marTop w:val="0"/>
      <w:marBottom w:val="0"/>
      <w:divBdr>
        <w:top w:val="none" w:sz="0" w:space="0" w:color="auto"/>
        <w:left w:val="none" w:sz="0" w:space="0" w:color="auto"/>
        <w:bottom w:val="none" w:sz="0" w:space="0" w:color="auto"/>
        <w:right w:val="none" w:sz="0" w:space="0" w:color="auto"/>
      </w:divBdr>
    </w:div>
    <w:div w:id="700975486">
      <w:bodyDiv w:val="1"/>
      <w:marLeft w:val="0"/>
      <w:marRight w:val="0"/>
      <w:marTop w:val="0"/>
      <w:marBottom w:val="0"/>
      <w:divBdr>
        <w:top w:val="none" w:sz="0" w:space="0" w:color="auto"/>
        <w:left w:val="none" w:sz="0" w:space="0" w:color="auto"/>
        <w:bottom w:val="none" w:sz="0" w:space="0" w:color="auto"/>
        <w:right w:val="none" w:sz="0" w:space="0" w:color="auto"/>
      </w:divBdr>
    </w:div>
    <w:div w:id="1535194145">
      <w:bodyDiv w:val="1"/>
      <w:marLeft w:val="0"/>
      <w:marRight w:val="0"/>
      <w:marTop w:val="0"/>
      <w:marBottom w:val="0"/>
      <w:divBdr>
        <w:top w:val="none" w:sz="0" w:space="0" w:color="auto"/>
        <w:left w:val="none" w:sz="0" w:space="0" w:color="auto"/>
        <w:bottom w:val="none" w:sz="0" w:space="0" w:color="auto"/>
        <w:right w:val="none" w:sz="0" w:space="0" w:color="auto"/>
      </w:divBdr>
    </w:div>
    <w:div w:id="1655379717">
      <w:bodyDiv w:val="1"/>
      <w:marLeft w:val="0"/>
      <w:marRight w:val="0"/>
      <w:marTop w:val="0"/>
      <w:marBottom w:val="0"/>
      <w:divBdr>
        <w:top w:val="none" w:sz="0" w:space="0" w:color="auto"/>
        <w:left w:val="none" w:sz="0" w:space="0" w:color="auto"/>
        <w:bottom w:val="none" w:sz="0" w:space="0" w:color="auto"/>
        <w:right w:val="none" w:sz="0" w:space="0" w:color="auto"/>
      </w:divBdr>
      <w:divsChild>
        <w:div w:id="133565507">
          <w:marLeft w:val="0"/>
          <w:marRight w:val="0"/>
          <w:marTop w:val="240"/>
          <w:marBottom w:val="0"/>
          <w:divBdr>
            <w:top w:val="none" w:sz="0" w:space="0" w:color="auto"/>
            <w:left w:val="none" w:sz="0" w:space="0" w:color="auto"/>
            <w:bottom w:val="none" w:sz="0" w:space="0" w:color="auto"/>
            <w:right w:val="none" w:sz="0" w:space="0" w:color="auto"/>
          </w:divBdr>
          <w:divsChild>
            <w:div w:id="1489790066">
              <w:marLeft w:val="0"/>
              <w:marRight w:val="0"/>
              <w:marTop w:val="0"/>
              <w:marBottom w:val="0"/>
              <w:divBdr>
                <w:top w:val="none" w:sz="0" w:space="0" w:color="auto"/>
                <w:left w:val="none" w:sz="0" w:space="0" w:color="auto"/>
                <w:bottom w:val="none" w:sz="0" w:space="0" w:color="auto"/>
                <w:right w:val="none" w:sz="0" w:space="0" w:color="auto"/>
              </w:divBdr>
              <w:divsChild>
                <w:div w:id="188108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95663">
          <w:marLeft w:val="0"/>
          <w:marRight w:val="0"/>
          <w:marTop w:val="240"/>
          <w:marBottom w:val="0"/>
          <w:divBdr>
            <w:top w:val="none" w:sz="0" w:space="0" w:color="auto"/>
            <w:left w:val="none" w:sz="0" w:space="0" w:color="auto"/>
            <w:bottom w:val="none" w:sz="0" w:space="0" w:color="auto"/>
            <w:right w:val="none" w:sz="0" w:space="0" w:color="auto"/>
          </w:divBdr>
          <w:divsChild>
            <w:div w:id="1386950493">
              <w:marLeft w:val="0"/>
              <w:marRight w:val="0"/>
              <w:marTop w:val="0"/>
              <w:marBottom w:val="0"/>
              <w:divBdr>
                <w:top w:val="none" w:sz="0" w:space="0" w:color="auto"/>
                <w:left w:val="none" w:sz="0" w:space="0" w:color="auto"/>
                <w:bottom w:val="none" w:sz="0" w:space="0" w:color="auto"/>
                <w:right w:val="none" w:sz="0" w:space="0" w:color="auto"/>
              </w:divBdr>
              <w:divsChild>
                <w:div w:id="1623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05765">
          <w:marLeft w:val="0"/>
          <w:marRight w:val="0"/>
          <w:marTop w:val="240"/>
          <w:marBottom w:val="0"/>
          <w:divBdr>
            <w:top w:val="none" w:sz="0" w:space="0" w:color="auto"/>
            <w:left w:val="none" w:sz="0" w:space="0" w:color="auto"/>
            <w:bottom w:val="none" w:sz="0" w:space="0" w:color="auto"/>
            <w:right w:val="none" w:sz="0" w:space="0" w:color="auto"/>
          </w:divBdr>
          <w:divsChild>
            <w:div w:id="579948948">
              <w:marLeft w:val="0"/>
              <w:marRight w:val="0"/>
              <w:marTop w:val="0"/>
              <w:marBottom w:val="0"/>
              <w:divBdr>
                <w:top w:val="none" w:sz="0" w:space="0" w:color="auto"/>
                <w:left w:val="none" w:sz="0" w:space="0" w:color="auto"/>
                <w:bottom w:val="none" w:sz="0" w:space="0" w:color="auto"/>
                <w:right w:val="none" w:sz="0" w:space="0" w:color="auto"/>
              </w:divBdr>
              <w:divsChild>
                <w:div w:id="1187213841">
                  <w:marLeft w:val="0"/>
                  <w:marRight w:val="0"/>
                  <w:marTop w:val="0"/>
                  <w:marBottom w:val="0"/>
                  <w:divBdr>
                    <w:top w:val="none" w:sz="0" w:space="0" w:color="auto"/>
                    <w:left w:val="none" w:sz="0" w:space="0" w:color="auto"/>
                    <w:bottom w:val="none" w:sz="0" w:space="0" w:color="auto"/>
                    <w:right w:val="none" w:sz="0" w:space="0" w:color="auto"/>
                  </w:divBdr>
                </w:div>
              </w:divsChild>
            </w:div>
            <w:div w:id="660542122">
              <w:marLeft w:val="0"/>
              <w:marRight w:val="0"/>
              <w:marTop w:val="240"/>
              <w:marBottom w:val="0"/>
              <w:divBdr>
                <w:top w:val="none" w:sz="0" w:space="0" w:color="auto"/>
                <w:left w:val="none" w:sz="0" w:space="0" w:color="auto"/>
                <w:bottom w:val="none" w:sz="0" w:space="0" w:color="auto"/>
                <w:right w:val="none" w:sz="0" w:space="0" w:color="auto"/>
              </w:divBdr>
              <w:divsChild>
                <w:div w:id="751704173">
                  <w:marLeft w:val="0"/>
                  <w:marRight w:val="0"/>
                  <w:marTop w:val="0"/>
                  <w:marBottom w:val="0"/>
                  <w:divBdr>
                    <w:top w:val="none" w:sz="0" w:space="0" w:color="auto"/>
                    <w:left w:val="none" w:sz="0" w:space="0" w:color="auto"/>
                    <w:bottom w:val="none" w:sz="0" w:space="0" w:color="auto"/>
                    <w:right w:val="none" w:sz="0" w:space="0" w:color="auto"/>
                  </w:divBdr>
                  <w:divsChild>
                    <w:div w:id="7559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060160">
              <w:marLeft w:val="0"/>
              <w:marRight w:val="0"/>
              <w:marTop w:val="240"/>
              <w:marBottom w:val="0"/>
              <w:divBdr>
                <w:top w:val="none" w:sz="0" w:space="0" w:color="auto"/>
                <w:left w:val="none" w:sz="0" w:space="0" w:color="auto"/>
                <w:bottom w:val="none" w:sz="0" w:space="0" w:color="auto"/>
                <w:right w:val="none" w:sz="0" w:space="0" w:color="auto"/>
              </w:divBdr>
              <w:divsChild>
                <w:div w:id="746537993">
                  <w:marLeft w:val="0"/>
                  <w:marRight w:val="0"/>
                  <w:marTop w:val="0"/>
                  <w:marBottom w:val="0"/>
                  <w:divBdr>
                    <w:top w:val="none" w:sz="0" w:space="0" w:color="auto"/>
                    <w:left w:val="none" w:sz="0" w:space="0" w:color="auto"/>
                    <w:bottom w:val="none" w:sz="0" w:space="0" w:color="auto"/>
                    <w:right w:val="none" w:sz="0" w:space="0" w:color="auto"/>
                  </w:divBdr>
                  <w:divsChild>
                    <w:div w:id="46146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56721">
              <w:marLeft w:val="0"/>
              <w:marRight w:val="0"/>
              <w:marTop w:val="240"/>
              <w:marBottom w:val="0"/>
              <w:divBdr>
                <w:top w:val="none" w:sz="0" w:space="0" w:color="auto"/>
                <w:left w:val="none" w:sz="0" w:space="0" w:color="auto"/>
                <w:bottom w:val="none" w:sz="0" w:space="0" w:color="auto"/>
                <w:right w:val="none" w:sz="0" w:space="0" w:color="auto"/>
              </w:divBdr>
              <w:divsChild>
                <w:div w:id="2008434911">
                  <w:marLeft w:val="0"/>
                  <w:marRight w:val="0"/>
                  <w:marTop w:val="0"/>
                  <w:marBottom w:val="0"/>
                  <w:divBdr>
                    <w:top w:val="none" w:sz="0" w:space="0" w:color="auto"/>
                    <w:left w:val="none" w:sz="0" w:space="0" w:color="auto"/>
                    <w:bottom w:val="none" w:sz="0" w:space="0" w:color="auto"/>
                    <w:right w:val="none" w:sz="0" w:space="0" w:color="auto"/>
                  </w:divBdr>
                  <w:divsChild>
                    <w:div w:id="1319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485555">
          <w:marLeft w:val="0"/>
          <w:marRight w:val="0"/>
          <w:marTop w:val="240"/>
          <w:marBottom w:val="0"/>
          <w:divBdr>
            <w:top w:val="none" w:sz="0" w:space="0" w:color="auto"/>
            <w:left w:val="none" w:sz="0" w:space="0" w:color="auto"/>
            <w:bottom w:val="none" w:sz="0" w:space="0" w:color="auto"/>
            <w:right w:val="none" w:sz="0" w:space="0" w:color="auto"/>
          </w:divBdr>
          <w:divsChild>
            <w:div w:id="1094010353">
              <w:marLeft w:val="0"/>
              <w:marRight w:val="0"/>
              <w:marTop w:val="240"/>
              <w:marBottom w:val="0"/>
              <w:divBdr>
                <w:top w:val="none" w:sz="0" w:space="0" w:color="auto"/>
                <w:left w:val="none" w:sz="0" w:space="0" w:color="auto"/>
                <w:bottom w:val="none" w:sz="0" w:space="0" w:color="auto"/>
                <w:right w:val="none" w:sz="0" w:space="0" w:color="auto"/>
              </w:divBdr>
              <w:divsChild>
                <w:div w:id="1341662322">
                  <w:marLeft w:val="0"/>
                  <w:marRight w:val="0"/>
                  <w:marTop w:val="0"/>
                  <w:marBottom w:val="0"/>
                  <w:divBdr>
                    <w:top w:val="none" w:sz="0" w:space="0" w:color="auto"/>
                    <w:left w:val="none" w:sz="0" w:space="0" w:color="auto"/>
                    <w:bottom w:val="none" w:sz="0" w:space="0" w:color="auto"/>
                    <w:right w:val="none" w:sz="0" w:space="0" w:color="auto"/>
                  </w:divBdr>
                  <w:divsChild>
                    <w:div w:id="96681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030246">
              <w:marLeft w:val="0"/>
              <w:marRight w:val="0"/>
              <w:marTop w:val="240"/>
              <w:marBottom w:val="0"/>
              <w:divBdr>
                <w:top w:val="none" w:sz="0" w:space="0" w:color="auto"/>
                <w:left w:val="none" w:sz="0" w:space="0" w:color="auto"/>
                <w:bottom w:val="none" w:sz="0" w:space="0" w:color="auto"/>
                <w:right w:val="none" w:sz="0" w:space="0" w:color="auto"/>
              </w:divBdr>
              <w:divsChild>
                <w:div w:id="2004046308">
                  <w:marLeft w:val="0"/>
                  <w:marRight w:val="0"/>
                  <w:marTop w:val="0"/>
                  <w:marBottom w:val="0"/>
                  <w:divBdr>
                    <w:top w:val="none" w:sz="0" w:space="0" w:color="auto"/>
                    <w:left w:val="none" w:sz="0" w:space="0" w:color="auto"/>
                    <w:bottom w:val="none" w:sz="0" w:space="0" w:color="auto"/>
                    <w:right w:val="none" w:sz="0" w:space="0" w:color="auto"/>
                  </w:divBdr>
                  <w:divsChild>
                    <w:div w:id="13669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70127">
              <w:marLeft w:val="0"/>
              <w:marRight w:val="0"/>
              <w:marTop w:val="240"/>
              <w:marBottom w:val="0"/>
              <w:divBdr>
                <w:top w:val="none" w:sz="0" w:space="0" w:color="auto"/>
                <w:left w:val="none" w:sz="0" w:space="0" w:color="auto"/>
                <w:bottom w:val="none" w:sz="0" w:space="0" w:color="auto"/>
                <w:right w:val="none" w:sz="0" w:space="0" w:color="auto"/>
              </w:divBdr>
              <w:divsChild>
                <w:div w:id="1257403769">
                  <w:marLeft w:val="0"/>
                  <w:marRight w:val="0"/>
                  <w:marTop w:val="0"/>
                  <w:marBottom w:val="0"/>
                  <w:divBdr>
                    <w:top w:val="none" w:sz="0" w:space="0" w:color="auto"/>
                    <w:left w:val="none" w:sz="0" w:space="0" w:color="auto"/>
                    <w:bottom w:val="none" w:sz="0" w:space="0" w:color="auto"/>
                    <w:right w:val="none" w:sz="0" w:space="0" w:color="auto"/>
                  </w:divBdr>
                  <w:divsChild>
                    <w:div w:id="127100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15914">
              <w:marLeft w:val="0"/>
              <w:marRight w:val="0"/>
              <w:marTop w:val="0"/>
              <w:marBottom w:val="0"/>
              <w:divBdr>
                <w:top w:val="none" w:sz="0" w:space="0" w:color="auto"/>
                <w:left w:val="none" w:sz="0" w:space="0" w:color="auto"/>
                <w:bottom w:val="none" w:sz="0" w:space="0" w:color="auto"/>
                <w:right w:val="none" w:sz="0" w:space="0" w:color="auto"/>
              </w:divBdr>
              <w:divsChild>
                <w:div w:id="134513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5547">
          <w:marLeft w:val="0"/>
          <w:marRight w:val="0"/>
          <w:marTop w:val="240"/>
          <w:marBottom w:val="0"/>
          <w:divBdr>
            <w:top w:val="none" w:sz="0" w:space="0" w:color="auto"/>
            <w:left w:val="none" w:sz="0" w:space="0" w:color="auto"/>
            <w:bottom w:val="none" w:sz="0" w:space="0" w:color="auto"/>
            <w:right w:val="none" w:sz="0" w:space="0" w:color="auto"/>
          </w:divBdr>
          <w:divsChild>
            <w:div w:id="573468608">
              <w:marLeft w:val="0"/>
              <w:marRight w:val="0"/>
              <w:marTop w:val="0"/>
              <w:marBottom w:val="0"/>
              <w:divBdr>
                <w:top w:val="none" w:sz="0" w:space="0" w:color="auto"/>
                <w:left w:val="none" w:sz="0" w:space="0" w:color="auto"/>
                <w:bottom w:val="none" w:sz="0" w:space="0" w:color="auto"/>
                <w:right w:val="none" w:sz="0" w:space="0" w:color="auto"/>
              </w:divBdr>
              <w:divsChild>
                <w:div w:id="425732837">
                  <w:marLeft w:val="0"/>
                  <w:marRight w:val="0"/>
                  <w:marTop w:val="0"/>
                  <w:marBottom w:val="0"/>
                  <w:divBdr>
                    <w:top w:val="none" w:sz="0" w:space="0" w:color="auto"/>
                    <w:left w:val="none" w:sz="0" w:space="0" w:color="auto"/>
                    <w:bottom w:val="none" w:sz="0" w:space="0" w:color="auto"/>
                    <w:right w:val="none" w:sz="0" w:space="0" w:color="auto"/>
                  </w:divBdr>
                </w:div>
              </w:divsChild>
            </w:div>
            <w:div w:id="698550255">
              <w:marLeft w:val="0"/>
              <w:marRight w:val="0"/>
              <w:marTop w:val="240"/>
              <w:marBottom w:val="0"/>
              <w:divBdr>
                <w:top w:val="none" w:sz="0" w:space="0" w:color="auto"/>
                <w:left w:val="none" w:sz="0" w:space="0" w:color="auto"/>
                <w:bottom w:val="none" w:sz="0" w:space="0" w:color="auto"/>
                <w:right w:val="none" w:sz="0" w:space="0" w:color="auto"/>
              </w:divBdr>
              <w:divsChild>
                <w:div w:id="504131860">
                  <w:marLeft w:val="0"/>
                  <w:marRight w:val="0"/>
                  <w:marTop w:val="0"/>
                  <w:marBottom w:val="0"/>
                  <w:divBdr>
                    <w:top w:val="none" w:sz="0" w:space="0" w:color="auto"/>
                    <w:left w:val="none" w:sz="0" w:space="0" w:color="auto"/>
                    <w:bottom w:val="none" w:sz="0" w:space="0" w:color="auto"/>
                    <w:right w:val="none" w:sz="0" w:space="0" w:color="auto"/>
                  </w:divBdr>
                  <w:divsChild>
                    <w:div w:id="134979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3408">
              <w:marLeft w:val="0"/>
              <w:marRight w:val="0"/>
              <w:marTop w:val="240"/>
              <w:marBottom w:val="0"/>
              <w:divBdr>
                <w:top w:val="none" w:sz="0" w:space="0" w:color="auto"/>
                <w:left w:val="none" w:sz="0" w:space="0" w:color="auto"/>
                <w:bottom w:val="none" w:sz="0" w:space="0" w:color="auto"/>
                <w:right w:val="none" w:sz="0" w:space="0" w:color="auto"/>
              </w:divBdr>
              <w:divsChild>
                <w:div w:id="64032675">
                  <w:marLeft w:val="0"/>
                  <w:marRight w:val="0"/>
                  <w:marTop w:val="0"/>
                  <w:marBottom w:val="0"/>
                  <w:divBdr>
                    <w:top w:val="none" w:sz="0" w:space="0" w:color="auto"/>
                    <w:left w:val="none" w:sz="0" w:space="0" w:color="auto"/>
                    <w:bottom w:val="none" w:sz="0" w:space="0" w:color="auto"/>
                    <w:right w:val="none" w:sz="0" w:space="0" w:color="auto"/>
                  </w:divBdr>
                  <w:divsChild>
                    <w:div w:id="202450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118710">
      <w:bodyDiv w:val="1"/>
      <w:marLeft w:val="0"/>
      <w:marRight w:val="0"/>
      <w:marTop w:val="0"/>
      <w:marBottom w:val="0"/>
      <w:divBdr>
        <w:top w:val="none" w:sz="0" w:space="0" w:color="auto"/>
        <w:left w:val="none" w:sz="0" w:space="0" w:color="auto"/>
        <w:bottom w:val="none" w:sz="0" w:space="0" w:color="auto"/>
        <w:right w:val="none" w:sz="0" w:space="0" w:color="auto"/>
      </w:divBdr>
      <w:divsChild>
        <w:div w:id="654065618">
          <w:marLeft w:val="0"/>
          <w:marRight w:val="0"/>
          <w:marTop w:val="240"/>
          <w:marBottom w:val="0"/>
          <w:divBdr>
            <w:top w:val="none" w:sz="0" w:space="0" w:color="auto"/>
            <w:left w:val="none" w:sz="0" w:space="0" w:color="auto"/>
            <w:bottom w:val="none" w:sz="0" w:space="0" w:color="auto"/>
            <w:right w:val="none" w:sz="0" w:space="0" w:color="auto"/>
          </w:divBdr>
          <w:divsChild>
            <w:div w:id="773094960">
              <w:marLeft w:val="0"/>
              <w:marRight w:val="0"/>
              <w:marTop w:val="0"/>
              <w:marBottom w:val="0"/>
              <w:divBdr>
                <w:top w:val="none" w:sz="0" w:space="0" w:color="auto"/>
                <w:left w:val="none" w:sz="0" w:space="0" w:color="auto"/>
                <w:bottom w:val="none" w:sz="0" w:space="0" w:color="auto"/>
                <w:right w:val="none" w:sz="0" w:space="0" w:color="auto"/>
              </w:divBdr>
              <w:divsChild>
                <w:div w:id="1150707981">
                  <w:marLeft w:val="0"/>
                  <w:marRight w:val="0"/>
                  <w:marTop w:val="0"/>
                  <w:marBottom w:val="0"/>
                  <w:divBdr>
                    <w:top w:val="none" w:sz="0" w:space="0" w:color="auto"/>
                    <w:left w:val="none" w:sz="0" w:space="0" w:color="auto"/>
                    <w:bottom w:val="none" w:sz="0" w:space="0" w:color="auto"/>
                    <w:right w:val="none" w:sz="0" w:space="0" w:color="auto"/>
                  </w:divBdr>
                </w:div>
              </w:divsChild>
            </w:div>
            <w:div w:id="814101670">
              <w:marLeft w:val="0"/>
              <w:marRight w:val="0"/>
              <w:marTop w:val="240"/>
              <w:marBottom w:val="0"/>
              <w:divBdr>
                <w:top w:val="none" w:sz="0" w:space="0" w:color="auto"/>
                <w:left w:val="none" w:sz="0" w:space="0" w:color="auto"/>
                <w:bottom w:val="none" w:sz="0" w:space="0" w:color="auto"/>
                <w:right w:val="none" w:sz="0" w:space="0" w:color="auto"/>
              </w:divBdr>
              <w:divsChild>
                <w:div w:id="1270550864">
                  <w:marLeft w:val="0"/>
                  <w:marRight w:val="0"/>
                  <w:marTop w:val="0"/>
                  <w:marBottom w:val="0"/>
                  <w:divBdr>
                    <w:top w:val="none" w:sz="0" w:space="0" w:color="auto"/>
                    <w:left w:val="none" w:sz="0" w:space="0" w:color="auto"/>
                    <w:bottom w:val="none" w:sz="0" w:space="0" w:color="auto"/>
                    <w:right w:val="none" w:sz="0" w:space="0" w:color="auto"/>
                  </w:divBdr>
                  <w:divsChild>
                    <w:div w:id="138814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18518">
              <w:marLeft w:val="0"/>
              <w:marRight w:val="0"/>
              <w:marTop w:val="240"/>
              <w:marBottom w:val="0"/>
              <w:divBdr>
                <w:top w:val="none" w:sz="0" w:space="0" w:color="auto"/>
                <w:left w:val="none" w:sz="0" w:space="0" w:color="auto"/>
                <w:bottom w:val="none" w:sz="0" w:space="0" w:color="auto"/>
                <w:right w:val="none" w:sz="0" w:space="0" w:color="auto"/>
              </w:divBdr>
              <w:divsChild>
                <w:div w:id="1891107909">
                  <w:marLeft w:val="0"/>
                  <w:marRight w:val="0"/>
                  <w:marTop w:val="0"/>
                  <w:marBottom w:val="0"/>
                  <w:divBdr>
                    <w:top w:val="none" w:sz="0" w:space="0" w:color="auto"/>
                    <w:left w:val="none" w:sz="0" w:space="0" w:color="auto"/>
                    <w:bottom w:val="none" w:sz="0" w:space="0" w:color="auto"/>
                    <w:right w:val="none" w:sz="0" w:space="0" w:color="auto"/>
                  </w:divBdr>
                  <w:divsChild>
                    <w:div w:id="3554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7486">
              <w:marLeft w:val="0"/>
              <w:marRight w:val="0"/>
              <w:marTop w:val="240"/>
              <w:marBottom w:val="0"/>
              <w:divBdr>
                <w:top w:val="none" w:sz="0" w:space="0" w:color="auto"/>
                <w:left w:val="none" w:sz="0" w:space="0" w:color="auto"/>
                <w:bottom w:val="none" w:sz="0" w:space="0" w:color="auto"/>
                <w:right w:val="none" w:sz="0" w:space="0" w:color="auto"/>
              </w:divBdr>
              <w:divsChild>
                <w:div w:id="278336797">
                  <w:marLeft w:val="0"/>
                  <w:marRight w:val="0"/>
                  <w:marTop w:val="0"/>
                  <w:marBottom w:val="0"/>
                  <w:divBdr>
                    <w:top w:val="none" w:sz="0" w:space="0" w:color="auto"/>
                    <w:left w:val="none" w:sz="0" w:space="0" w:color="auto"/>
                    <w:bottom w:val="none" w:sz="0" w:space="0" w:color="auto"/>
                    <w:right w:val="none" w:sz="0" w:space="0" w:color="auto"/>
                  </w:divBdr>
                  <w:divsChild>
                    <w:div w:id="18526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94582">
          <w:marLeft w:val="0"/>
          <w:marRight w:val="0"/>
          <w:marTop w:val="240"/>
          <w:marBottom w:val="0"/>
          <w:divBdr>
            <w:top w:val="none" w:sz="0" w:space="0" w:color="auto"/>
            <w:left w:val="none" w:sz="0" w:space="0" w:color="auto"/>
            <w:bottom w:val="none" w:sz="0" w:space="0" w:color="auto"/>
            <w:right w:val="none" w:sz="0" w:space="0" w:color="auto"/>
          </w:divBdr>
          <w:divsChild>
            <w:div w:id="744301805">
              <w:marLeft w:val="0"/>
              <w:marRight w:val="0"/>
              <w:marTop w:val="0"/>
              <w:marBottom w:val="0"/>
              <w:divBdr>
                <w:top w:val="none" w:sz="0" w:space="0" w:color="auto"/>
                <w:left w:val="none" w:sz="0" w:space="0" w:color="auto"/>
                <w:bottom w:val="none" w:sz="0" w:space="0" w:color="auto"/>
                <w:right w:val="none" w:sz="0" w:space="0" w:color="auto"/>
              </w:divBdr>
              <w:divsChild>
                <w:div w:id="69750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65057">
          <w:marLeft w:val="0"/>
          <w:marRight w:val="0"/>
          <w:marTop w:val="240"/>
          <w:marBottom w:val="0"/>
          <w:divBdr>
            <w:top w:val="none" w:sz="0" w:space="0" w:color="auto"/>
            <w:left w:val="none" w:sz="0" w:space="0" w:color="auto"/>
            <w:bottom w:val="none" w:sz="0" w:space="0" w:color="auto"/>
            <w:right w:val="none" w:sz="0" w:space="0" w:color="auto"/>
          </w:divBdr>
          <w:divsChild>
            <w:div w:id="679047861">
              <w:marLeft w:val="0"/>
              <w:marRight w:val="0"/>
              <w:marTop w:val="240"/>
              <w:marBottom w:val="0"/>
              <w:divBdr>
                <w:top w:val="none" w:sz="0" w:space="0" w:color="auto"/>
                <w:left w:val="none" w:sz="0" w:space="0" w:color="auto"/>
                <w:bottom w:val="none" w:sz="0" w:space="0" w:color="auto"/>
                <w:right w:val="none" w:sz="0" w:space="0" w:color="auto"/>
              </w:divBdr>
              <w:divsChild>
                <w:div w:id="171530200">
                  <w:marLeft w:val="0"/>
                  <w:marRight w:val="0"/>
                  <w:marTop w:val="0"/>
                  <w:marBottom w:val="0"/>
                  <w:divBdr>
                    <w:top w:val="none" w:sz="0" w:space="0" w:color="auto"/>
                    <w:left w:val="none" w:sz="0" w:space="0" w:color="auto"/>
                    <w:bottom w:val="none" w:sz="0" w:space="0" w:color="auto"/>
                    <w:right w:val="none" w:sz="0" w:space="0" w:color="auto"/>
                  </w:divBdr>
                  <w:divsChild>
                    <w:div w:id="95317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29180">
              <w:marLeft w:val="0"/>
              <w:marRight w:val="0"/>
              <w:marTop w:val="240"/>
              <w:marBottom w:val="0"/>
              <w:divBdr>
                <w:top w:val="none" w:sz="0" w:space="0" w:color="auto"/>
                <w:left w:val="none" w:sz="0" w:space="0" w:color="auto"/>
                <w:bottom w:val="none" w:sz="0" w:space="0" w:color="auto"/>
                <w:right w:val="none" w:sz="0" w:space="0" w:color="auto"/>
              </w:divBdr>
              <w:divsChild>
                <w:div w:id="1273709731">
                  <w:marLeft w:val="0"/>
                  <w:marRight w:val="0"/>
                  <w:marTop w:val="0"/>
                  <w:marBottom w:val="0"/>
                  <w:divBdr>
                    <w:top w:val="none" w:sz="0" w:space="0" w:color="auto"/>
                    <w:left w:val="none" w:sz="0" w:space="0" w:color="auto"/>
                    <w:bottom w:val="none" w:sz="0" w:space="0" w:color="auto"/>
                    <w:right w:val="none" w:sz="0" w:space="0" w:color="auto"/>
                  </w:divBdr>
                  <w:divsChild>
                    <w:div w:id="159647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36003">
              <w:marLeft w:val="0"/>
              <w:marRight w:val="0"/>
              <w:marTop w:val="0"/>
              <w:marBottom w:val="0"/>
              <w:divBdr>
                <w:top w:val="none" w:sz="0" w:space="0" w:color="auto"/>
                <w:left w:val="none" w:sz="0" w:space="0" w:color="auto"/>
                <w:bottom w:val="none" w:sz="0" w:space="0" w:color="auto"/>
                <w:right w:val="none" w:sz="0" w:space="0" w:color="auto"/>
              </w:divBdr>
              <w:divsChild>
                <w:div w:id="1758360085">
                  <w:marLeft w:val="0"/>
                  <w:marRight w:val="0"/>
                  <w:marTop w:val="0"/>
                  <w:marBottom w:val="0"/>
                  <w:divBdr>
                    <w:top w:val="none" w:sz="0" w:space="0" w:color="auto"/>
                    <w:left w:val="none" w:sz="0" w:space="0" w:color="auto"/>
                    <w:bottom w:val="none" w:sz="0" w:space="0" w:color="auto"/>
                    <w:right w:val="none" w:sz="0" w:space="0" w:color="auto"/>
                  </w:divBdr>
                </w:div>
              </w:divsChild>
            </w:div>
            <w:div w:id="1131824522">
              <w:marLeft w:val="0"/>
              <w:marRight w:val="0"/>
              <w:marTop w:val="240"/>
              <w:marBottom w:val="0"/>
              <w:divBdr>
                <w:top w:val="none" w:sz="0" w:space="0" w:color="auto"/>
                <w:left w:val="none" w:sz="0" w:space="0" w:color="auto"/>
                <w:bottom w:val="none" w:sz="0" w:space="0" w:color="auto"/>
                <w:right w:val="none" w:sz="0" w:space="0" w:color="auto"/>
              </w:divBdr>
              <w:divsChild>
                <w:div w:id="1464156360">
                  <w:marLeft w:val="0"/>
                  <w:marRight w:val="0"/>
                  <w:marTop w:val="0"/>
                  <w:marBottom w:val="0"/>
                  <w:divBdr>
                    <w:top w:val="none" w:sz="0" w:space="0" w:color="auto"/>
                    <w:left w:val="none" w:sz="0" w:space="0" w:color="auto"/>
                    <w:bottom w:val="none" w:sz="0" w:space="0" w:color="auto"/>
                    <w:right w:val="none" w:sz="0" w:space="0" w:color="auto"/>
                  </w:divBdr>
                  <w:divsChild>
                    <w:div w:id="214715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77893">
          <w:marLeft w:val="0"/>
          <w:marRight w:val="0"/>
          <w:marTop w:val="240"/>
          <w:marBottom w:val="0"/>
          <w:divBdr>
            <w:top w:val="none" w:sz="0" w:space="0" w:color="auto"/>
            <w:left w:val="none" w:sz="0" w:space="0" w:color="auto"/>
            <w:bottom w:val="none" w:sz="0" w:space="0" w:color="auto"/>
            <w:right w:val="none" w:sz="0" w:space="0" w:color="auto"/>
          </w:divBdr>
          <w:divsChild>
            <w:div w:id="529537330">
              <w:marLeft w:val="0"/>
              <w:marRight w:val="0"/>
              <w:marTop w:val="240"/>
              <w:marBottom w:val="0"/>
              <w:divBdr>
                <w:top w:val="none" w:sz="0" w:space="0" w:color="auto"/>
                <w:left w:val="none" w:sz="0" w:space="0" w:color="auto"/>
                <w:bottom w:val="none" w:sz="0" w:space="0" w:color="auto"/>
                <w:right w:val="none" w:sz="0" w:space="0" w:color="auto"/>
              </w:divBdr>
              <w:divsChild>
                <w:div w:id="1667123953">
                  <w:marLeft w:val="0"/>
                  <w:marRight w:val="0"/>
                  <w:marTop w:val="0"/>
                  <w:marBottom w:val="0"/>
                  <w:divBdr>
                    <w:top w:val="none" w:sz="0" w:space="0" w:color="auto"/>
                    <w:left w:val="none" w:sz="0" w:space="0" w:color="auto"/>
                    <w:bottom w:val="none" w:sz="0" w:space="0" w:color="auto"/>
                    <w:right w:val="none" w:sz="0" w:space="0" w:color="auto"/>
                  </w:divBdr>
                  <w:divsChild>
                    <w:div w:id="202061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89742">
              <w:marLeft w:val="0"/>
              <w:marRight w:val="0"/>
              <w:marTop w:val="240"/>
              <w:marBottom w:val="0"/>
              <w:divBdr>
                <w:top w:val="none" w:sz="0" w:space="0" w:color="auto"/>
                <w:left w:val="none" w:sz="0" w:space="0" w:color="auto"/>
                <w:bottom w:val="none" w:sz="0" w:space="0" w:color="auto"/>
                <w:right w:val="none" w:sz="0" w:space="0" w:color="auto"/>
              </w:divBdr>
              <w:divsChild>
                <w:div w:id="799229121">
                  <w:marLeft w:val="0"/>
                  <w:marRight w:val="0"/>
                  <w:marTop w:val="0"/>
                  <w:marBottom w:val="0"/>
                  <w:divBdr>
                    <w:top w:val="none" w:sz="0" w:space="0" w:color="auto"/>
                    <w:left w:val="none" w:sz="0" w:space="0" w:color="auto"/>
                    <w:bottom w:val="none" w:sz="0" w:space="0" w:color="auto"/>
                    <w:right w:val="none" w:sz="0" w:space="0" w:color="auto"/>
                  </w:divBdr>
                  <w:divsChild>
                    <w:div w:id="51904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44267">
              <w:marLeft w:val="0"/>
              <w:marRight w:val="0"/>
              <w:marTop w:val="0"/>
              <w:marBottom w:val="0"/>
              <w:divBdr>
                <w:top w:val="none" w:sz="0" w:space="0" w:color="auto"/>
                <w:left w:val="none" w:sz="0" w:space="0" w:color="auto"/>
                <w:bottom w:val="none" w:sz="0" w:space="0" w:color="auto"/>
                <w:right w:val="none" w:sz="0" w:space="0" w:color="auto"/>
              </w:divBdr>
              <w:divsChild>
                <w:div w:id="194222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80254">
          <w:marLeft w:val="0"/>
          <w:marRight w:val="0"/>
          <w:marTop w:val="240"/>
          <w:marBottom w:val="0"/>
          <w:divBdr>
            <w:top w:val="none" w:sz="0" w:space="0" w:color="auto"/>
            <w:left w:val="none" w:sz="0" w:space="0" w:color="auto"/>
            <w:bottom w:val="none" w:sz="0" w:space="0" w:color="auto"/>
            <w:right w:val="none" w:sz="0" w:space="0" w:color="auto"/>
          </w:divBdr>
          <w:divsChild>
            <w:div w:id="1910723646">
              <w:marLeft w:val="0"/>
              <w:marRight w:val="0"/>
              <w:marTop w:val="0"/>
              <w:marBottom w:val="0"/>
              <w:divBdr>
                <w:top w:val="none" w:sz="0" w:space="0" w:color="auto"/>
                <w:left w:val="none" w:sz="0" w:space="0" w:color="auto"/>
                <w:bottom w:val="none" w:sz="0" w:space="0" w:color="auto"/>
                <w:right w:val="none" w:sz="0" w:space="0" w:color="auto"/>
              </w:divBdr>
              <w:divsChild>
                <w:div w:id="36976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cholas.Klingerman@azag.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rulesforum.azcourts.gov/Rules-Forum/aft/187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euchner@pima.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appeals2.az.gov/APL2NewDocs1/COA/1090/4011106.pdf" TargetMode="External"/><Relationship Id="rId1" Type="http://schemas.openxmlformats.org/officeDocument/2006/relationships/hyperlink" Target="https://rulesforum.azcourts.gov/Rules-Forum/aft/6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EB8ABB-4209-42EC-8F85-63A41CC355B9}">
  <ds:schemaRefs>
    <ds:schemaRef ds:uri="http://schemas.microsoft.com/sharepoint/v3/contenttype/forms"/>
  </ds:schemaRefs>
</ds:datastoreItem>
</file>

<file path=customXml/itemProps2.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C0FFA2F-E964-4C5C-BEFB-E241B195D6A6}">
  <ds:schemaRefs>
    <ds:schemaRef ds:uri="http://schemas.openxmlformats.org/officeDocument/2006/bibliography"/>
  </ds:schemaRefs>
</ds:datastoreItem>
</file>

<file path=customXml/itemProps4.xml><?xml version="1.0" encoding="utf-8"?>
<ds:datastoreItem xmlns:ds="http://schemas.openxmlformats.org/officeDocument/2006/customXml" ds:itemID="{4413EAA7-D7F2-4FB9-89F1-0611830192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20</Pages>
  <Words>4322</Words>
  <Characters>24639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rule change</vt:lpstr>
    </vt:vector>
  </TitlesOfParts>
  <Company>Pima County</Company>
  <LinksUpToDate>false</LinksUpToDate>
  <CharactersWithSpaces>28904</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dc:title>
  <dc:subject/>
  <dc:creator>deuchner</dc:creator>
  <cp:keywords/>
  <dc:description/>
  <cp:lastModifiedBy>David Euchner</cp:lastModifiedBy>
  <cp:revision>3</cp:revision>
  <cp:lastPrinted>2026-04-20T20:26:00Z</cp:lastPrinted>
  <dcterms:created xsi:type="dcterms:W3CDTF">2026-06-15T21:04:00Z</dcterms:created>
  <dcterms:modified xsi:type="dcterms:W3CDTF">2026-06-15T21:37:00Z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y fmtid="{D5CDD505-2E9C-101B-9397-08002B2CF9AE}" pid="4" name="_NewReviewCycle">
    <vt:lpwstr/>
  </property>
</Properties>
</file>