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9552"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Rosemarie Peña-Lynch</w:t>
      </w:r>
      <w:r>
        <w:rPr>
          <w:rFonts w:ascii="Times New Roman" w:hAnsi="Times New Roman" w:cs="Times New Roman"/>
          <w:sz w:val="26"/>
          <w:szCs w:val="26"/>
        </w:rPr>
        <w:tab/>
        <w:t>Lina G. Garcia</w:t>
      </w:r>
    </w:p>
    <w:p w14:paraId="64272468"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Bar No 023400</w:t>
      </w:r>
      <w:r>
        <w:rPr>
          <w:rFonts w:ascii="Times New Roman" w:hAnsi="Times New Roman" w:cs="Times New Roman"/>
          <w:sz w:val="26"/>
          <w:szCs w:val="26"/>
        </w:rPr>
        <w:tab/>
        <w:t>Bar No. 025997</w:t>
      </w:r>
    </w:p>
    <w:p w14:paraId="4CAC9DC5" w14:textId="77777777" w:rsidR="005171A1" w:rsidRDefault="005171A1" w:rsidP="005171A1">
      <w:pPr>
        <w:widowControl/>
        <w:tabs>
          <w:tab w:val="left" w:pos="5040"/>
        </w:tabs>
        <w:jc w:val="both"/>
        <w:rPr>
          <w:rFonts w:ascii="Times New Roman" w:hAnsi="Times New Roman" w:cs="Times New Roman"/>
          <w:sz w:val="26"/>
          <w:szCs w:val="26"/>
        </w:rPr>
      </w:pPr>
      <w:proofErr w:type="spellStart"/>
      <w:r>
        <w:rPr>
          <w:rFonts w:ascii="Times New Roman" w:hAnsi="Times New Roman" w:cs="Times New Roman"/>
          <w:sz w:val="26"/>
          <w:szCs w:val="26"/>
        </w:rPr>
        <w:t>Mcpa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Cnty</w:t>
      </w:r>
      <w:proofErr w:type="spellEnd"/>
      <w:r>
        <w:rPr>
          <w:rFonts w:ascii="Times New Roman" w:hAnsi="Times New Roman" w:cs="Times New Roman"/>
          <w:sz w:val="26"/>
          <w:szCs w:val="26"/>
        </w:rPr>
        <w:t>. Ofc. of Public Defense Svc.</w:t>
      </w:r>
      <w:r>
        <w:rPr>
          <w:rFonts w:ascii="Times New Roman" w:hAnsi="Times New Roman" w:cs="Times New Roman"/>
          <w:sz w:val="26"/>
          <w:szCs w:val="26"/>
        </w:rPr>
        <w:tab/>
      </w:r>
      <w:proofErr w:type="spellStart"/>
      <w:r>
        <w:rPr>
          <w:rFonts w:ascii="Times New Roman" w:hAnsi="Times New Roman" w:cs="Times New Roman"/>
          <w:sz w:val="26"/>
          <w:szCs w:val="26"/>
        </w:rPr>
        <w:t>Mcpa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Cnty</w:t>
      </w:r>
      <w:proofErr w:type="spellEnd"/>
      <w:r>
        <w:rPr>
          <w:rFonts w:ascii="Times New Roman" w:hAnsi="Times New Roman" w:cs="Times New Roman"/>
          <w:sz w:val="26"/>
          <w:szCs w:val="26"/>
        </w:rPr>
        <w:t>. Public Defenders Ofc.</w:t>
      </w:r>
    </w:p>
    <w:p w14:paraId="152D6F4D"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620 W. Jackson, Suite 3076</w:t>
      </w:r>
      <w:r>
        <w:rPr>
          <w:rFonts w:ascii="Times New Roman" w:hAnsi="Times New Roman" w:cs="Times New Roman"/>
          <w:sz w:val="26"/>
          <w:szCs w:val="26"/>
        </w:rPr>
        <w:tab/>
        <w:t>620 W. Jackson, Suite 4015</w:t>
      </w:r>
    </w:p>
    <w:p w14:paraId="0B13A38F"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Phoenix, AZ 85003</w:t>
      </w:r>
      <w:r>
        <w:rPr>
          <w:rFonts w:ascii="Times New Roman" w:hAnsi="Times New Roman" w:cs="Times New Roman"/>
          <w:sz w:val="26"/>
          <w:szCs w:val="26"/>
        </w:rPr>
        <w:tab/>
        <w:t>Phoenix, AZ 85003</w:t>
      </w:r>
    </w:p>
    <w:p w14:paraId="0B765C7A"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(602) 506-7228</w:t>
      </w:r>
      <w:r>
        <w:rPr>
          <w:rFonts w:ascii="Times New Roman" w:hAnsi="Times New Roman" w:cs="Times New Roman"/>
          <w:sz w:val="26"/>
          <w:szCs w:val="26"/>
        </w:rPr>
        <w:tab/>
        <w:t>(602) 506-7711</w:t>
      </w:r>
    </w:p>
    <w:p w14:paraId="56C65849" w14:textId="77777777" w:rsidR="005171A1" w:rsidRDefault="005171A1" w:rsidP="005171A1">
      <w:pPr>
        <w:widowControl/>
        <w:tabs>
          <w:tab w:val="left" w:pos="5040"/>
        </w:tabs>
        <w:jc w:val="both"/>
        <w:rPr>
          <w:rFonts w:ascii="Times New Roman" w:hAnsi="Times New Roman" w:cs="Times New Roman"/>
          <w:sz w:val="26"/>
          <w:szCs w:val="26"/>
        </w:rPr>
      </w:pPr>
      <w:hyperlink r:id="rId8" w:history="1">
        <w:r>
          <w:rPr>
            <w:rStyle w:val="Hyperlink"/>
            <w:rFonts w:ascii="Times New Roman" w:hAnsi="Times New Roman" w:cs="Times New Roman"/>
            <w:sz w:val="26"/>
            <w:szCs w:val="26"/>
          </w:rPr>
          <w:t>Rosemarie.Pena-Lynch@maricopa.gov</w:t>
        </w:r>
      </w:hyperlink>
      <w:r>
        <w:rPr>
          <w:rFonts w:ascii="Times New Roman" w:hAnsi="Times New Roman" w:cs="Times New Roman"/>
          <w:sz w:val="26"/>
          <w:szCs w:val="26"/>
        </w:rPr>
        <w:tab/>
      </w:r>
      <w:hyperlink r:id="rId9" w:history="1">
        <w:r>
          <w:rPr>
            <w:rStyle w:val="Hyperlink"/>
            <w:rFonts w:ascii="Times New Roman" w:hAnsi="Times New Roman" w:cs="Times New Roman"/>
            <w:sz w:val="26"/>
            <w:szCs w:val="26"/>
          </w:rPr>
          <w:t>Lina.Garcia@maricopa.gov</w:t>
        </w:r>
      </w:hyperlink>
      <w:r>
        <w:rPr>
          <w:rFonts w:ascii="Times New Roman" w:hAnsi="Times New Roman" w:cs="Times New Roman"/>
          <w:sz w:val="26"/>
          <w:szCs w:val="26"/>
        </w:rPr>
        <w:t xml:space="preserve"> </w:t>
      </w:r>
    </w:p>
    <w:p w14:paraId="1235C98E" w14:textId="77777777" w:rsidR="005171A1" w:rsidRDefault="005171A1" w:rsidP="005171A1">
      <w:pPr>
        <w:widowControl/>
        <w:jc w:val="both"/>
        <w:rPr>
          <w:rFonts w:ascii="Times New Roman" w:hAnsi="Times New Roman" w:cs="Times New Roman"/>
          <w:sz w:val="26"/>
          <w:szCs w:val="26"/>
        </w:rPr>
      </w:pPr>
    </w:p>
    <w:p w14:paraId="348208AE"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Steve Koestner</w:t>
      </w:r>
      <w:r>
        <w:rPr>
          <w:rFonts w:ascii="Times New Roman" w:hAnsi="Times New Roman" w:cs="Times New Roman"/>
          <w:sz w:val="26"/>
          <w:szCs w:val="26"/>
        </w:rPr>
        <w:tab/>
        <w:t>Shannon Burns</w:t>
      </w:r>
    </w:p>
    <w:p w14:paraId="7B93C89C"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Bar No. 011566</w:t>
      </w:r>
      <w:r>
        <w:rPr>
          <w:rFonts w:ascii="Times New Roman" w:hAnsi="Times New Roman" w:cs="Times New Roman"/>
          <w:sz w:val="26"/>
          <w:szCs w:val="26"/>
        </w:rPr>
        <w:tab/>
        <w:t>Bar No. 015976</w:t>
      </w:r>
    </w:p>
    <w:p w14:paraId="6F83FADC" w14:textId="77777777" w:rsidR="005171A1" w:rsidRDefault="005171A1" w:rsidP="005171A1">
      <w:pPr>
        <w:widowControl/>
        <w:tabs>
          <w:tab w:val="left" w:pos="5040"/>
        </w:tabs>
        <w:jc w:val="both"/>
        <w:rPr>
          <w:rFonts w:ascii="Times New Roman" w:hAnsi="Times New Roman" w:cs="Times New Roman"/>
          <w:sz w:val="26"/>
          <w:szCs w:val="26"/>
        </w:rPr>
      </w:pPr>
      <w:proofErr w:type="spellStart"/>
      <w:r>
        <w:rPr>
          <w:rFonts w:ascii="Times New Roman" w:hAnsi="Times New Roman" w:cs="Times New Roman"/>
          <w:sz w:val="26"/>
          <w:szCs w:val="26"/>
        </w:rPr>
        <w:t>Mcpa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Cnty</w:t>
      </w:r>
      <w:proofErr w:type="spellEnd"/>
      <w:r>
        <w:rPr>
          <w:rFonts w:ascii="Times New Roman" w:hAnsi="Times New Roman" w:cs="Times New Roman"/>
          <w:sz w:val="26"/>
          <w:szCs w:val="26"/>
        </w:rPr>
        <w:t>. Ofc. of Legal Advocate</w:t>
      </w:r>
      <w:r>
        <w:rPr>
          <w:rFonts w:ascii="Times New Roman" w:hAnsi="Times New Roman" w:cs="Times New Roman"/>
          <w:sz w:val="26"/>
          <w:szCs w:val="26"/>
        </w:rPr>
        <w:tab/>
      </w:r>
      <w:proofErr w:type="spellStart"/>
      <w:r>
        <w:rPr>
          <w:rFonts w:ascii="Times New Roman" w:hAnsi="Times New Roman" w:cs="Times New Roman"/>
          <w:sz w:val="26"/>
          <w:szCs w:val="26"/>
        </w:rPr>
        <w:t>Mcpa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Cnty</w:t>
      </w:r>
      <w:proofErr w:type="spellEnd"/>
      <w:r>
        <w:rPr>
          <w:rFonts w:ascii="Times New Roman" w:hAnsi="Times New Roman" w:cs="Times New Roman"/>
          <w:sz w:val="26"/>
          <w:szCs w:val="26"/>
        </w:rPr>
        <w:t>. Ofc. of Public Advocate</w:t>
      </w:r>
    </w:p>
    <w:p w14:paraId="353BC33B"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222 N. Central, Suite 154</w:t>
      </w:r>
      <w:r>
        <w:rPr>
          <w:rFonts w:ascii="Times New Roman" w:hAnsi="Times New Roman" w:cs="Times New Roman"/>
          <w:sz w:val="26"/>
          <w:szCs w:val="26"/>
        </w:rPr>
        <w:tab/>
        <w:t>106 E. Baseline Rd.</w:t>
      </w:r>
    </w:p>
    <w:p w14:paraId="50BD8B45"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Phoenix, AZ 85004</w:t>
      </w:r>
      <w:r>
        <w:rPr>
          <w:rFonts w:ascii="Times New Roman" w:hAnsi="Times New Roman" w:cs="Times New Roman"/>
          <w:sz w:val="26"/>
          <w:szCs w:val="26"/>
        </w:rPr>
        <w:tab/>
        <w:t>Mesa, AZ 85210</w:t>
      </w:r>
    </w:p>
    <w:p w14:paraId="1294B1EE" w14:textId="77777777" w:rsidR="005171A1" w:rsidRDefault="005171A1" w:rsidP="005171A1">
      <w:pPr>
        <w:widowControl/>
        <w:tabs>
          <w:tab w:val="left" w:pos="5040"/>
        </w:tabs>
        <w:jc w:val="both"/>
        <w:rPr>
          <w:rFonts w:ascii="Times New Roman" w:hAnsi="Times New Roman" w:cs="Times New Roman"/>
          <w:sz w:val="26"/>
          <w:szCs w:val="26"/>
        </w:rPr>
      </w:pPr>
      <w:r>
        <w:rPr>
          <w:rFonts w:ascii="Times New Roman" w:hAnsi="Times New Roman" w:cs="Times New Roman"/>
          <w:sz w:val="26"/>
          <w:szCs w:val="26"/>
        </w:rPr>
        <w:t>(602) 506-4111</w:t>
      </w:r>
      <w:r>
        <w:rPr>
          <w:rFonts w:ascii="Times New Roman" w:hAnsi="Times New Roman" w:cs="Times New Roman"/>
          <w:sz w:val="26"/>
          <w:szCs w:val="26"/>
        </w:rPr>
        <w:tab/>
        <w:t>(602) 372-2815</w:t>
      </w:r>
    </w:p>
    <w:p w14:paraId="6D7AC575" w14:textId="77777777" w:rsidR="005171A1" w:rsidRDefault="005171A1" w:rsidP="005171A1">
      <w:pPr>
        <w:widowControl/>
        <w:tabs>
          <w:tab w:val="left" w:pos="5040"/>
        </w:tabs>
        <w:jc w:val="both"/>
        <w:rPr>
          <w:rFonts w:ascii="Times New Roman" w:hAnsi="Times New Roman" w:cs="Times New Roman"/>
          <w:sz w:val="26"/>
          <w:szCs w:val="26"/>
        </w:rPr>
      </w:pPr>
      <w:hyperlink r:id="rId10" w:history="1">
        <w:r>
          <w:rPr>
            <w:rStyle w:val="Hyperlink"/>
            <w:rFonts w:ascii="Times New Roman" w:hAnsi="Times New Roman" w:cs="Times New Roman"/>
            <w:sz w:val="26"/>
            <w:szCs w:val="26"/>
          </w:rPr>
          <w:t>Steve.Koestner@maricopa.gov</w:t>
        </w:r>
      </w:hyperlink>
      <w:r>
        <w:rPr>
          <w:rFonts w:ascii="Times New Roman" w:hAnsi="Times New Roman" w:cs="Times New Roman"/>
          <w:sz w:val="26"/>
          <w:szCs w:val="26"/>
        </w:rPr>
        <w:tab/>
      </w:r>
      <w:hyperlink r:id="rId11" w:history="1">
        <w:r>
          <w:rPr>
            <w:rStyle w:val="Hyperlink"/>
            <w:rFonts w:ascii="Times New Roman" w:hAnsi="Times New Roman" w:cs="Times New Roman"/>
            <w:sz w:val="26"/>
            <w:szCs w:val="26"/>
          </w:rPr>
          <w:t>Shannon.Burns@maricopa.gov</w:t>
        </w:r>
      </w:hyperlink>
      <w:r>
        <w:rPr>
          <w:rFonts w:ascii="Times New Roman" w:hAnsi="Times New Roman" w:cs="Times New Roman"/>
          <w:sz w:val="26"/>
          <w:szCs w:val="26"/>
        </w:rPr>
        <w:t xml:space="preserve"> </w:t>
      </w:r>
    </w:p>
    <w:p w14:paraId="19F61D15" w14:textId="77777777" w:rsidR="005171A1" w:rsidRDefault="005171A1" w:rsidP="005171A1">
      <w:pPr>
        <w:widowControl/>
        <w:jc w:val="both"/>
        <w:rPr>
          <w:rFonts w:ascii="Times New Roman" w:hAnsi="Times New Roman" w:cs="Times New Roman"/>
          <w:sz w:val="26"/>
          <w:szCs w:val="26"/>
        </w:rPr>
      </w:pPr>
    </w:p>
    <w:p w14:paraId="11C6609C" w14:textId="77777777" w:rsidR="005171A1" w:rsidRDefault="005171A1" w:rsidP="005171A1">
      <w:pPr>
        <w:widowControl/>
        <w:jc w:val="both"/>
        <w:rPr>
          <w:rFonts w:ascii="Times New Roman" w:hAnsi="Times New Roman" w:cs="Times New Roman"/>
          <w:sz w:val="26"/>
          <w:szCs w:val="26"/>
        </w:rPr>
      </w:pPr>
      <w:r>
        <w:rPr>
          <w:rFonts w:ascii="Times New Roman" w:hAnsi="Times New Roman" w:cs="Times New Roman"/>
          <w:sz w:val="26"/>
          <w:szCs w:val="26"/>
        </w:rPr>
        <w:t>Michael C. Jones</w:t>
      </w:r>
    </w:p>
    <w:p w14:paraId="0274FA12" w14:textId="77777777" w:rsidR="005171A1" w:rsidRDefault="005171A1" w:rsidP="005171A1">
      <w:pPr>
        <w:widowControl/>
        <w:jc w:val="both"/>
        <w:rPr>
          <w:rFonts w:ascii="Times New Roman" w:hAnsi="Times New Roman" w:cs="Times New Roman"/>
          <w:sz w:val="26"/>
          <w:szCs w:val="26"/>
        </w:rPr>
      </w:pPr>
      <w:r>
        <w:rPr>
          <w:rFonts w:ascii="Times New Roman" w:hAnsi="Times New Roman" w:cs="Times New Roman"/>
          <w:sz w:val="26"/>
          <w:szCs w:val="26"/>
        </w:rPr>
        <w:t>Bar No. 031736</w:t>
      </w:r>
    </w:p>
    <w:p w14:paraId="5CAA3D42" w14:textId="77777777" w:rsidR="005171A1" w:rsidRDefault="005171A1" w:rsidP="005171A1">
      <w:pPr>
        <w:widowControl/>
        <w:jc w:val="both"/>
        <w:rPr>
          <w:rFonts w:ascii="Times New Roman" w:hAnsi="Times New Roman" w:cs="Times New Roman"/>
          <w:sz w:val="26"/>
          <w:szCs w:val="26"/>
        </w:rPr>
      </w:pPr>
      <w:proofErr w:type="spellStart"/>
      <w:r>
        <w:rPr>
          <w:rFonts w:ascii="Times New Roman" w:hAnsi="Times New Roman" w:cs="Times New Roman"/>
          <w:sz w:val="26"/>
          <w:szCs w:val="26"/>
        </w:rPr>
        <w:t>Mcpa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Cnty</w:t>
      </w:r>
      <w:proofErr w:type="spellEnd"/>
      <w:r>
        <w:rPr>
          <w:rFonts w:ascii="Times New Roman" w:hAnsi="Times New Roman" w:cs="Times New Roman"/>
          <w:sz w:val="26"/>
          <w:szCs w:val="26"/>
        </w:rPr>
        <w:t>. Ofc. of Legal Defender</w:t>
      </w:r>
    </w:p>
    <w:p w14:paraId="09FCFA14" w14:textId="77777777" w:rsidR="005171A1" w:rsidRDefault="005171A1" w:rsidP="005171A1">
      <w:pPr>
        <w:widowControl/>
        <w:jc w:val="both"/>
        <w:rPr>
          <w:rFonts w:ascii="Times New Roman" w:hAnsi="Times New Roman" w:cs="Times New Roman"/>
          <w:sz w:val="26"/>
          <w:szCs w:val="26"/>
        </w:rPr>
      </w:pPr>
      <w:r>
        <w:rPr>
          <w:rFonts w:ascii="Times New Roman" w:hAnsi="Times New Roman" w:cs="Times New Roman"/>
          <w:sz w:val="26"/>
          <w:szCs w:val="26"/>
        </w:rPr>
        <w:t>222 N. Central, Suite 8100</w:t>
      </w:r>
    </w:p>
    <w:p w14:paraId="4912875D" w14:textId="77777777" w:rsidR="005171A1" w:rsidRDefault="005171A1" w:rsidP="005171A1">
      <w:pPr>
        <w:widowControl/>
        <w:jc w:val="both"/>
        <w:rPr>
          <w:rFonts w:ascii="Times New Roman" w:hAnsi="Times New Roman" w:cs="Times New Roman"/>
          <w:sz w:val="26"/>
          <w:szCs w:val="26"/>
        </w:rPr>
      </w:pPr>
      <w:r>
        <w:rPr>
          <w:rFonts w:ascii="Times New Roman" w:hAnsi="Times New Roman" w:cs="Times New Roman"/>
          <w:sz w:val="26"/>
          <w:szCs w:val="26"/>
        </w:rPr>
        <w:t>Phoenix, AZ 85004</w:t>
      </w:r>
    </w:p>
    <w:p w14:paraId="66DFDA2B" w14:textId="77777777" w:rsidR="005171A1" w:rsidRDefault="005171A1" w:rsidP="005171A1">
      <w:pPr>
        <w:widowControl/>
        <w:jc w:val="both"/>
        <w:rPr>
          <w:rFonts w:ascii="Times New Roman" w:hAnsi="Times New Roman" w:cs="Times New Roman"/>
          <w:sz w:val="26"/>
          <w:szCs w:val="26"/>
        </w:rPr>
      </w:pPr>
      <w:r>
        <w:rPr>
          <w:rFonts w:ascii="Times New Roman" w:hAnsi="Times New Roman" w:cs="Times New Roman"/>
          <w:sz w:val="26"/>
          <w:szCs w:val="26"/>
        </w:rPr>
        <w:t>(602) 506-8800</w:t>
      </w:r>
    </w:p>
    <w:p w14:paraId="34C1863A" w14:textId="77777777" w:rsidR="005171A1" w:rsidRDefault="005171A1" w:rsidP="005171A1">
      <w:pPr>
        <w:widowControl/>
        <w:jc w:val="both"/>
        <w:rPr>
          <w:rFonts w:ascii="Times New Roman" w:hAnsi="Times New Roman" w:cs="Times New Roman"/>
          <w:sz w:val="26"/>
          <w:szCs w:val="26"/>
        </w:rPr>
      </w:pPr>
      <w:hyperlink r:id="rId12" w:history="1">
        <w:r>
          <w:rPr>
            <w:rStyle w:val="Hyperlink"/>
            <w:rFonts w:ascii="Times New Roman" w:hAnsi="Times New Roman" w:cs="Times New Roman"/>
            <w:sz w:val="26"/>
            <w:szCs w:val="26"/>
          </w:rPr>
          <w:t>Michael.Jones@maricopa.gov</w:t>
        </w:r>
      </w:hyperlink>
    </w:p>
    <w:p w14:paraId="7F473A68" w14:textId="77777777" w:rsidR="005171A1" w:rsidRDefault="005171A1" w:rsidP="005171A1">
      <w:pPr>
        <w:widowControl/>
        <w:jc w:val="both"/>
        <w:rPr>
          <w:rFonts w:ascii="Times New Roman" w:hAnsi="Times New Roman" w:cs="Times New Roman"/>
          <w:sz w:val="26"/>
          <w:szCs w:val="26"/>
        </w:rPr>
      </w:pPr>
    </w:p>
    <w:p w14:paraId="6A9891BA" w14:textId="77777777" w:rsidR="005171A1" w:rsidRDefault="005171A1" w:rsidP="005171A1">
      <w:pPr>
        <w:widowControl/>
        <w:jc w:val="center"/>
        <w:rPr>
          <w:rFonts w:ascii="Times New Roman" w:hAnsi="Times New Roman" w:cs="Times New Roman"/>
          <w:b/>
          <w:bCs/>
          <w:sz w:val="26"/>
          <w:szCs w:val="26"/>
        </w:rPr>
      </w:pPr>
      <w:r>
        <w:rPr>
          <w:rFonts w:ascii="Times New Roman" w:hAnsi="Times New Roman" w:cs="Times New Roman"/>
          <w:b/>
          <w:bCs/>
          <w:sz w:val="26"/>
          <w:szCs w:val="26"/>
        </w:rPr>
        <w:t>ARIZONA SUPREME COURT</w:t>
      </w:r>
    </w:p>
    <w:p w14:paraId="7A1B86C6" w14:textId="77777777" w:rsidR="005171A1" w:rsidRDefault="005171A1" w:rsidP="005171A1">
      <w:pPr>
        <w:widowControl/>
        <w:jc w:val="both"/>
        <w:rPr>
          <w:rFonts w:ascii="Times New Roman" w:hAnsi="Times New Roman" w:cs="Times New Roman"/>
          <w:sz w:val="26"/>
          <w:szCs w:val="26"/>
        </w:rPr>
      </w:pPr>
    </w:p>
    <w:tbl>
      <w:tblPr>
        <w:tblW w:w="9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9"/>
        <w:gridCol w:w="5056"/>
      </w:tblGrid>
      <w:tr w:rsidR="005171A1" w14:paraId="40AC04DF" w14:textId="77777777">
        <w:tc>
          <w:tcPr>
            <w:tcW w:w="4500" w:type="dxa"/>
            <w:tcBorders>
              <w:top w:val="nil"/>
              <w:left w:val="nil"/>
              <w:bottom w:val="nil"/>
              <w:right w:val="single" w:sz="4" w:space="0" w:color="auto"/>
            </w:tcBorders>
          </w:tcPr>
          <w:p w14:paraId="0D0E63F3" w14:textId="77777777" w:rsidR="005171A1" w:rsidRDefault="005171A1">
            <w:pPr>
              <w:widowControl/>
              <w:snapToGrid w:val="0"/>
              <w:spacing w:line="256" w:lineRule="auto"/>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In the Matter of:</w:t>
            </w:r>
          </w:p>
          <w:p w14:paraId="7C1D2B3A" w14:textId="77777777" w:rsidR="005171A1" w:rsidRDefault="005171A1">
            <w:pPr>
              <w:widowControl/>
              <w:snapToGrid w:val="0"/>
              <w:spacing w:line="256" w:lineRule="auto"/>
              <w:rPr>
                <w:rFonts w:ascii="Times New Roman" w:hAnsi="Times New Roman" w:cs="Times New Roman"/>
                <w:kern w:val="2"/>
                <w:sz w:val="26"/>
                <w:szCs w:val="26"/>
                <w14:ligatures w14:val="standardContextual"/>
              </w:rPr>
            </w:pPr>
          </w:p>
          <w:p w14:paraId="06105AFE" w14:textId="77777777" w:rsidR="005171A1" w:rsidRDefault="005171A1">
            <w:pPr>
              <w:widowControl/>
              <w:spacing w:line="256" w:lineRule="auto"/>
              <w:rPr>
                <w:rFonts w:ascii="Times New Roman" w:hAnsi="Times New Roman" w:cs="Times New Roman"/>
                <w:kern w:val="2"/>
                <w:sz w:val="26"/>
                <w:szCs w:val="26"/>
                <w14:ligatures w14:val="standardContextual"/>
              </w:rPr>
            </w:pPr>
          </w:p>
          <w:p w14:paraId="3C7F6CC2" w14:textId="0150BA48" w:rsidR="005171A1" w:rsidRDefault="005171A1">
            <w:pPr>
              <w:widowControl/>
              <w:spacing w:line="256" w:lineRule="auto"/>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 xml:space="preserve">Petition to Amend Arizona Rules of Criminal Procedure </w:t>
            </w:r>
            <w:r w:rsidR="00DA44F9">
              <w:rPr>
                <w:rFonts w:ascii="Times New Roman" w:hAnsi="Times New Roman" w:cs="Times New Roman"/>
                <w:kern w:val="2"/>
                <w:sz w:val="26"/>
                <w:szCs w:val="26"/>
                <w14:ligatures w14:val="standardContextual"/>
              </w:rPr>
              <w:t>13.5</w:t>
            </w:r>
          </w:p>
        </w:tc>
        <w:tc>
          <w:tcPr>
            <w:tcW w:w="5058" w:type="dxa"/>
            <w:tcBorders>
              <w:top w:val="nil"/>
              <w:left w:val="single" w:sz="4" w:space="0" w:color="auto"/>
              <w:bottom w:val="nil"/>
              <w:right w:val="nil"/>
            </w:tcBorders>
          </w:tcPr>
          <w:p w14:paraId="7F7C27F0" w14:textId="25B45AC4" w:rsidR="005171A1" w:rsidRDefault="005171A1">
            <w:pPr>
              <w:widowControl/>
              <w:snapToGrid w:val="0"/>
              <w:spacing w:line="256" w:lineRule="auto"/>
              <w:ind w:left="137"/>
              <w:rPr>
                <w:rFonts w:ascii="Times New Roman" w:hAnsi="Times New Roman" w:cs="Times New Roman"/>
                <w:kern w:val="2"/>
                <w:sz w:val="26"/>
                <w:szCs w:val="26"/>
                <w14:ligatures w14:val="standardContextual"/>
              </w:rPr>
            </w:pPr>
            <w:r>
              <w:rPr>
                <w:rFonts w:ascii="Times New Roman" w:hAnsi="Times New Roman" w:cs="Times New Roman"/>
                <w:kern w:val="2"/>
                <w:sz w:val="26"/>
                <w:szCs w:val="26"/>
                <w14:ligatures w14:val="standardContextual"/>
              </w:rPr>
              <w:t>Supreme Court No. R-26-002</w:t>
            </w:r>
            <w:r w:rsidR="00DA44F9">
              <w:rPr>
                <w:rFonts w:ascii="Times New Roman" w:hAnsi="Times New Roman" w:cs="Times New Roman"/>
                <w:kern w:val="2"/>
                <w:sz w:val="26"/>
                <w:szCs w:val="26"/>
                <w14:ligatures w14:val="standardContextual"/>
              </w:rPr>
              <w:t>8</w:t>
            </w:r>
          </w:p>
          <w:p w14:paraId="59151DBE" w14:textId="77777777" w:rsidR="005171A1" w:rsidRDefault="005171A1">
            <w:pPr>
              <w:widowControl/>
              <w:snapToGrid w:val="0"/>
              <w:spacing w:line="256" w:lineRule="auto"/>
              <w:ind w:left="137"/>
              <w:rPr>
                <w:rFonts w:ascii="Times New Roman" w:hAnsi="Times New Roman" w:cs="Times New Roman"/>
                <w:kern w:val="2"/>
                <w:sz w:val="26"/>
                <w:szCs w:val="26"/>
                <w14:ligatures w14:val="standardContextual"/>
              </w:rPr>
            </w:pPr>
          </w:p>
          <w:p w14:paraId="1A22F019" w14:textId="77777777" w:rsidR="005171A1" w:rsidRDefault="005171A1">
            <w:pPr>
              <w:widowControl/>
              <w:snapToGrid w:val="0"/>
              <w:spacing w:line="256" w:lineRule="auto"/>
              <w:ind w:left="137"/>
              <w:rPr>
                <w:rFonts w:ascii="Times New Roman" w:hAnsi="Times New Roman" w:cs="Times New Roman"/>
                <w:kern w:val="2"/>
                <w:sz w:val="26"/>
                <w:szCs w:val="26"/>
                <w14:ligatures w14:val="standardContextual"/>
              </w:rPr>
            </w:pPr>
          </w:p>
          <w:p w14:paraId="49619C0A" w14:textId="3B0DEACE" w:rsidR="005171A1" w:rsidRDefault="005171A1">
            <w:pPr>
              <w:widowControl/>
              <w:spacing w:line="256" w:lineRule="auto"/>
              <w:ind w:left="137"/>
              <w:rPr>
                <w:rFonts w:ascii="Times New Roman" w:hAnsi="Times New Roman" w:cs="Times New Roman"/>
                <w:spacing w:val="-3"/>
                <w:kern w:val="2"/>
                <w:sz w:val="26"/>
                <w:szCs w:val="26"/>
                <w:lang w:val="es-ES"/>
                <w14:ligatures w14:val="standardContextual"/>
              </w:rPr>
            </w:pPr>
            <w:r>
              <w:rPr>
                <w:rFonts w:ascii="Times New Roman" w:hAnsi="Times New Roman" w:cs="Times New Roman"/>
                <w:kern w:val="2"/>
                <w:sz w:val="26"/>
                <w:szCs w:val="26"/>
                <w14:ligatures w14:val="standardContextual"/>
              </w:rPr>
              <w:t>Joint Comment by the Directors of the Maricopa County Indigent Defense Agencies</w:t>
            </w:r>
            <w:r w:rsidR="00AD0DD0">
              <w:rPr>
                <w:rFonts w:ascii="Times New Roman" w:hAnsi="Times New Roman" w:cs="Times New Roman"/>
                <w:kern w:val="2"/>
                <w:sz w:val="26"/>
                <w:szCs w:val="26"/>
                <w14:ligatures w14:val="standardContextual"/>
              </w:rPr>
              <w:t xml:space="preserve"> </w:t>
            </w:r>
            <w:r w:rsidR="00E236D1">
              <w:rPr>
                <w:rFonts w:ascii="Times New Roman" w:hAnsi="Times New Roman" w:cs="Times New Roman"/>
                <w:kern w:val="2"/>
                <w:sz w:val="26"/>
                <w:szCs w:val="26"/>
                <w14:ligatures w14:val="standardContextual"/>
              </w:rPr>
              <w:t>i</w:t>
            </w:r>
            <w:r w:rsidR="00066DF5">
              <w:rPr>
                <w:rFonts w:ascii="Times New Roman" w:hAnsi="Times New Roman" w:cs="Times New Roman"/>
                <w:kern w:val="2"/>
                <w:sz w:val="26"/>
                <w:szCs w:val="26"/>
                <w14:ligatures w14:val="standardContextual"/>
              </w:rPr>
              <w:t xml:space="preserve">n Opposition </w:t>
            </w:r>
            <w:r w:rsidR="00E236D1">
              <w:rPr>
                <w:rFonts w:ascii="Times New Roman" w:hAnsi="Times New Roman" w:cs="Times New Roman"/>
                <w:kern w:val="2"/>
                <w:sz w:val="26"/>
                <w:szCs w:val="26"/>
                <w14:ligatures w14:val="standardContextual"/>
              </w:rPr>
              <w:t>t</w:t>
            </w:r>
            <w:r w:rsidR="00066DF5">
              <w:rPr>
                <w:rFonts w:ascii="Times New Roman" w:hAnsi="Times New Roman" w:cs="Times New Roman"/>
                <w:kern w:val="2"/>
                <w:sz w:val="26"/>
                <w:szCs w:val="26"/>
                <w14:ligatures w14:val="standardContextual"/>
              </w:rPr>
              <w:t xml:space="preserve">o </w:t>
            </w:r>
            <w:r w:rsidR="00E236D1">
              <w:rPr>
                <w:rFonts w:ascii="Times New Roman" w:hAnsi="Times New Roman" w:cs="Times New Roman"/>
                <w:kern w:val="2"/>
                <w:sz w:val="26"/>
                <w:szCs w:val="26"/>
                <w14:ligatures w14:val="standardContextual"/>
              </w:rPr>
              <w:t>t</w:t>
            </w:r>
            <w:r w:rsidR="00066DF5">
              <w:rPr>
                <w:rFonts w:ascii="Times New Roman" w:hAnsi="Times New Roman" w:cs="Times New Roman"/>
                <w:kern w:val="2"/>
                <w:sz w:val="26"/>
                <w:szCs w:val="26"/>
                <w14:ligatures w14:val="standardContextual"/>
              </w:rPr>
              <w:t>he Petition to Amend Rule 13.5</w:t>
            </w:r>
            <w:r>
              <w:rPr>
                <w:rFonts w:ascii="Times New Roman" w:hAnsi="Times New Roman" w:cs="Times New Roman"/>
                <w:kern w:val="2"/>
                <w:sz w:val="26"/>
                <w:szCs w:val="26"/>
                <w14:ligatures w14:val="standardContextual"/>
              </w:rPr>
              <w:t xml:space="preserve"> </w:t>
            </w:r>
          </w:p>
        </w:tc>
      </w:tr>
      <w:tr w:rsidR="005171A1" w14:paraId="12285D58" w14:textId="77777777">
        <w:tc>
          <w:tcPr>
            <w:tcW w:w="4500" w:type="dxa"/>
            <w:tcBorders>
              <w:top w:val="nil"/>
              <w:left w:val="nil"/>
              <w:bottom w:val="single" w:sz="4" w:space="0" w:color="auto"/>
              <w:right w:val="single" w:sz="4" w:space="0" w:color="auto"/>
            </w:tcBorders>
          </w:tcPr>
          <w:p w14:paraId="2243C5AA" w14:textId="77777777" w:rsidR="005171A1" w:rsidRDefault="005171A1">
            <w:pPr>
              <w:widowControl/>
              <w:spacing w:line="256" w:lineRule="auto"/>
              <w:rPr>
                <w:rFonts w:ascii="Times New Roman" w:hAnsi="Times New Roman" w:cs="Times New Roman"/>
                <w:kern w:val="2"/>
                <w:sz w:val="26"/>
                <w:szCs w:val="26"/>
                <w14:ligatures w14:val="standardContextual"/>
              </w:rPr>
            </w:pPr>
          </w:p>
        </w:tc>
        <w:tc>
          <w:tcPr>
            <w:tcW w:w="5058" w:type="dxa"/>
            <w:tcBorders>
              <w:top w:val="nil"/>
              <w:left w:val="single" w:sz="4" w:space="0" w:color="auto"/>
              <w:bottom w:val="nil"/>
              <w:right w:val="nil"/>
            </w:tcBorders>
          </w:tcPr>
          <w:p w14:paraId="1D02DEC1" w14:textId="77777777" w:rsidR="005171A1" w:rsidRDefault="005171A1">
            <w:pPr>
              <w:widowControl/>
              <w:spacing w:line="256" w:lineRule="auto"/>
              <w:ind w:left="137"/>
              <w:rPr>
                <w:rFonts w:ascii="Times New Roman" w:hAnsi="Times New Roman" w:cs="Times New Roman"/>
                <w:kern w:val="2"/>
                <w:sz w:val="26"/>
                <w:szCs w:val="26"/>
                <w14:ligatures w14:val="standardContextual"/>
              </w:rPr>
            </w:pPr>
          </w:p>
        </w:tc>
      </w:tr>
    </w:tbl>
    <w:p w14:paraId="3191BA88" w14:textId="77777777" w:rsidR="005171A1" w:rsidRDefault="005171A1" w:rsidP="005171A1">
      <w:pPr>
        <w:widowControl/>
        <w:jc w:val="both"/>
        <w:rPr>
          <w:rFonts w:ascii="Times New Roman" w:hAnsi="Times New Roman" w:cs="Times New Roman"/>
          <w:sz w:val="26"/>
          <w:szCs w:val="26"/>
        </w:rPr>
      </w:pPr>
    </w:p>
    <w:p w14:paraId="35CB0C05" w14:textId="77777777" w:rsidR="0092136F" w:rsidRDefault="0092136F"/>
    <w:p w14:paraId="6B3C86AB" w14:textId="01E4E453" w:rsidR="003C61DF" w:rsidRDefault="005171A1" w:rsidP="005171A1">
      <w:pPr>
        <w:widowControl/>
        <w:spacing w:line="480" w:lineRule="auto"/>
        <w:ind w:firstLine="720"/>
        <w:jc w:val="both"/>
        <w:rPr>
          <w:rFonts w:ascii="Times New Roman" w:hAnsi="Times New Roman" w:cs="Times New Roman"/>
          <w:sz w:val="26"/>
          <w:szCs w:val="26"/>
        </w:rPr>
      </w:pPr>
      <w:r w:rsidRPr="005171A1">
        <w:rPr>
          <w:rFonts w:ascii="Times New Roman" w:hAnsi="Times New Roman" w:cs="Times New Roman"/>
          <w:sz w:val="26"/>
          <w:szCs w:val="26"/>
        </w:rPr>
        <w:t>The Maricopa County indigent representation (IR) offices collectively handle most cases filed in Maricopa County in which there has been a finding of indigency.</w:t>
      </w:r>
      <w:r w:rsidR="005765F6">
        <w:rPr>
          <w:rFonts w:ascii="Times New Roman" w:hAnsi="Times New Roman" w:cs="Times New Roman"/>
          <w:sz w:val="26"/>
          <w:szCs w:val="26"/>
        </w:rPr>
        <w:t xml:space="preserve"> </w:t>
      </w:r>
      <w:r w:rsidRPr="005171A1">
        <w:rPr>
          <w:rFonts w:ascii="Times New Roman" w:hAnsi="Times New Roman" w:cs="Times New Roman"/>
          <w:sz w:val="26"/>
          <w:szCs w:val="26"/>
        </w:rPr>
        <w:t xml:space="preserve">The Office of Public Defense Services (OPDS) provides administrative and financial oversight to the </w:t>
      </w:r>
      <w:r w:rsidRPr="005171A1">
        <w:rPr>
          <w:rFonts w:ascii="Times New Roman" w:hAnsi="Times New Roman" w:cs="Times New Roman"/>
          <w:sz w:val="26"/>
          <w:szCs w:val="26"/>
        </w:rPr>
        <w:lastRenderedPageBreak/>
        <w:t>staffed offices and the Office of Contract Counsel (OCC).</w:t>
      </w:r>
      <w:r w:rsidR="005765F6">
        <w:rPr>
          <w:rFonts w:ascii="Times New Roman" w:hAnsi="Times New Roman" w:cs="Times New Roman"/>
          <w:sz w:val="26"/>
          <w:szCs w:val="26"/>
        </w:rPr>
        <w:t xml:space="preserve"> </w:t>
      </w:r>
      <w:r w:rsidRPr="005171A1">
        <w:rPr>
          <w:rFonts w:ascii="Times New Roman" w:hAnsi="Times New Roman" w:cs="Times New Roman"/>
          <w:sz w:val="26"/>
          <w:szCs w:val="26"/>
        </w:rPr>
        <w:t xml:space="preserve">The staffed offices are comprised of the Office of the Public Defender (OPD), the Office of the Legal Advocate (OLA), the Office of the Legal Defender (OLD), and the Office of the Public Advocate (OPA). </w:t>
      </w:r>
      <w:r w:rsidR="005765F6">
        <w:rPr>
          <w:rFonts w:ascii="Times New Roman" w:hAnsi="Times New Roman" w:cs="Times New Roman"/>
          <w:sz w:val="26"/>
          <w:szCs w:val="26"/>
        </w:rPr>
        <w:t xml:space="preserve"> </w:t>
      </w:r>
      <w:r w:rsidRPr="005171A1">
        <w:rPr>
          <w:rFonts w:ascii="Times New Roman" w:hAnsi="Times New Roman" w:cs="Times New Roman"/>
          <w:sz w:val="26"/>
          <w:szCs w:val="26"/>
        </w:rPr>
        <w:t xml:space="preserve">We jointly submit this comment in </w:t>
      </w:r>
      <w:r w:rsidR="003C61DF">
        <w:rPr>
          <w:rFonts w:ascii="Times New Roman" w:hAnsi="Times New Roman" w:cs="Times New Roman"/>
          <w:sz w:val="26"/>
          <w:szCs w:val="26"/>
        </w:rPr>
        <w:t>opposition to the Petition to Amend Rule 13.5</w:t>
      </w:r>
      <w:r w:rsidRPr="005171A1">
        <w:rPr>
          <w:rFonts w:ascii="Times New Roman" w:hAnsi="Times New Roman" w:cs="Times New Roman"/>
          <w:sz w:val="26"/>
          <w:szCs w:val="26"/>
        </w:rPr>
        <w:t>.</w:t>
      </w:r>
    </w:p>
    <w:p w14:paraId="0B8BE38F" w14:textId="34D2466F" w:rsidR="003C61DF" w:rsidRDefault="003C61DF" w:rsidP="005171A1">
      <w:pPr>
        <w:widowControl/>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proposed amendment would eliminate a longstanding procedural safeguard that permits judicial review of sentencing allegations that increase a defendant’s punishment exposure. Although the Petition characteri</w:t>
      </w:r>
      <w:r w:rsidR="003B0EEB">
        <w:rPr>
          <w:rFonts w:ascii="Times New Roman" w:hAnsi="Times New Roman" w:cs="Times New Roman"/>
          <w:sz w:val="26"/>
          <w:szCs w:val="26"/>
        </w:rPr>
        <w:t>zes the amendment as a clarification of ambiguity, the proposed rule change would materially narrow existing procedural protections recognized by Arizona courts and relied upon by litigants and trial courts statewide.</w:t>
      </w:r>
    </w:p>
    <w:p w14:paraId="579D2387" w14:textId="41532662" w:rsidR="003B0EEB" w:rsidRDefault="003B0EEB" w:rsidP="005171A1">
      <w:pPr>
        <w:widowControl/>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Arizona has long recognized that when the State seeks increased punishment based on additional factual allegations, court</w:t>
      </w:r>
      <w:r w:rsidR="00972C0A">
        <w:rPr>
          <w:rFonts w:ascii="Times New Roman" w:hAnsi="Times New Roman" w:cs="Times New Roman"/>
          <w:sz w:val="26"/>
          <w:szCs w:val="26"/>
        </w:rPr>
        <w:t>s</w:t>
      </w:r>
      <w:r>
        <w:rPr>
          <w:rFonts w:ascii="Times New Roman" w:hAnsi="Times New Roman" w:cs="Times New Roman"/>
          <w:sz w:val="26"/>
          <w:szCs w:val="26"/>
        </w:rPr>
        <w:t xml:space="preserve"> retain an important supervisory role in ensuring those allegations are legally sufficient. The current version of Rule 13.5 reflects that principle. The proposed amendment would remove that safeguard and instead permit sentence-enhancing allegations to be imposed solely through unilateral prosecutorial notice without meaningful </w:t>
      </w:r>
      <w:r w:rsidR="007B61AA">
        <w:rPr>
          <w:rFonts w:ascii="Times New Roman" w:hAnsi="Times New Roman" w:cs="Times New Roman"/>
          <w:sz w:val="26"/>
          <w:szCs w:val="26"/>
        </w:rPr>
        <w:t>judicial</w:t>
      </w:r>
      <w:r>
        <w:rPr>
          <w:rFonts w:ascii="Times New Roman" w:hAnsi="Times New Roman" w:cs="Times New Roman"/>
          <w:sz w:val="26"/>
          <w:szCs w:val="26"/>
        </w:rPr>
        <w:t xml:space="preserve"> review before trial.</w:t>
      </w:r>
    </w:p>
    <w:p w14:paraId="48C05D83" w14:textId="4A6A9313" w:rsidR="00E236D1" w:rsidRDefault="003B0EEB" w:rsidP="006F62B1">
      <w:pPr>
        <w:pStyle w:val="ListParagraph"/>
        <w:numPr>
          <w:ilvl w:val="0"/>
          <w:numId w:val="1"/>
        </w:numPr>
        <w:spacing w:line="240" w:lineRule="auto"/>
        <w:jc w:val="both"/>
        <w:rPr>
          <w:rFonts w:ascii="Times New Roman" w:hAnsi="Times New Roman" w:cs="Times New Roman"/>
          <w:b/>
          <w:bCs/>
          <w:sz w:val="26"/>
          <w:szCs w:val="26"/>
        </w:rPr>
      </w:pPr>
      <w:r w:rsidRPr="003B0EEB">
        <w:rPr>
          <w:rFonts w:ascii="Times New Roman" w:hAnsi="Times New Roman" w:cs="Times New Roman"/>
          <w:b/>
          <w:bCs/>
          <w:sz w:val="26"/>
          <w:szCs w:val="26"/>
        </w:rPr>
        <w:t>Rule 13.5 reflects Arizona’s deliberate choice to provide judicial oversight of punishment-enhancing allegations.</w:t>
      </w:r>
    </w:p>
    <w:p w14:paraId="0870E183" w14:textId="2DF4459C" w:rsidR="00B62233" w:rsidRDefault="00B62233" w:rsidP="00B62233">
      <w:pPr>
        <w:pStyle w:val="NormalWeb"/>
        <w:spacing w:line="480" w:lineRule="auto"/>
        <w:ind w:firstLine="720"/>
        <w:contextualSpacing/>
        <w:jc w:val="both"/>
        <w:rPr>
          <w:sz w:val="26"/>
          <w:szCs w:val="26"/>
        </w:rPr>
      </w:pPr>
      <w:r w:rsidRPr="00B62233">
        <w:rPr>
          <w:sz w:val="26"/>
          <w:szCs w:val="26"/>
        </w:rPr>
        <w:t xml:space="preserve">The Petition repeatedly characterizes the protections recognized in </w:t>
      </w:r>
      <w:r w:rsidRPr="00040187">
        <w:rPr>
          <w:i/>
          <w:iCs/>
          <w:sz w:val="26"/>
          <w:szCs w:val="26"/>
        </w:rPr>
        <w:t>Chronis v. Steinle</w:t>
      </w:r>
      <w:r w:rsidRPr="00B62233">
        <w:rPr>
          <w:sz w:val="26"/>
          <w:szCs w:val="26"/>
        </w:rPr>
        <w:t xml:space="preserve">, 220 Ariz. 559 (2009), as unique to capital cases and merely incidental to the 2002 amendments adopted in response to </w:t>
      </w:r>
      <w:proofErr w:type="spellStart"/>
      <w:r w:rsidRPr="00B62233">
        <w:rPr>
          <w:i/>
          <w:iCs/>
          <w:sz w:val="26"/>
          <w:szCs w:val="26"/>
        </w:rPr>
        <w:t>Apprendi</w:t>
      </w:r>
      <w:proofErr w:type="spellEnd"/>
      <w:r w:rsidRPr="00B62233">
        <w:rPr>
          <w:i/>
          <w:iCs/>
          <w:sz w:val="26"/>
          <w:szCs w:val="26"/>
        </w:rPr>
        <w:t xml:space="preserve"> v. New Jersey</w:t>
      </w:r>
      <w:r w:rsidRPr="00B62233">
        <w:rPr>
          <w:sz w:val="26"/>
          <w:szCs w:val="26"/>
        </w:rPr>
        <w:t xml:space="preserve"> and </w:t>
      </w:r>
      <w:r w:rsidRPr="00B62233">
        <w:rPr>
          <w:i/>
          <w:iCs/>
          <w:sz w:val="26"/>
          <w:szCs w:val="26"/>
        </w:rPr>
        <w:t>Ring v. Arizona</w:t>
      </w:r>
      <w:r w:rsidRPr="00B62233">
        <w:rPr>
          <w:sz w:val="26"/>
          <w:szCs w:val="26"/>
        </w:rPr>
        <w:t>.</w:t>
      </w:r>
      <w:r w:rsidR="002F3F52">
        <w:rPr>
          <w:sz w:val="26"/>
          <w:szCs w:val="26"/>
        </w:rPr>
        <w:t xml:space="preserve"> </w:t>
      </w:r>
      <w:r w:rsidRPr="00B62233">
        <w:rPr>
          <w:sz w:val="26"/>
          <w:szCs w:val="26"/>
        </w:rPr>
        <w:t>But the history of Rule 13.5 demonstrates that Arizona deliberately created procedural</w:t>
      </w:r>
      <w:r>
        <w:rPr>
          <w:sz w:val="26"/>
          <w:szCs w:val="26"/>
        </w:rPr>
        <w:t xml:space="preserve"> </w:t>
      </w:r>
      <w:r w:rsidRPr="00B62233">
        <w:rPr>
          <w:sz w:val="26"/>
          <w:szCs w:val="26"/>
        </w:rPr>
        <w:t xml:space="preserve">mechanisms </w:t>
      </w:r>
      <w:r w:rsidRPr="00B62233">
        <w:rPr>
          <w:sz w:val="26"/>
          <w:szCs w:val="26"/>
        </w:rPr>
        <w:lastRenderedPageBreak/>
        <w:t>permitting judicial review of aggravating allegations after those decisions fundamentally altered sentencing procedures.</w:t>
      </w:r>
    </w:p>
    <w:p w14:paraId="7D4322E3" w14:textId="3C142F9F" w:rsidR="00B62233" w:rsidRDefault="00B62233" w:rsidP="00B62233">
      <w:pPr>
        <w:pStyle w:val="NormalWeb"/>
        <w:spacing w:line="480" w:lineRule="auto"/>
        <w:ind w:firstLine="720"/>
        <w:contextualSpacing/>
        <w:jc w:val="both"/>
        <w:rPr>
          <w:sz w:val="26"/>
          <w:szCs w:val="26"/>
        </w:rPr>
      </w:pPr>
      <w:r w:rsidRPr="00B62233">
        <w:rPr>
          <w:sz w:val="26"/>
          <w:szCs w:val="26"/>
        </w:rPr>
        <w:t xml:space="preserve">The 2002 rule petition acknowledged that “the changes mandated by </w:t>
      </w:r>
      <w:proofErr w:type="spellStart"/>
      <w:r w:rsidRPr="00B62233">
        <w:rPr>
          <w:i/>
          <w:iCs/>
          <w:sz w:val="26"/>
          <w:szCs w:val="26"/>
        </w:rPr>
        <w:t>Apprendi</w:t>
      </w:r>
      <w:proofErr w:type="spellEnd"/>
      <w:r w:rsidRPr="00B62233">
        <w:rPr>
          <w:sz w:val="26"/>
          <w:szCs w:val="26"/>
        </w:rPr>
        <w:t xml:space="preserve"> will apply in non-capital sentencing cases as well” and recognized that there were “sentencing allegations that now must be presented to the jury.”</w:t>
      </w:r>
      <w:r>
        <w:rPr>
          <w:sz w:val="26"/>
          <w:szCs w:val="26"/>
        </w:rPr>
        <w:t xml:space="preserve"> </w:t>
      </w:r>
      <w:r w:rsidR="00316011">
        <w:rPr>
          <w:sz w:val="26"/>
          <w:szCs w:val="26"/>
        </w:rPr>
        <w:t xml:space="preserve">(Petition’s Attachment B at </w:t>
      </w:r>
      <w:r w:rsidR="00432A91">
        <w:rPr>
          <w:sz w:val="26"/>
          <w:szCs w:val="26"/>
        </w:rPr>
        <w:t>3</w:t>
      </w:r>
      <w:r w:rsidR="00316011">
        <w:rPr>
          <w:sz w:val="26"/>
          <w:szCs w:val="26"/>
        </w:rPr>
        <w:t>)</w:t>
      </w:r>
      <w:r w:rsidR="008F0B5F">
        <w:rPr>
          <w:sz w:val="26"/>
          <w:szCs w:val="26"/>
        </w:rPr>
        <w:t xml:space="preserve">. The Petition further explained </w:t>
      </w:r>
      <w:r w:rsidR="00495D05">
        <w:rPr>
          <w:sz w:val="26"/>
          <w:szCs w:val="26"/>
        </w:rPr>
        <w:t xml:space="preserve">that “the prosecutor must add such allegations within the time limits of Rule 16.”  </w:t>
      </w:r>
      <w:r w:rsidR="008A5B25">
        <w:rPr>
          <w:sz w:val="26"/>
          <w:szCs w:val="26"/>
        </w:rPr>
        <w:t>(</w:t>
      </w:r>
      <w:r w:rsidR="008A5B25" w:rsidRPr="008A5B25">
        <w:rPr>
          <w:i/>
          <w:iCs/>
          <w:sz w:val="26"/>
          <w:szCs w:val="26"/>
        </w:rPr>
        <w:t>Id</w:t>
      </w:r>
      <w:r w:rsidR="008A5B25">
        <w:rPr>
          <w:sz w:val="26"/>
          <w:szCs w:val="26"/>
        </w:rPr>
        <w:t xml:space="preserve">. at </w:t>
      </w:r>
      <w:r w:rsidR="00432A91">
        <w:rPr>
          <w:sz w:val="26"/>
          <w:szCs w:val="26"/>
        </w:rPr>
        <w:t>4</w:t>
      </w:r>
      <w:r w:rsidR="008A5B25">
        <w:rPr>
          <w:sz w:val="26"/>
          <w:szCs w:val="26"/>
        </w:rPr>
        <w:t>)</w:t>
      </w:r>
      <w:r w:rsidR="00495D05">
        <w:rPr>
          <w:sz w:val="26"/>
          <w:szCs w:val="26"/>
        </w:rPr>
        <w:t>.</w:t>
      </w:r>
    </w:p>
    <w:p w14:paraId="0943702F" w14:textId="6D73A88C" w:rsidR="00495D05" w:rsidRDefault="00495D05" w:rsidP="00B62233">
      <w:pPr>
        <w:pStyle w:val="NormalWeb"/>
        <w:spacing w:line="480" w:lineRule="auto"/>
        <w:ind w:firstLine="720"/>
        <w:contextualSpacing/>
        <w:jc w:val="both"/>
        <w:rPr>
          <w:sz w:val="26"/>
          <w:szCs w:val="26"/>
        </w:rPr>
      </w:pPr>
      <w:r>
        <w:rPr>
          <w:sz w:val="26"/>
          <w:szCs w:val="26"/>
        </w:rPr>
        <w:t xml:space="preserve">Importantly, the petition expressly contemplated judicial review of aggravating allegations before trial, explaining the proposed rule “will allow the defendant to request a determination of probable cause before trial if the defense deems it appropriate.” </w:t>
      </w:r>
      <w:r w:rsidR="00AE4660">
        <w:rPr>
          <w:sz w:val="26"/>
          <w:szCs w:val="26"/>
        </w:rPr>
        <w:t>(</w:t>
      </w:r>
      <w:r w:rsidR="00AE4660" w:rsidRPr="00AE4660">
        <w:rPr>
          <w:i/>
          <w:iCs/>
          <w:sz w:val="26"/>
          <w:szCs w:val="26"/>
        </w:rPr>
        <w:t>Id</w:t>
      </w:r>
      <w:r w:rsidR="00AE4660">
        <w:rPr>
          <w:sz w:val="26"/>
          <w:szCs w:val="26"/>
        </w:rPr>
        <w:t xml:space="preserve">. at </w:t>
      </w:r>
      <w:r w:rsidR="00432A91">
        <w:rPr>
          <w:sz w:val="26"/>
          <w:szCs w:val="26"/>
        </w:rPr>
        <w:t>8</w:t>
      </w:r>
      <w:r w:rsidR="00AE4660">
        <w:rPr>
          <w:sz w:val="26"/>
          <w:szCs w:val="26"/>
        </w:rPr>
        <w:t>)</w:t>
      </w:r>
      <w:r>
        <w:rPr>
          <w:sz w:val="26"/>
          <w:szCs w:val="26"/>
        </w:rPr>
        <w:t xml:space="preserve">.  Although the Petition now attempts to characterize this protection </w:t>
      </w:r>
      <w:r w:rsidR="00341F1E">
        <w:rPr>
          <w:sz w:val="26"/>
          <w:szCs w:val="26"/>
        </w:rPr>
        <w:t xml:space="preserve">as uniquely capital in nature, the Arizona Supreme Court ultimately adopted materially identical challenge language in both Rule 13.5(a) and Rule 13.5(c).  </w:t>
      </w:r>
    </w:p>
    <w:p w14:paraId="424F5165" w14:textId="0915EF22" w:rsidR="009519C1" w:rsidRPr="009519C1" w:rsidRDefault="009519C1" w:rsidP="009519C1">
      <w:pPr>
        <w:pStyle w:val="NormalWeb"/>
        <w:spacing w:line="480" w:lineRule="auto"/>
        <w:ind w:firstLine="720"/>
        <w:contextualSpacing/>
        <w:jc w:val="both"/>
        <w:rPr>
          <w:sz w:val="26"/>
          <w:szCs w:val="26"/>
        </w:rPr>
      </w:pPr>
      <w:r w:rsidRPr="009519C1">
        <w:rPr>
          <w:sz w:val="26"/>
          <w:szCs w:val="26"/>
        </w:rPr>
        <w:t xml:space="preserve">The Court of Appeals’ interpretation in </w:t>
      </w:r>
      <w:r w:rsidRPr="009519C1">
        <w:rPr>
          <w:i/>
          <w:iCs/>
          <w:sz w:val="26"/>
          <w:szCs w:val="26"/>
        </w:rPr>
        <w:t>Navarro-Figueroa</w:t>
      </w:r>
      <w:r w:rsidRPr="009519C1">
        <w:rPr>
          <w:sz w:val="26"/>
          <w:szCs w:val="26"/>
        </w:rPr>
        <w:t xml:space="preserve"> therefore did not arise from an unreasonable reading of the rule.</w:t>
      </w:r>
      <w:r>
        <w:rPr>
          <w:sz w:val="26"/>
          <w:szCs w:val="26"/>
        </w:rPr>
        <w:t xml:space="preserve"> </w:t>
      </w:r>
      <w:r w:rsidRPr="009519C1">
        <w:rPr>
          <w:sz w:val="26"/>
          <w:szCs w:val="26"/>
        </w:rPr>
        <w:t>Rather, it arose from the text th</w:t>
      </w:r>
      <w:r w:rsidR="009123BC">
        <w:rPr>
          <w:sz w:val="26"/>
          <w:szCs w:val="26"/>
        </w:rPr>
        <w:t>is</w:t>
      </w:r>
      <w:r w:rsidRPr="009519C1">
        <w:rPr>
          <w:sz w:val="26"/>
          <w:szCs w:val="26"/>
        </w:rPr>
        <w:t xml:space="preserve"> Court adopted. The current Petition asks this Court not merely to clarify the rule, but to materially narrow the procedural protections afforded under its existing language.</w:t>
      </w:r>
    </w:p>
    <w:p w14:paraId="051D9E7B" w14:textId="7D2ADEDD" w:rsidR="006F62B1" w:rsidRPr="003C4F30" w:rsidRDefault="009519C1" w:rsidP="00733A9A">
      <w:pPr>
        <w:pStyle w:val="NormalWeb"/>
        <w:spacing w:before="0" w:beforeAutospacing="0" w:after="0" w:afterAutospacing="0" w:line="480" w:lineRule="auto"/>
        <w:ind w:firstLine="720"/>
        <w:contextualSpacing/>
        <w:jc w:val="both"/>
        <w:rPr>
          <w:sz w:val="26"/>
          <w:szCs w:val="26"/>
        </w:rPr>
      </w:pPr>
      <w:r w:rsidRPr="009519C1">
        <w:rPr>
          <w:sz w:val="26"/>
          <w:szCs w:val="26"/>
        </w:rPr>
        <w:t>Arizona courts have repeatedly recognized that Arizona procedural rules may provide protections beyond federal constitutional minimums. The fact that a procedural safeguard is not constitutionally compelled does not diminish its importance to the fair administration of criminal proceedings.</w:t>
      </w:r>
      <w:r w:rsidR="009123BC">
        <w:rPr>
          <w:sz w:val="26"/>
          <w:szCs w:val="26"/>
        </w:rPr>
        <w:t xml:space="preserve"> </w:t>
      </w:r>
      <w:r w:rsidRPr="009519C1">
        <w:rPr>
          <w:sz w:val="26"/>
          <w:szCs w:val="26"/>
        </w:rPr>
        <w:t xml:space="preserve">Indeed, </w:t>
      </w:r>
      <w:r w:rsidRPr="009123BC">
        <w:rPr>
          <w:i/>
          <w:iCs/>
          <w:sz w:val="26"/>
          <w:szCs w:val="26"/>
        </w:rPr>
        <w:t>Chronis</w:t>
      </w:r>
      <w:r w:rsidRPr="009519C1">
        <w:rPr>
          <w:sz w:val="26"/>
          <w:szCs w:val="26"/>
        </w:rPr>
        <w:t xml:space="preserve"> itself reflects this Court’s exercise of its supervisory and procedural rulemaking authority to ensure meaningful judicial </w:t>
      </w:r>
      <w:r w:rsidRPr="009519C1">
        <w:rPr>
          <w:sz w:val="26"/>
          <w:szCs w:val="26"/>
        </w:rPr>
        <w:lastRenderedPageBreak/>
        <w:t>review of allegations that substantially alter punishment exposure.</w:t>
      </w:r>
      <w:r w:rsidR="00DD188E">
        <w:rPr>
          <w:sz w:val="26"/>
          <w:szCs w:val="26"/>
        </w:rPr>
        <w:t xml:space="preserve"> In doing so, the court specifically observed that “[a]</w:t>
      </w:r>
      <w:proofErr w:type="spellStart"/>
      <w:r w:rsidR="00DD188E">
        <w:rPr>
          <w:sz w:val="26"/>
          <w:szCs w:val="26"/>
        </w:rPr>
        <w:t>ffording</w:t>
      </w:r>
      <w:proofErr w:type="spellEnd"/>
      <w:r w:rsidR="00DD188E">
        <w:rPr>
          <w:sz w:val="26"/>
          <w:szCs w:val="26"/>
        </w:rPr>
        <w:t xml:space="preserve"> a right to a pro</w:t>
      </w:r>
      <w:r w:rsidR="00CA2D21">
        <w:rPr>
          <w:sz w:val="26"/>
          <w:szCs w:val="26"/>
        </w:rPr>
        <w:t xml:space="preserve">bable cause determination on aggravators does not infringe on any substantive power of prosecutors.”  </w:t>
      </w:r>
      <w:r w:rsidR="00CA2D21" w:rsidRPr="00411D44">
        <w:rPr>
          <w:i/>
          <w:iCs/>
          <w:sz w:val="26"/>
          <w:szCs w:val="26"/>
        </w:rPr>
        <w:t>Chronis</w:t>
      </w:r>
      <w:r w:rsidR="00CA2D21">
        <w:rPr>
          <w:sz w:val="26"/>
          <w:szCs w:val="26"/>
        </w:rPr>
        <w:t xml:space="preserve">, 220 Ariz. at ¶ 15.  </w:t>
      </w:r>
      <w:r w:rsidR="000273D6">
        <w:rPr>
          <w:sz w:val="26"/>
          <w:szCs w:val="26"/>
        </w:rPr>
        <w:t>The current version of Rule 13.5 therefore reflects a deliberate procedural choice to preserve limited judicial oversight of punishment-enhancing allegations, not an accidental or isolated carryover applicable only in capital litigation.</w:t>
      </w:r>
    </w:p>
    <w:p w14:paraId="098EDB87" w14:textId="286024F2" w:rsidR="003B0EEB" w:rsidRDefault="003B0EEB" w:rsidP="00733A9A">
      <w:pPr>
        <w:pStyle w:val="ListParagraph"/>
        <w:numPr>
          <w:ilvl w:val="0"/>
          <w:numId w:val="1"/>
        </w:numPr>
        <w:spacing w:after="0" w:line="240" w:lineRule="auto"/>
        <w:jc w:val="both"/>
        <w:rPr>
          <w:rFonts w:ascii="Times New Roman" w:hAnsi="Times New Roman" w:cs="Times New Roman"/>
          <w:b/>
          <w:bCs/>
          <w:sz w:val="26"/>
          <w:szCs w:val="26"/>
        </w:rPr>
      </w:pPr>
      <w:r w:rsidRPr="00E236D1">
        <w:rPr>
          <w:rFonts w:ascii="Times New Roman" w:hAnsi="Times New Roman" w:cs="Times New Roman"/>
          <w:b/>
          <w:bCs/>
          <w:sz w:val="26"/>
          <w:szCs w:val="26"/>
        </w:rPr>
        <w:t>The proposed amendment would eliminate meaningful review of allegations that increase punishment exposure.</w:t>
      </w:r>
    </w:p>
    <w:p w14:paraId="262B8C8A" w14:textId="70B4C6CF" w:rsidR="003C4F30" w:rsidRPr="003C4F30" w:rsidRDefault="003C4F30" w:rsidP="003C4F30">
      <w:pPr>
        <w:pStyle w:val="NormalWeb"/>
        <w:spacing w:line="480" w:lineRule="auto"/>
        <w:ind w:firstLine="720"/>
        <w:contextualSpacing/>
        <w:jc w:val="both"/>
        <w:rPr>
          <w:sz w:val="26"/>
          <w:szCs w:val="26"/>
        </w:rPr>
      </w:pPr>
      <w:r w:rsidRPr="003C4F30">
        <w:rPr>
          <w:sz w:val="26"/>
          <w:szCs w:val="26"/>
        </w:rPr>
        <w:t>The proposed amendment would permit the State to allege noncapital aggravating circumstances without any meaningful opportunity for pretrial judicial review of their legal sufficiency. As a practical matter, those allegations frequently and substantially affect sentencing exposure, plea negotiations, detention decisions, trial strategy, and the overall trajectory of a criminal case.</w:t>
      </w:r>
    </w:p>
    <w:p w14:paraId="6FBB5A87" w14:textId="623BDD39" w:rsidR="003C4F30" w:rsidRPr="003C4F30" w:rsidRDefault="003C4F30" w:rsidP="003C4F30">
      <w:pPr>
        <w:pStyle w:val="NormalWeb"/>
        <w:spacing w:line="480" w:lineRule="auto"/>
        <w:ind w:firstLine="720"/>
        <w:contextualSpacing/>
        <w:jc w:val="both"/>
        <w:rPr>
          <w:sz w:val="26"/>
          <w:szCs w:val="26"/>
        </w:rPr>
      </w:pPr>
      <w:r w:rsidRPr="003C4F30">
        <w:rPr>
          <w:sz w:val="26"/>
          <w:szCs w:val="26"/>
        </w:rPr>
        <w:t>Although noncapital aggravators do not expose defendants to the death penalty, they nevertheless dramatically increase sentencing ranges and substantially alter the risks attendant to proceeding to trial.</w:t>
      </w:r>
      <w:r w:rsidR="00EB763A">
        <w:rPr>
          <w:sz w:val="26"/>
          <w:szCs w:val="26"/>
        </w:rPr>
        <w:t xml:space="preserve"> </w:t>
      </w:r>
      <w:r w:rsidRPr="003C4F30">
        <w:rPr>
          <w:sz w:val="26"/>
          <w:szCs w:val="26"/>
        </w:rPr>
        <w:t xml:space="preserve">The State’s proposal would allow such allegations to be asserted solely through prosecutorial </w:t>
      </w:r>
      <w:proofErr w:type="gramStart"/>
      <w:r w:rsidRPr="003C4F30">
        <w:rPr>
          <w:sz w:val="26"/>
          <w:szCs w:val="26"/>
        </w:rPr>
        <w:t>notice,</w:t>
      </w:r>
      <w:proofErr w:type="gramEnd"/>
      <w:r w:rsidRPr="003C4F30">
        <w:rPr>
          <w:sz w:val="26"/>
          <w:szCs w:val="26"/>
        </w:rPr>
        <w:t xml:space="preserve"> without any neutral determination that sufficient evidence exists to support them.</w:t>
      </w:r>
    </w:p>
    <w:p w14:paraId="018CE96E" w14:textId="2DA2AE72" w:rsidR="003C4F30" w:rsidRPr="003C4F30" w:rsidRDefault="003C4F30" w:rsidP="003C4F30">
      <w:pPr>
        <w:pStyle w:val="NormalWeb"/>
        <w:spacing w:line="480" w:lineRule="auto"/>
        <w:ind w:firstLine="720"/>
        <w:contextualSpacing/>
        <w:jc w:val="both"/>
        <w:rPr>
          <w:sz w:val="26"/>
          <w:szCs w:val="26"/>
        </w:rPr>
      </w:pPr>
      <w:r w:rsidRPr="003C4F30">
        <w:rPr>
          <w:sz w:val="26"/>
          <w:szCs w:val="26"/>
        </w:rPr>
        <w:t xml:space="preserve">The judicial review contemplated by the existing rule serves an important gatekeeping function. </w:t>
      </w:r>
      <w:r w:rsidR="00752480">
        <w:rPr>
          <w:sz w:val="26"/>
          <w:szCs w:val="26"/>
        </w:rPr>
        <w:t xml:space="preserve"> </w:t>
      </w:r>
      <w:r w:rsidRPr="003C4F30">
        <w:rPr>
          <w:sz w:val="26"/>
          <w:szCs w:val="26"/>
        </w:rPr>
        <w:t>It promotes fairness, discourages unsupported allegations, narrows issues for trial, and reinforces confidence in sentencing proceedings.</w:t>
      </w:r>
      <w:r w:rsidR="00752480">
        <w:rPr>
          <w:sz w:val="26"/>
          <w:szCs w:val="26"/>
        </w:rPr>
        <w:t xml:space="preserve"> </w:t>
      </w:r>
      <w:r w:rsidRPr="003C4F30">
        <w:rPr>
          <w:sz w:val="26"/>
          <w:szCs w:val="26"/>
        </w:rPr>
        <w:t xml:space="preserve">Eliminating that </w:t>
      </w:r>
      <w:r w:rsidRPr="003C4F30">
        <w:rPr>
          <w:sz w:val="26"/>
          <w:szCs w:val="26"/>
        </w:rPr>
        <w:lastRenderedPageBreak/>
        <w:t>review would concentrate sole authority over punishment-enhancing allegations in the prosecuting agency itself.</w:t>
      </w:r>
    </w:p>
    <w:p w14:paraId="15E3C228" w14:textId="3D016A6C" w:rsidR="003C4F30" w:rsidRPr="003C4F30" w:rsidRDefault="003C4F30" w:rsidP="00733A9A">
      <w:pPr>
        <w:pStyle w:val="NormalWeb"/>
        <w:spacing w:before="0" w:beforeAutospacing="0" w:after="0" w:afterAutospacing="0" w:line="480" w:lineRule="auto"/>
        <w:ind w:firstLine="720"/>
        <w:contextualSpacing/>
        <w:jc w:val="both"/>
        <w:rPr>
          <w:sz w:val="26"/>
          <w:szCs w:val="26"/>
        </w:rPr>
      </w:pPr>
      <w:r w:rsidRPr="003C4F30">
        <w:rPr>
          <w:sz w:val="26"/>
          <w:szCs w:val="26"/>
        </w:rPr>
        <w:t>The issue is not whether aggravators are formally labeled “elements.” Rather, the issue is whether allegations that increase punishment exposure should be subject to meaningful judicial oversight before they are presented to a jury or used to increase sentencing exposure.</w:t>
      </w:r>
      <w:r w:rsidR="00BA3167">
        <w:rPr>
          <w:sz w:val="26"/>
          <w:szCs w:val="26"/>
        </w:rPr>
        <w:t xml:space="preserve"> </w:t>
      </w:r>
      <w:r w:rsidR="009E67EB">
        <w:rPr>
          <w:sz w:val="26"/>
          <w:szCs w:val="26"/>
        </w:rPr>
        <w:t xml:space="preserve">Modern sentencing jurisprudence increasingly requires juries to determine facts that expose defendants to greater punishment. Arizona law generally does not permit felony allegations to proceed absent some neutral determination of probable cause before trial. The proposed amendment would create an unusual procedural gap in which allegations capable of substantially increasing punishment may be submitted to juries and used to alter sentencing exposure without any prior judicial screening for evidentiary sufficiency.  </w:t>
      </w:r>
    </w:p>
    <w:p w14:paraId="4B662413" w14:textId="2DD8B881" w:rsidR="003B0EEB" w:rsidRDefault="007639F2" w:rsidP="00733A9A">
      <w:pPr>
        <w:pStyle w:val="ListParagraph"/>
        <w:numPr>
          <w:ilvl w:val="0"/>
          <w:numId w:val="1"/>
        </w:numPr>
        <w:spacing w:after="0" w:line="480" w:lineRule="auto"/>
        <w:jc w:val="both"/>
        <w:rPr>
          <w:rFonts w:ascii="Times New Roman" w:hAnsi="Times New Roman" w:cs="Times New Roman"/>
          <w:b/>
          <w:bCs/>
          <w:sz w:val="26"/>
          <w:szCs w:val="26"/>
        </w:rPr>
      </w:pPr>
      <w:proofErr w:type="gramStart"/>
      <w:r>
        <w:rPr>
          <w:rFonts w:ascii="Times New Roman" w:hAnsi="Times New Roman" w:cs="Times New Roman"/>
          <w:b/>
          <w:bCs/>
          <w:sz w:val="26"/>
          <w:szCs w:val="26"/>
        </w:rPr>
        <w:t xml:space="preserve">The </w:t>
      </w:r>
      <w:r w:rsidRPr="00E236D1">
        <w:rPr>
          <w:rFonts w:ascii="Times New Roman" w:hAnsi="Times New Roman" w:cs="Times New Roman"/>
          <w:b/>
          <w:bCs/>
          <w:sz w:val="26"/>
          <w:szCs w:val="26"/>
        </w:rPr>
        <w:t>Petition</w:t>
      </w:r>
      <w:proofErr w:type="gramEnd"/>
      <w:r w:rsidR="003B0EEB" w:rsidRPr="00E236D1">
        <w:rPr>
          <w:rFonts w:ascii="Times New Roman" w:hAnsi="Times New Roman" w:cs="Times New Roman"/>
          <w:b/>
          <w:bCs/>
          <w:sz w:val="26"/>
          <w:szCs w:val="26"/>
        </w:rPr>
        <w:t xml:space="preserve"> overstates the administrative burden of probable cause review.</w:t>
      </w:r>
    </w:p>
    <w:p w14:paraId="634B5ED3" w14:textId="16BF2B29" w:rsidR="0031535C" w:rsidRPr="0031535C" w:rsidRDefault="0031535C" w:rsidP="009B0A08">
      <w:pPr>
        <w:pStyle w:val="NormalWeb"/>
        <w:spacing w:before="0" w:beforeAutospacing="0" w:after="0" w:afterAutospacing="0" w:line="480" w:lineRule="auto"/>
        <w:ind w:firstLine="720"/>
        <w:contextualSpacing/>
        <w:jc w:val="both"/>
        <w:rPr>
          <w:sz w:val="26"/>
          <w:szCs w:val="26"/>
        </w:rPr>
      </w:pPr>
      <w:r w:rsidRPr="0031535C">
        <w:rPr>
          <w:sz w:val="26"/>
          <w:szCs w:val="26"/>
        </w:rPr>
        <w:t>The Petition repeatedly suggests that permitting challenges to aggravating allegations will result in burdensome statewide “</w:t>
      </w:r>
      <w:proofErr w:type="gramStart"/>
      <w:r w:rsidRPr="0031535C">
        <w:rPr>
          <w:sz w:val="26"/>
          <w:szCs w:val="26"/>
        </w:rPr>
        <w:t>mini-trials</w:t>
      </w:r>
      <w:proofErr w:type="gramEnd"/>
      <w:r w:rsidRPr="0031535C">
        <w:rPr>
          <w:sz w:val="26"/>
          <w:szCs w:val="26"/>
        </w:rPr>
        <w:t xml:space="preserve">.” </w:t>
      </w:r>
      <w:r>
        <w:rPr>
          <w:sz w:val="26"/>
          <w:szCs w:val="26"/>
        </w:rPr>
        <w:t xml:space="preserve"> </w:t>
      </w:r>
      <w:r w:rsidRPr="0031535C">
        <w:rPr>
          <w:sz w:val="26"/>
          <w:szCs w:val="26"/>
        </w:rPr>
        <w:t>That concern is overstated.</w:t>
      </w:r>
      <w:r w:rsidR="006C53F8">
        <w:rPr>
          <w:sz w:val="26"/>
          <w:szCs w:val="26"/>
        </w:rPr>
        <w:t xml:space="preserve">  </w:t>
      </w:r>
      <w:r w:rsidR="00A81861">
        <w:rPr>
          <w:sz w:val="26"/>
          <w:szCs w:val="26"/>
        </w:rPr>
        <w:t xml:space="preserve">Trial courts in Maricopa County have been conducting pretrial </w:t>
      </w:r>
      <w:r w:rsidR="00A81861" w:rsidRPr="00BC37F8">
        <w:rPr>
          <w:sz w:val="26"/>
          <w:szCs w:val="26"/>
        </w:rPr>
        <w:t>probable cause</w:t>
      </w:r>
      <w:r w:rsidR="00A81861">
        <w:rPr>
          <w:sz w:val="26"/>
          <w:szCs w:val="26"/>
        </w:rPr>
        <w:t xml:space="preserve"> hearings on non-capital aggravators since the </w:t>
      </w:r>
      <w:r w:rsidR="00A81861" w:rsidRPr="00630751">
        <w:rPr>
          <w:i/>
          <w:iCs/>
          <w:sz w:val="26"/>
          <w:szCs w:val="26"/>
        </w:rPr>
        <w:t>Chronis</w:t>
      </w:r>
      <w:r w:rsidR="00A81861">
        <w:rPr>
          <w:sz w:val="26"/>
          <w:szCs w:val="26"/>
        </w:rPr>
        <w:t xml:space="preserve"> decision issued in 2009.</w:t>
      </w:r>
    </w:p>
    <w:p w14:paraId="0B973F67" w14:textId="7A5C927D" w:rsidR="0031535C" w:rsidRPr="0031535C" w:rsidRDefault="0031535C" w:rsidP="0031535C">
      <w:pPr>
        <w:pStyle w:val="NormalWeb"/>
        <w:spacing w:line="480" w:lineRule="auto"/>
        <w:ind w:firstLine="720"/>
        <w:contextualSpacing/>
        <w:jc w:val="both"/>
        <w:rPr>
          <w:sz w:val="26"/>
          <w:szCs w:val="26"/>
        </w:rPr>
      </w:pPr>
      <w:r w:rsidRPr="0031535C">
        <w:rPr>
          <w:sz w:val="26"/>
          <w:szCs w:val="26"/>
        </w:rPr>
        <w:t>Arizona trial courts routinely conduct limited evidentiary hearings addressing suppression issues, competency, voluntariness, Rule 20 motions, and other matters requiring preliminary judicial determinations. A probable-cause review of aggravating allegations is a familiar and manageable judicial function.</w:t>
      </w:r>
    </w:p>
    <w:p w14:paraId="44680B4A" w14:textId="0292B90C" w:rsidR="0031535C" w:rsidRPr="0031535C" w:rsidRDefault="0031535C" w:rsidP="00DF70D5">
      <w:pPr>
        <w:pStyle w:val="NormalWeb"/>
        <w:spacing w:before="0" w:beforeAutospacing="0" w:after="0" w:afterAutospacing="0" w:line="480" w:lineRule="auto"/>
        <w:ind w:firstLine="720"/>
        <w:contextualSpacing/>
        <w:jc w:val="both"/>
        <w:rPr>
          <w:sz w:val="26"/>
          <w:szCs w:val="26"/>
        </w:rPr>
      </w:pPr>
      <w:r w:rsidRPr="0031535C">
        <w:rPr>
          <w:sz w:val="26"/>
          <w:szCs w:val="26"/>
        </w:rPr>
        <w:lastRenderedPageBreak/>
        <w:t xml:space="preserve">Moreover, where aggravating allegations are supported by competent evidence, probable-cause review should be straightforward. </w:t>
      </w:r>
      <w:r w:rsidR="007C54A3">
        <w:rPr>
          <w:sz w:val="26"/>
          <w:szCs w:val="26"/>
        </w:rPr>
        <w:t>And</w:t>
      </w:r>
      <w:r w:rsidR="00672046">
        <w:rPr>
          <w:sz w:val="26"/>
          <w:szCs w:val="26"/>
        </w:rPr>
        <w:t xml:space="preserve">, in those circumstances, as is existing practice, defense counsel is unlikely to even request such a review. </w:t>
      </w:r>
      <w:r w:rsidRPr="0031535C">
        <w:rPr>
          <w:sz w:val="26"/>
          <w:szCs w:val="26"/>
        </w:rPr>
        <w:t>The existence of judicial review does not create unnecessary delay; rather, it promotes efficient litigation by identifying unsupported allegations before trial and clarifying the issues genuinely in dispute.</w:t>
      </w:r>
    </w:p>
    <w:p w14:paraId="62AF5BE6" w14:textId="51D1AEEA" w:rsidR="00467D85" w:rsidRPr="00E3296C" w:rsidRDefault="0031535C" w:rsidP="008642EF">
      <w:pPr>
        <w:pStyle w:val="NormalWeb"/>
        <w:spacing w:before="0" w:beforeAutospacing="0" w:after="0" w:afterAutospacing="0" w:line="480" w:lineRule="auto"/>
        <w:ind w:firstLine="720"/>
        <w:contextualSpacing/>
        <w:jc w:val="both"/>
        <w:rPr>
          <w:sz w:val="26"/>
          <w:szCs w:val="26"/>
        </w:rPr>
      </w:pPr>
      <w:proofErr w:type="gramStart"/>
      <w:r w:rsidRPr="0031535C">
        <w:rPr>
          <w:sz w:val="26"/>
          <w:szCs w:val="26"/>
        </w:rPr>
        <w:t>The Petition</w:t>
      </w:r>
      <w:proofErr w:type="gramEnd"/>
      <w:r w:rsidRPr="0031535C">
        <w:rPr>
          <w:sz w:val="26"/>
          <w:szCs w:val="26"/>
        </w:rPr>
        <w:t xml:space="preserve"> also overlooks the practical reality that aggravating allegations often exert significant pressure on plea negotiations and sentencing exposure long before trial occurs.</w:t>
      </w:r>
      <w:r w:rsidR="00E3296C">
        <w:rPr>
          <w:sz w:val="26"/>
          <w:szCs w:val="26"/>
        </w:rPr>
        <w:t xml:space="preserve"> </w:t>
      </w:r>
      <w:r w:rsidRPr="0031535C">
        <w:rPr>
          <w:sz w:val="26"/>
          <w:szCs w:val="26"/>
        </w:rPr>
        <w:t>Judicial review therefore serves an important reliability function at a critical stage of the proceedings.</w:t>
      </w:r>
    </w:p>
    <w:p w14:paraId="4599DD45" w14:textId="6BFF9160" w:rsidR="00E3296C" w:rsidRDefault="003B0EEB" w:rsidP="00DF70D5">
      <w:pPr>
        <w:pStyle w:val="ListParagraph"/>
        <w:numPr>
          <w:ilvl w:val="0"/>
          <w:numId w:val="1"/>
        </w:numPr>
        <w:spacing w:after="0" w:line="240" w:lineRule="auto"/>
        <w:jc w:val="both"/>
        <w:rPr>
          <w:rFonts w:ascii="Times New Roman" w:hAnsi="Times New Roman" w:cs="Times New Roman"/>
          <w:b/>
          <w:bCs/>
          <w:sz w:val="26"/>
          <w:szCs w:val="26"/>
        </w:rPr>
      </w:pPr>
      <w:r w:rsidRPr="00E236D1">
        <w:rPr>
          <w:rFonts w:ascii="Times New Roman" w:hAnsi="Times New Roman" w:cs="Times New Roman"/>
          <w:b/>
          <w:bCs/>
          <w:sz w:val="26"/>
          <w:szCs w:val="26"/>
        </w:rPr>
        <w:t>If the Court elects to amend Rule 13.5, it should recognize the amendment narrows existing procedural protections rather than merely clarifying ambiguity.</w:t>
      </w:r>
    </w:p>
    <w:p w14:paraId="29852DD1" w14:textId="77777777" w:rsidR="00E3296C" w:rsidRPr="00E3296C" w:rsidRDefault="00E3296C" w:rsidP="00DF70D5">
      <w:pPr>
        <w:ind w:left="720"/>
        <w:contextualSpacing/>
        <w:jc w:val="both"/>
        <w:rPr>
          <w:rFonts w:ascii="Times New Roman" w:hAnsi="Times New Roman" w:cs="Times New Roman"/>
          <w:b/>
          <w:bCs/>
          <w:sz w:val="26"/>
          <w:szCs w:val="26"/>
        </w:rPr>
      </w:pPr>
    </w:p>
    <w:p w14:paraId="506D2087" w14:textId="5C72A084" w:rsidR="00DF70D5" w:rsidRPr="00DF70D5" w:rsidRDefault="00DF70D5" w:rsidP="00214998">
      <w:pPr>
        <w:pStyle w:val="NormalWeb"/>
        <w:spacing w:before="0" w:beforeAutospacing="0" w:after="0" w:afterAutospacing="0" w:line="480" w:lineRule="auto"/>
        <w:ind w:firstLine="720"/>
        <w:contextualSpacing/>
        <w:jc w:val="both"/>
        <w:rPr>
          <w:sz w:val="26"/>
          <w:szCs w:val="26"/>
        </w:rPr>
      </w:pPr>
      <w:r w:rsidRPr="00DF70D5">
        <w:rPr>
          <w:sz w:val="26"/>
          <w:szCs w:val="26"/>
        </w:rPr>
        <w:t>The Petition repeatedly characterizes the proposed amendment as a clarification of the rule’s intended meaning.</w:t>
      </w:r>
      <w:r w:rsidR="00214998">
        <w:rPr>
          <w:sz w:val="26"/>
          <w:szCs w:val="26"/>
        </w:rPr>
        <w:t xml:space="preserve"> </w:t>
      </w:r>
      <w:r w:rsidRPr="00DF70D5">
        <w:rPr>
          <w:sz w:val="26"/>
          <w:szCs w:val="26"/>
        </w:rPr>
        <w:t xml:space="preserve">Respectfully, the current text of Rule 13.5 reasonably </w:t>
      </w:r>
      <w:r w:rsidR="00D60FF4" w:rsidRPr="00DF70D5">
        <w:rPr>
          <w:sz w:val="26"/>
          <w:szCs w:val="26"/>
        </w:rPr>
        <w:t>support</w:t>
      </w:r>
      <w:r w:rsidR="00D60FF4">
        <w:rPr>
          <w:sz w:val="26"/>
          <w:szCs w:val="26"/>
        </w:rPr>
        <w:t>s</w:t>
      </w:r>
      <w:r w:rsidR="00D60FF4" w:rsidRPr="00DF70D5">
        <w:rPr>
          <w:sz w:val="26"/>
          <w:szCs w:val="26"/>
        </w:rPr>
        <w:t xml:space="preserve"> </w:t>
      </w:r>
      <w:r w:rsidRPr="00DF70D5">
        <w:rPr>
          <w:sz w:val="26"/>
          <w:szCs w:val="26"/>
        </w:rPr>
        <w:t xml:space="preserve">the interpretation adopted in </w:t>
      </w:r>
      <w:r w:rsidRPr="00214998">
        <w:rPr>
          <w:i/>
          <w:iCs/>
          <w:sz w:val="26"/>
          <w:szCs w:val="26"/>
        </w:rPr>
        <w:t>Navarro-Figueroa</w:t>
      </w:r>
      <w:r w:rsidRPr="00DF70D5">
        <w:rPr>
          <w:sz w:val="26"/>
          <w:szCs w:val="26"/>
        </w:rPr>
        <w:t>.</w:t>
      </w:r>
    </w:p>
    <w:p w14:paraId="0585AFF1" w14:textId="659B1433" w:rsidR="00DF70D5" w:rsidRPr="00DF70D5" w:rsidRDefault="00DF70D5" w:rsidP="00214998">
      <w:pPr>
        <w:pStyle w:val="NormalWeb"/>
        <w:spacing w:line="480" w:lineRule="auto"/>
        <w:ind w:firstLine="720"/>
        <w:contextualSpacing/>
        <w:jc w:val="both"/>
        <w:rPr>
          <w:sz w:val="26"/>
          <w:szCs w:val="26"/>
        </w:rPr>
      </w:pPr>
      <w:r w:rsidRPr="00DF70D5">
        <w:rPr>
          <w:sz w:val="26"/>
          <w:szCs w:val="26"/>
        </w:rPr>
        <w:t>The relevant provisions were adopted simultaneously, in response to the same constitutional developments, and contain materially identical challenge language. Trial courts and litigants have relied on those provisions for years. The proposed amendment therefore represents a substantive narrowing of procedural protections rather than a mere clarification of previously settled meaning.</w:t>
      </w:r>
    </w:p>
    <w:p w14:paraId="64758DF1" w14:textId="4C2408E7" w:rsidR="00095E3E" w:rsidRDefault="00DF70D5" w:rsidP="00630751">
      <w:pPr>
        <w:pStyle w:val="NormalWeb"/>
        <w:spacing w:line="480" w:lineRule="auto"/>
        <w:ind w:firstLine="720"/>
        <w:contextualSpacing/>
        <w:jc w:val="both"/>
        <w:rPr>
          <w:sz w:val="26"/>
          <w:szCs w:val="26"/>
        </w:rPr>
      </w:pPr>
      <w:r w:rsidRPr="00DF70D5">
        <w:rPr>
          <w:sz w:val="26"/>
          <w:szCs w:val="26"/>
        </w:rPr>
        <w:lastRenderedPageBreak/>
        <w:t>Recognizing that reality is important to preserving confidence in the rulemaking process and acknowledging the practical significance of the rights currently afforded under Rule 13.5.</w:t>
      </w:r>
    </w:p>
    <w:p w14:paraId="0D7BF40E" w14:textId="77777777" w:rsidR="00900BC9" w:rsidRPr="00616189" w:rsidRDefault="00900BC9" w:rsidP="00900BC9">
      <w:pPr>
        <w:pStyle w:val="NormalWeb"/>
        <w:jc w:val="center"/>
        <w:rPr>
          <w:b/>
          <w:bCs/>
          <w:sz w:val="26"/>
          <w:szCs w:val="26"/>
        </w:rPr>
      </w:pPr>
      <w:r w:rsidRPr="00616189">
        <w:rPr>
          <w:b/>
          <w:bCs/>
          <w:sz w:val="26"/>
          <w:szCs w:val="26"/>
        </w:rPr>
        <w:t>CONCLUSION</w:t>
      </w:r>
    </w:p>
    <w:p w14:paraId="59F1D23D" w14:textId="0962D64D" w:rsidR="005171A1" w:rsidRDefault="00900BC9" w:rsidP="00616189">
      <w:pPr>
        <w:pStyle w:val="NormalWeb"/>
        <w:spacing w:line="480" w:lineRule="auto"/>
        <w:ind w:firstLine="720"/>
        <w:contextualSpacing/>
        <w:jc w:val="both"/>
        <w:rPr>
          <w:sz w:val="26"/>
          <w:szCs w:val="26"/>
        </w:rPr>
      </w:pPr>
      <w:r w:rsidRPr="00616189">
        <w:rPr>
          <w:sz w:val="26"/>
          <w:szCs w:val="26"/>
        </w:rPr>
        <w:t>For the foregoing reasons, the Maricopa County indigent defense agencies respectfully oppose the Petition to Amend Rule 13.5. The existing rule preserves an important mechanism for judicial oversight of punishment-enhancing allegations, promotes fairness and reliability in criminal proceedings, and reflects Arizona’s longstanding commitment to meaningful procedural safeguards in sentencing litigation.</w:t>
      </w:r>
    </w:p>
    <w:p w14:paraId="06276D74" w14:textId="77777777" w:rsidR="00616189" w:rsidRPr="00616189" w:rsidRDefault="00616189" w:rsidP="00630751">
      <w:pPr>
        <w:pStyle w:val="NormalWeb"/>
        <w:spacing w:line="480" w:lineRule="auto"/>
        <w:contextualSpacing/>
        <w:jc w:val="both"/>
        <w:rPr>
          <w:sz w:val="26"/>
          <w:szCs w:val="26"/>
        </w:rPr>
      </w:pPr>
    </w:p>
    <w:p w14:paraId="2D1B6419" w14:textId="4223E071" w:rsidR="005171A1" w:rsidRDefault="005171A1" w:rsidP="005171A1">
      <w:pPr>
        <w:widowControl/>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Respectfully submitted this </w:t>
      </w:r>
      <w:r w:rsidR="00CE049C">
        <w:rPr>
          <w:rFonts w:ascii="Times New Roman" w:hAnsi="Times New Roman" w:cs="Times New Roman"/>
          <w:sz w:val="26"/>
          <w:szCs w:val="26"/>
        </w:rPr>
        <w:t>13</w:t>
      </w:r>
      <w:r w:rsidR="00CE049C" w:rsidRPr="00CE049C">
        <w:rPr>
          <w:rFonts w:ascii="Times New Roman" w:hAnsi="Times New Roman" w:cs="Times New Roman"/>
          <w:sz w:val="26"/>
          <w:szCs w:val="26"/>
          <w:vertAlign w:val="superscript"/>
        </w:rPr>
        <w:t>th</w:t>
      </w:r>
      <w:r w:rsidR="00CE049C">
        <w:rPr>
          <w:rFonts w:ascii="Times New Roman" w:hAnsi="Times New Roman" w:cs="Times New Roman"/>
          <w:sz w:val="26"/>
          <w:szCs w:val="26"/>
        </w:rPr>
        <w:t xml:space="preserve"> </w:t>
      </w:r>
      <w:r>
        <w:rPr>
          <w:rFonts w:ascii="Times New Roman" w:hAnsi="Times New Roman" w:cs="Times New Roman"/>
          <w:sz w:val="26"/>
          <w:szCs w:val="26"/>
        </w:rPr>
        <w:t xml:space="preserve">day of </w:t>
      </w:r>
      <w:proofErr w:type="gramStart"/>
      <w:r w:rsidR="00630751">
        <w:rPr>
          <w:rFonts w:ascii="Times New Roman" w:hAnsi="Times New Roman" w:cs="Times New Roman"/>
          <w:sz w:val="26"/>
          <w:szCs w:val="26"/>
        </w:rPr>
        <w:t>June</w:t>
      </w:r>
      <w:r>
        <w:rPr>
          <w:rFonts w:ascii="Times New Roman" w:hAnsi="Times New Roman" w:cs="Times New Roman"/>
          <w:sz w:val="26"/>
          <w:szCs w:val="26"/>
        </w:rPr>
        <w:t>,</w:t>
      </w:r>
      <w:proofErr w:type="gramEnd"/>
      <w:r>
        <w:rPr>
          <w:rFonts w:ascii="Times New Roman" w:hAnsi="Times New Roman" w:cs="Times New Roman"/>
          <w:sz w:val="26"/>
          <w:szCs w:val="26"/>
        </w:rPr>
        <w:t xml:space="preserve"> 2026.</w:t>
      </w:r>
    </w:p>
    <w:p w14:paraId="0EDBE92E" w14:textId="77777777" w:rsidR="005171A1" w:rsidRDefault="005171A1" w:rsidP="005171A1">
      <w:pPr>
        <w:widowControl/>
        <w:jc w:val="both"/>
        <w:rPr>
          <w:rFonts w:ascii="Times New Roman" w:hAnsi="Times New Roman" w:cs="Times New Roman"/>
          <w:sz w:val="26"/>
          <w:szCs w:val="26"/>
        </w:rPr>
      </w:pPr>
    </w:p>
    <w:p w14:paraId="258D31E0" w14:textId="77777777" w:rsidR="005171A1" w:rsidRDefault="005171A1" w:rsidP="005171A1">
      <w:pPr>
        <w:widowControl/>
        <w:jc w:val="both"/>
        <w:rPr>
          <w:rFonts w:ascii="Times New Roman" w:hAnsi="Times New Roman" w:cs="Times New Roman"/>
          <w:sz w:val="26"/>
          <w:szCs w:val="26"/>
        </w:rPr>
      </w:pPr>
    </w:p>
    <w:p w14:paraId="34BF1FA3" w14:textId="54E2119D" w:rsidR="005171A1" w:rsidRDefault="005171A1" w:rsidP="005171A1">
      <w:pPr>
        <w:widowControl/>
        <w:jc w:val="both"/>
        <w:rPr>
          <w:rFonts w:ascii="Times New Roman" w:hAnsi="Times New Roman" w:cs="Times New Roman"/>
          <w:sz w:val="26"/>
          <w:szCs w:val="26"/>
          <w:u w:val="single"/>
        </w:rPr>
      </w:pPr>
      <w:r>
        <w:rPr>
          <w:rFonts w:ascii="Times New Roman" w:hAnsi="Times New Roman" w:cs="Times New Roman"/>
          <w:sz w:val="26"/>
          <w:szCs w:val="26"/>
        </w:rPr>
        <w:t>By</w:t>
      </w:r>
      <w:r>
        <w:rPr>
          <w:rFonts w:ascii="Times New Roman" w:hAnsi="Times New Roman" w:cs="Times New Roman"/>
          <w:sz w:val="26"/>
          <w:szCs w:val="26"/>
          <w:u w:val="single"/>
        </w:rPr>
        <w:tab/>
        <w:t xml:space="preserve">/s/ </w:t>
      </w:r>
      <w:r>
        <w:rPr>
          <w:rFonts w:ascii="Times New Roman" w:hAnsi="Times New Roman" w:cs="Times New Roman"/>
          <w:i/>
          <w:iCs/>
          <w:sz w:val="26"/>
          <w:szCs w:val="26"/>
          <w:u w:val="single"/>
        </w:rPr>
        <w:t>Rosemarie Peña-Lynch</w:t>
      </w:r>
      <w:r w:rsidR="0040159E">
        <w:rPr>
          <w:rFonts w:ascii="Times New Roman" w:hAnsi="Times New Roman" w:cs="Times New Roman"/>
          <w:i/>
          <w:iCs/>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rPr>
        <w:tab/>
        <w:t>By</w:t>
      </w:r>
      <w:r>
        <w:rPr>
          <w:rFonts w:ascii="Times New Roman" w:hAnsi="Times New Roman" w:cs="Times New Roman"/>
          <w:sz w:val="26"/>
          <w:szCs w:val="26"/>
          <w:u w:val="single"/>
        </w:rPr>
        <w:tab/>
        <w:t xml:space="preserve">/s/ </w:t>
      </w:r>
      <w:r>
        <w:rPr>
          <w:rFonts w:ascii="Times New Roman" w:hAnsi="Times New Roman" w:cs="Times New Roman"/>
          <w:i/>
          <w:iCs/>
          <w:sz w:val="26"/>
          <w:szCs w:val="26"/>
          <w:u w:val="single"/>
        </w:rPr>
        <w:t>Lina G. Garcia</w:t>
      </w:r>
      <w:r>
        <w:rPr>
          <w:rFonts w:ascii="Times New Roman" w:hAnsi="Times New Roman" w:cs="Times New Roman"/>
          <w:sz w:val="26"/>
          <w:szCs w:val="26"/>
          <w:u w:val="single"/>
        </w:rPr>
        <w:tab/>
      </w:r>
      <w:r>
        <w:rPr>
          <w:rFonts w:ascii="Times New Roman" w:hAnsi="Times New Roman" w:cs="Times New Roman"/>
          <w:sz w:val="26"/>
          <w:szCs w:val="26"/>
          <w:u w:val="single"/>
        </w:rPr>
        <w:tab/>
      </w:r>
    </w:p>
    <w:p w14:paraId="232D9213" w14:textId="77777777" w:rsidR="005171A1" w:rsidRDefault="005171A1" w:rsidP="005171A1">
      <w:pPr>
        <w:widowControl/>
        <w:tabs>
          <w:tab w:val="left" w:pos="5400"/>
        </w:tabs>
        <w:ind w:firstLine="360"/>
        <w:jc w:val="both"/>
        <w:rPr>
          <w:rFonts w:ascii="Times New Roman" w:hAnsi="Times New Roman" w:cs="Times New Roman"/>
          <w:b/>
          <w:bCs/>
          <w:sz w:val="26"/>
          <w:szCs w:val="26"/>
        </w:rPr>
      </w:pPr>
      <w:r>
        <w:rPr>
          <w:rFonts w:ascii="Times New Roman" w:hAnsi="Times New Roman" w:cs="Times New Roman"/>
          <w:sz w:val="26"/>
          <w:szCs w:val="26"/>
        </w:rPr>
        <w:t>Rosemarie Peña-Lynch, Director</w:t>
      </w:r>
      <w:r>
        <w:rPr>
          <w:rFonts w:ascii="Times New Roman" w:hAnsi="Times New Roman" w:cs="Times New Roman"/>
          <w:sz w:val="26"/>
          <w:szCs w:val="26"/>
        </w:rPr>
        <w:tab/>
        <w:t>Lina G. Garcia, Director</w:t>
      </w:r>
    </w:p>
    <w:p w14:paraId="26499EEC" w14:textId="77777777" w:rsidR="005171A1" w:rsidRDefault="005171A1" w:rsidP="005171A1">
      <w:pPr>
        <w:widowControl/>
        <w:tabs>
          <w:tab w:val="left" w:pos="5400"/>
        </w:tabs>
        <w:ind w:firstLine="360"/>
        <w:jc w:val="both"/>
        <w:rPr>
          <w:rFonts w:ascii="Times New Roman" w:hAnsi="Times New Roman" w:cs="Times New Roman"/>
          <w:sz w:val="26"/>
          <w:szCs w:val="26"/>
        </w:rPr>
      </w:pPr>
      <w:proofErr w:type="spellStart"/>
      <w:r>
        <w:rPr>
          <w:rFonts w:ascii="Times New Roman" w:hAnsi="Times New Roman" w:cs="Times New Roman"/>
          <w:sz w:val="26"/>
          <w:szCs w:val="26"/>
        </w:rPr>
        <w:t>Mcpa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Cnty</w:t>
      </w:r>
      <w:proofErr w:type="spellEnd"/>
      <w:r>
        <w:rPr>
          <w:rFonts w:ascii="Times New Roman" w:hAnsi="Times New Roman" w:cs="Times New Roman"/>
          <w:sz w:val="26"/>
          <w:szCs w:val="26"/>
        </w:rPr>
        <w:t>. Ofc. of Public Defense Svc.</w:t>
      </w:r>
      <w:r>
        <w:rPr>
          <w:rFonts w:ascii="Times New Roman" w:hAnsi="Times New Roman" w:cs="Times New Roman"/>
          <w:sz w:val="26"/>
          <w:szCs w:val="26"/>
        </w:rPr>
        <w:tab/>
      </w:r>
      <w:proofErr w:type="spellStart"/>
      <w:r>
        <w:rPr>
          <w:rFonts w:ascii="Times New Roman" w:hAnsi="Times New Roman" w:cs="Times New Roman"/>
          <w:sz w:val="26"/>
          <w:szCs w:val="26"/>
        </w:rPr>
        <w:t>Mcpa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Cnty</w:t>
      </w:r>
      <w:proofErr w:type="spellEnd"/>
      <w:r>
        <w:rPr>
          <w:rFonts w:ascii="Times New Roman" w:hAnsi="Times New Roman" w:cs="Times New Roman"/>
          <w:sz w:val="26"/>
          <w:szCs w:val="26"/>
        </w:rPr>
        <w:t>. Public Defenders Ofc.</w:t>
      </w:r>
    </w:p>
    <w:p w14:paraId="71628A2A" w14:textId="77777777" w:rsidR="005171A1" w:rsidRDefault="005171A1" w:rsidP="005171A1">
      <w:pPr>
        <w:widowControl/>
        <w:jc w:val="both"/>
        <w:rPr>
          <w:rFonts w:ascii="Times New Roman" w:hAnsi="Times New Roman" w:cs="Times New Roman"/>
          <w:sz w:val="26"/>
          <w:szCs w:val="26"/>
        </w:rPr>
      </w:pPr>
    </w:p>
    <w:p w14:paraId="6C5B6391" w14:textId="77777777" w:rsidR="005171A1" w:rsidRDefault="005171A1" w:rsidP="005171A1">
      <w:pPr>
        <w:widowControl/>
        <w:jc w:val="both"/>
        <w:rPr>
          <w:rFonts w:ascii="Times New Roman" w:hAnsi="Times New Roman" w:cs="Times New Roman"/>
          <w:sz w:val="26"/>
          <w:szCs w:val="26"/>
        </w:rPr>
      </w:pPr>
    </w:p>
    <w:p w14:paraId="0907AAB0" w14:textId="77777777" w:rsidR="005171A1" w:rsidRDefault="005171A1" w:rsidP="005171A1">
      <w:pPr>
        <w:widowControl/>
        <w:jc w:val="both"/>
        <w:rPr>
          <w:rFonts w:ascii="Times New Roman" w:hAnsi="Times New Roman" w:cs="Times New Roman"/>
          <w:sz w:val="26"/>
          <w:szCs w:val="26"/>
          <w:u w:val="single"/>
        </w:rPr>
      </w:pPr>
      <w:r>
        <w:rPr>
          <w:rFonts w:ascii="Times New Roman" w:hAnsi="Times New Roman" w:cs="Times New Roman"/>
          <w:sz w:val="26"/>
          <w:szCs w:val="26"/>
        </w:rPr>
        <w:t>By</w:t>
      </w:r>
      <w:r>
        <w:rPr>
          <w:rFonts w:ascii="Times New Roman" w:hAnsi="Times New Roman" w:cs="Times New Roman"/>
          <w:sz w:val="26"/>
          <w:szCs w:val="26"/>
          <w:u w:val="single"/>
        </w:rPr>
        <w:tab/>
        <w:t xml:space="preserve">/s/ </w:t>
      </w:r>
      <w:r>
        <w:rPr>
          <w:rFonts w:ascii="Times New Roman" w:hAnsi="Times New Roman" w:cs="Times New Roman"/>
          <w:i/>
          <w:iCs/>
          <w:sz w:val="26"/>
          <w:szCs w:val="26"/>
          <w:u w:val="single"/>
        </w:rPr>
        <w:t>Steve Koestner</w:t>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rPr>
        <w:tab/>
      </w:r>
      <w:proofErr w:type="gramStart"/>
      <w:r>
        <w:rPr>
          <w:rFonts w:ascii="Times New Roman" w:hAnsi="Times New Roman" w:cs="Times New Roman"/>
          <w:sz w:val="26"/>
          <w:szCs w:val="26"/>
        </w:rPr>
        <w:t>By</w:t>
      </w:r>
      <w:proofErr w:type="gramEnd"/>
      <w:r>
        <w:rPr>
          <w:rFonts w:ascii="Times New Roman" w:hAnsi="Times New Roman" w:cs="Times New Roman"/>
          <w:sz w:val="26"/>
          <w:szCs w:val="26"/>
          <w:u w:val="single"/>
        </w:rPr>
        <w:tab/>
        <w:t xml:space="preserve">/s/ </w:t>
      </w:r>
      <w:r>
        <w:rPr>
          <w:rFonts w:ascii="Times New Roman" w:hAnsi="Times New Roman" w:cs="Times New Roman"/>
          <w:i/>
          <w:iCs/>
          <w:sz w:val="26"/>
          <w:szCs w:val="26"/>
          <w:u w:val="single"/>
        </w:rPr>
        <w:t>Shannon Burns</w:t>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p>
    <w:p w14:paraId="062BE2E7" w14:textId="77777777" w:rsidR="005171A1" w:rsidRDefault="005171A1" w:rsidP="005171A1">
      <w:pPr>
        <w:widowControl/>
        <w:tabs>
          <w:tab w:val="left" w:pos="5400"/>
        </w:tabs>
        <w:ind w:firstLine="360"/>
        <w:jc w:val="both"/>
        <w:rPr>
          <w:rFonts w:ascii="Times New Roman" w:hAnsi="Times New Roman" w:cs="Times New Roman"/>
          <w:b/>
          <w:bCs/>
          <w:sz w:val="26"/>
          <w:szCs w:val="26"/>
        </w:rPr>
      </w:pPr>
      <w:r>
        <w:rPr>
          <w:rFonts w:ascii="Times New Roman" w:hAnsi="Times New Roman" w:cs="Times New Roman"/>
          <w:sz w:val="26"/>
          <w:szCs w:val="26"/>
        </w:rPr>
        <w:t>Steve Koestner, Director</w:t>
      </w:r>
      <w:r>
        <w:rPr>
          <w:rFonts w:ascii="Times New Roman" w:hAnsi="Times New Roman" w:cs="Times New Roman"/>
          <w:sz w:val="26"/>
          <w:szCs w:val="26"/>
        </w:rPr>
        <w:tab/>
        <w:t>Shannon Burns, Director</w:t>
      </w:r>
    </w:p>
    <w:p w14:paraId="5CAC7DE6" w14:textId="77777777" w:rsidR="005171A1" w:rsidRDefault="005171A1" w:rsidP="005171A1">
      <w:pPr>
        <w:widowControl/>
        <w:tabs>
          <w:tab w:val="left" w:pos="5400"/>
        </w:tabs>
        <w:ind w:left="4320" w:right="-1350" w:hanging="3960"/>
        <w:jc w:val="both"/>
        <w:rPr>
          <w:rFonts w:ascii="Times New Roman" w:hAnsi="Times New Roman" w:cs="Times New Roman"/>
          <w:sz w:val="26"/>
          <w:szCs w:val="26"/>
        </w:rPr>
      </w:pPr>
      <w:proofErr w:type="spellStart"/>
      <w:r>
        <w:rPr>
          <w:rFonts w:ascii="Times New Roman" w:hAnsi="Times New Roman" w:cs="Times New Roman"/>
          <w:sz w:val="26"/>
          <w:szCs w:val="26"/>
        </w:rPr>
        <w:t>Mcpa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Cnty</w:t>
      </w:r>
      <w:proofErr w:type="spellEnd"/>
      <w:r>
        <w:rPr>
          <w:rFonts w:ascii="Times New Roman" w:hAnsi="Times New Roman" w:cs="Times New Roman"/>
          <w:sz w:val="26"/>
          <w:szCs w:val="26"/>
        </w:rPr>
        <w:t>. Ofc. of Legal Advocate</w:t>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Mcpa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Cnty</w:t>
      </w:r>
      <w:proofErr w:type="spellEnd"/>
      <w:r>
        <w:rPr>
          <w:rFonts w:ascii="Times New Roman" w:hAnsi="Times New Roman" w:cs="Times New Roman"/>
          <w:sz w:val="26"/>
          <w:szCs w:val="26"/>
        </w:rPr>
        <w:t xml:space="preserve">. Ofc. of Public Advocate </w:t>
      </w:r>
    </w:p>
    <w:p w14:paraId="6066D36B" w14:textId="77777777" w:rsidR="005171A1" w:rsidRDefault="005171A1" w:rsidP="005171A1">
      <w:pPr>
        <w:widowControl/>
        <w:jc w:val="both"/>
        <w:rPr>
          <w:rFonts w:ascii="Times New Roman" w:hAnsi="Times New Roman" w:cs="Times New Roman"/>
          <w:sz w:val="26"/>
          <w:szCs w:val="26"/>
        </w:rPr>
      </w:pPr>
    </w:p>
    <w:p w14:paraId="63C99B2B" w14:textId="77777777" w:rsidR="005171A1" w:rsidRDefault="005171A1" w:rsidP="005171A1">
      <w:pPr>
        <w:widowControl/>
        <w:jc w:val="both"/>
        <w:rPr>
          <w:rFonts w:ascii="Times New Roman" w:hAnsi="Times New Roman" w:cs="Times New Roman"/>
          <w:sz w:val="26"/>
          <w:szCs w:val="26"/>
        </w:rPr>
      </w:pPr>
    </w:p>
    <w:p w14:paraId="48529EA8" w14:textId="59734E40" w:rsidR="005171A1" w:rsidRDefault="005171A1" w:rsidP="005171A1">
      <w:pPr>
        <w:widowControl/>
        <w:jc w:val="both"/>
        <w:rPr>
          <w:rFonts w:ascii="Times New Roman" w:hAnsi="Times New Roman" w:cs="Times New Roman"/>
          <w:sz w:val="26"/>
          <w:szCs w:val="26"/>
          <w:u w:val="single"/>
        </w:rPr>
      </w:pPr>
      <w:r>
        <w:rPr>
          <w:rFonts w:ascii="Times New Roman" w:hAnsi="Times New Roman" w:cs="Times New Roman"/>
          <w:sz w:val="26"/>
          <w:szCs w:val="26"/>
        </w:rPr>
        <w:t>By</w:t>
      </w:r>
      <w:r>
        <w:rPr>
          <w:rFonts w:ascii="Times New Roman" w:hAnsi="Times New Roman" w:cs="Times New Roman"/>
          <w:sz w:val="26"/>
          <w:szCs w:val="26"/>
          <w:u w:val="single"/>
        </w:rPr>
        <w:tab/>
        <w:t xml:space="preserve">/s/ </w:t>
      </w:r>
      <w:r>
        <w:rPr>
          <w:rFonts w:ascii="Times New Roman" w:hAnsi="Times New Roman" w:cs="Times New Roman"/>
          <w:i/>
          <w:iCs/>
          <w:sz w:val="26"/>
          <w:szCs w:val="26"/>
          <w:u w:val="single"/>
        </w:rPr>
        <w:t>Michael C. Jones</w:t>
      </w:r>
      <w:r w:rsidR="0040159E">
        <w:rPr>
          <w:rFonts w:ascii="Times New Roman" w:hAnsi="Times New Roman" w:cs="Times New Roman"/>
          <w:i/>
          <w:iCs/>
          <w:sz w:val="26"/>
          <w:szCs w:val="26"/>
          <w:u w:val="single"/>
        </w:rPr>
        <w:tab/>
      </w:r>
      <w:r w:rsidR="0040159E">
        <w:rPr>
          <w:rFonts w:ascii="Times New Roman" w:hAnsi="Times New Roman" w:cs="Times New Roman"/>
          <w:i/>
          <w:iCs/>
          <w:sz w:val="26"/>
          <w:szCs w:val="26"/>
          <w:u w:val="single"/>
        </w:rPr>
        <w:tab/>
      </w:r>
      <w:r>
        <w:rPr>
          <w:rFonts w:ascii="Times New Roman" w:hAnsi="Times New Roman" w:cs="Times New Roman"/>
          <w:sz w:val="26"/>
          <w:szCs w:val="26"/>
          <w:u w:val="single"/>
        </w:rPr>
        <w:tab/>
      </w:r>
    </w:p>
    <w:p w14:paraId="249D6B4C" w14:textId="77777777" w:rsidR="005171A1" w:rsidRDefault="005171A1" w:rsidP="005171A1">
      <w:pPr>
        <w:widowControl/>
        <w:ind w:firstLine="360"/>
        <w:jc w:val="both"/>
        <w:rPr>
          <w:rFonts w:ascii="Times New Roman" w:hAnsi="Times New Roman" w:cs="Times New Roman"/>
          <w:sz w:val="26"/>
          <w:szCs w:val="26"/>
        </w:rPr>
      </w:pPr>
      <w:r>
        <w:rPr>
          <w:rFonts w:ascii="Times New Roman" w:hAnsi="Times New Roman" w:cs="Times New Roman"/>
          <w:sz w:val="26"/>
          <w:szCs w:val="26"/>
        </w:rPr>
        <w:t>Michael C. Jones, Director</w:t>
      </w:r>
    </w:p>
    <w:p w14:paraId="462A1B66" w14:textId="77777777" w:rsidR="005171A1" w:rsidRDefault="005171A1" w:rsidP="005171A1">
      <w:pPr>
        <w:widowControl/>
        <w:ind w:firstLine="360"/>
        <w:jc w:val="both"/>
        <w:rPr>
          <w:rFonts w:ascii="Times New Roman" w:hAnsi="Times New Roman" w:cs="Times New Roman"/>
          <w:sz w:val="26"/>
          <w:szCs w:val="26"/>
        </w:rPr>
      </w:pPr>
      <w:proofErr w:type="spellStart"/>
      <w:r>
        <w:rPr>
          <w:rFonts w:ascii="Times New Roman" w:hAnsi="Times New Roman" w:cs="Times New Roman"/>
          <w:sz w:val="26"/>
          <w:szCs w:val="26"/>
        </w:rPr>
        <w:t>Mcpa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Cnty</w:t>
      </w:r>
      <w:proofErr w:type="spellEnd"/>
      <w:r>
        <w:rPr>
          <w:rFonts w:ascii="Times New Roman" w:hAnsi="Times New Roman" w:cs="Times New Roman"/>
          <w:sz w:val="26"/>
          <w:szCs w:val="26"/>
        </w:rPr>
        <w:t>. Ofc. of Legal Defender</w:t>
      </w:r>
    </w:p>
    <w:p w14:paraId="36DA51A7" w14:textId="77777777" w:rsidR="005171A1" w:rsidRDefault="005171A1"/>
    <w:sectPr w:rsidR="005171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128C" w14:textId="77777777" w:rsidR="004C79CE" w:rsidRDefault="004C79CE" w:rsidP="00950202">
      <w:r>
        <w:separator/>
      </w:r>
    </w:p>
  </w:endnote>
  <w:endnote w:type="continuationSeparator" w:id="0">
    <w:p w14:paraId="734605F8" w14:textId="77777777" w:rsidR="004C79CE" w:rsidRDefault="004C79CE" w:rsidP="0095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4ABD" w14:textId="77777777" w:rsidR="004C79CE" w:rsidRDefault="004C79CE" w:rsidP="00950202">
      <w:r>
        <w:separator/>
      </w:r>
    </w:p>
  </w:footnote>
  <w:footnote w:type="continuationSeparator" w:id="0">
    <w:p w14:paraId="5B885E98" w14:textId="77777777" w:rsidR="004C79CE" w:rsidRDefault="004C79CE" w:rsidP="00950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A767C"/>
    <w:multiLevelType w:val="hybridMultilevel"/>
    <w:tmpl w:val="FBA4825A"/>
    <w:lvl w:ilvl="0" w:tplc="75360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827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A1"/>
    <w:rsid w:val="00010537"/>
    <w:rsid w:val="000273D6"/>
    <w:rsid w:val="00032DD8"/>
    <w:rsid w:val="00032FD1"/>
    <w:rsid w:val="0003301D"/>
    <w:rsid w:val="00034D0D"/>
    <w:rsid w:val="000365E2"/>
    <w:rsid w:val="00040187"/>
    <w:rsid w:val="00040F57"/>
    <w:rsid w:val="000419AF"/>
    <w:rsid w:val="000617E2"/>
    <w:rsid w:val="00066DF5"/>
    <w:rsid w:val="000710DC"/>
    <w:rsid w:val="0007147F"/>
    <w:rsid w:val="0007460B"/>
    <w:rsid w:val="00093726"/>
    <w:rsid w:val="00095E3E"/>
    <w:rsid w:val="000B4C2D"/>
    <w:rsid w:val="000E7910"/>
    <w:rsid w:val="000F2C63"/>
    <w:rsid w:val="000F6288"/>
    <w:rsid w:val="00105100"/>
    <w:rsid w:val="001065C7"/>
    <w:rsid w:val="001127F5"/>
    <w:rsid w:val="00125A0A"/>
    <w:rsid w:val="00132739"/>
    <w:rsid w:val="00136FE7"/>
    <w:rsid w:val="00154150"/>
    <w:rsid w:val="001720A3"/>
    <w:rsid w:val="00175DEB"/>
    <w:rsid w:val="00183309"/>
    <w:rsid w:val="00185897"/>
    <w:rsid w:val="00195A70"/>
    <w:rsid w:val="001B1E3D"/>
    <w:rsid w:val="001B6525"/>
    <w:rsid w:val="001D1E33"/>
    <w:rsid w:val="001F0CCB"/>
    <w:rsid w:val="0020198E"/>
    <w:rsid w:val="00203CA5"/>
    <w:rsid w:val="0021324E"/>
    <w:rsid w:val="00214998"/>
    <w:rsid w:val="00230C38"/>
    <w:rsid w:val="0023131F"/>
    <w:rsid w:val="002341D7"/>
    <w:rsid w:val="002341F1"/>
    <w:rsid w:val="00244F8A"/>
    <w:rsid w:val="00260819"/>
    <w:rsid w:val="00265910"/>
    <w:rsid w:val="00270426"/>
    <w:rsid w:val="0027369E"/>
    <w:rsid w:val="002958E7"/>
    <w:rsid w:val="002A2EE4"/>
    <w:rsid w:val="002D26C6"/>
    <w:rsid w:val="002D5FA1"/>
    <w:rsid w:val="002D701D"/>
    <w:rsid w:val="002F0289"/>
    <w:rsid w:val="002F0B46"/>
    <w:rsid w:val="002F3F52"/>
    <w:rsid w:val="003113D1"/>
    <w:rsid w:val="0031535C"/>
    <w:rsid w:val="00316011"/>
    <w:rsid w:val="00320DA0"/>
    <w:rsid w:val="00324E0B"/>
    <w:rsid w:val="00331032"/>
    <w:rsid w:val="00336B0F"/>
    <w:rsid w:val="0034168A"/>
    <w:rsid w:val="00341F1E"/>
    <w:rsid w:val="00347B9F"/>
    <w:rsid w:val="00352EED"/>
    <w:rsid w:val="0035392E"/>
    <w:rsid w:val="00371AEC"/>
    <w:rsid w:val="00374535"/>
    <w:rsid w:val="003813AC"/>
    <w:rsid w:val="00390471"/>
    <w:rsid w:val="003913DD"/>
    <w:rsid w:val="00396566"/>
    <w:rsid w:val="003A3616"/>
    <w:rsid w:val="003A620E"/>
    <w:rsid w:val="003B06C8"/>
    <w:rsid w:val="003B0EEB"/>
    <w:rsid w:val="003B13EE"/>
    <w:rsid w:val="003B5460"/>
    <w:rsid w:val="003C4F30"/>
    <w:rsid w:val="003C61DF"/>
    <w:rsid w:val="003D0FE9"/>
    <w:rsid w:val="003D62B4"/>
    <w:rsid w:val="003E2160"/>
    <w:rsid w:val="0040159E"/>
    <w:rsid w:val="00411D44"/>
    <w:rsid w:val="00412853"/>
    <w:rsid w:val="0042443E"/>
    <w:rsid w:val="00432A91"/>
    <w:rsid w:val="00447BC8"/>
    <w:rsid w:val="00450A55"/>
    <w:rsid w:val="00467D85"/>
    <w:rsid w:val="00477E91"/>
    <w:rsid w:val="00495D05"/>
    <w:rsid w:val="004B312F"/>
    <w:rsid w:val="004B3E1A"/>
    <w:rsid w:val="004B5985"/>
    <w:rsid w:val="004C2245"/>
    <w:rsid w:val="004C2D72"/>
    <w:rsid w:val="004C79CE"/>
    <w:rsid w:val="004E1BCF"/>
    <w:rsid w:val="004F2C60"/>
    <w:rsid w:val="005044EC"/>
    <w:rsid w:val="00504D1D"/>
    <w:rsid w:val="005171A1"/>
    <w:rsid w:val="005259E9"/>
    <w:rsid w:val="00574A69"/>
    <w:rsid w:val="005765F6"/>
    <w:rsid w:val="0058141B"/>
    <w:rsid w:val="005971FE"/>
    <w:rsid w:val="005A4382"/>
    <w:rsid w:val="005C3491"/>
    <w:rsid w:val="005C4C86"/>
    <w:rsid w:val="005F0D43"/>
    <w:rsid w:val="005F4DB0"/>
    <w:rsid w:val="006111FE"/>
    <w:rsid w:val="00612093"/>
    <w:rsid w:val="00616189"/>
    <w:rsid w:val="00622136"/>
    <w:rsid w:val="00630751"/>
    <w:rsid w:val="00633FD4"/>
    <w:rsid w:val="0064081C"/>
    <w:rsid w:val="00672046"/>
    <w:rsid w:val="006820B0"/>
    <w:rsid w:val="006853C2"/>
    <w:rsid w:val="0069226E"/>
    <w:rsid w:val="006B13B1"/>
    <w:rsid w:val="006C53F8"/>
    <w:rsid w:val="006F054E"/>
    <w:rsid w:val="006F2E51"/>
    <w:rsid w:val="006F62B1"/>
    <w:rsid w:val="007002A5"/>
    <w:rsid w:val="00733A9A"/>
    <w:rsid w:val="00751791"/>
    <w:rsid w:val="00752480"/>
    <w:rsid w:val="00754109"/>
    <w:rsid w:val="007632A2"/>
    <w:rsid w:val="007639F2"/>
    <w:rsid w:val="00781000"/>
    <w:rsid w:val="00787938"/>
    <w:rsid w:val="00787A85"/>
    <w:rsid w:val="007A3DE1"/>
    <w:rsid w:val="007B3798"/>
    <w:rsid w:val="007B61AA"/>
    <w:rsid w:val="007B7E4E"/>
    <w:rsid w:val="007C234E"/>
    <w:rsid w:val="007C54A3"/>
    <w:rsid w:val="007C6309"/>
    <w:rsid w:val="008006EE"/>
    <w:rsid w:val="0080210B"/>
    <w:rsid w:val="008039B7"/>
    <w:rsid w:val="008061F5"/>
    <w:rsid w:val="0082090C"/>
    <w:rsid w:val="0083683C"/>
    <w:rsid w:val="00841904"/>
    <w:rsid w:val="008443F7"/>
    <w:rsid w:val="00860DE7"/>
    <w:rsid w:val="008642EF"/>
    <w:rsid w:val="008827BC"/>
    <w:rsid w:val="008A5B25"/>
    <w:rsid w:val="008B1F7C"/>
    <w:rsid w:val="008B57F5"/>
    <w:rsid w:val="008C4B0E"/>
    <w:rsid w:val="008C72B9"/>
    <w:rsid w:val="008C7B11"/>
    <w:rsid w:val="008E4583"/>
    <w:rsid w:val="008E7FD9"/>
    <w:rsid w:val="008F0B5F"/>
    <w:rsid w:val="00900BC9"/>
    <w:rsid w:val="00901208"/>
    <w:rsid w:val="009123BC"/>
    <w:rsid w:val="0091547D"/>
    <w:rsid w:val="00917B1C"/>
    <w:rsid w:val="0092136F"/>
    <w:rsid w:val="00950202"/>
    <w:rsid w:val="009519C1"/>
    <w:rsid w:val="0095247B"/>
    <w:rsid w:val="00955C96"/>
    <w:rsid w:val="00972C0A"/>
    <w:rsid w:val="00975DA8"/>
    <w:rsid w:val="009913BE"/>
    <w:rsid w:val="009951E0"/>
    <w:rsid w:val="009B0A08"/>
    <w:rsid w:val="009B0B03"/>
    <w:rsid w:val="009D1046"/>
    <w:rsid w:val="009E2250"/>
    <w:rsid w:val="009E5796"/>
    <w:rsid w:val="009E67EB"/>
    <w:rsid w:val="009E7319"/>
    <w:rsid w:val="009F0B33"/>
    <w:rsid w:val="009F3000"/>
    <w:rsid w:val="00A021C9"/>
    <w:rsid w:val="00A04945"/>
    <w:rsid w:val="00A0663B"/>
    <w:rsid w:val="00A179AA"/>
    <w:rsid w:val="00A2306B"/>
    <w:rsid w:val="00A30923"/>
    <w:rsid w:val="00A35104"/>
    <w:rsid w:val="00A35110"/>
    <w:rsid w:val="00A56F22"/>
    <w:rsid w:val="00A7624F"/>
    <w:rsid w:val="00A7798C"/>
    <w:rsid w:val="00A81861"/>
    <w:rsid w:val="00A84DAB"/>
    <w:rsid w:val="00A94745"/>
    <w:rsid w:val="00A95BB4"/>
    <w:rsid w:val="00A95C45"/>
    <w:rsid w:val="00AB3507"/>
    <w:rsid w:val="00AB723D"/>
    <w:rsid w:val="00AD0DD0"/>
    <w:rsid w:val="00AE4660"/>
    <w:rsid w:val="00AF1857"/>
    <w:rsid w:val="00B05F6C"/>
    <w:rsid w:val="00B1197D"/>
    <w:rsid w:val="00B219EE"/>
    <w:rsid w:val="00B24B97"/>
    <w:rsid w:val="00B31951"/>
    <w:rsid w:val="00B52EBA"/>
    <w:rsid w:val="00B55F58"/>
    <w:rsid w:val="00B62233"/>
    <w:rsid w:val="00B82442"/>
    <w:rsid w:val="00B9328D"/>
    <w:rsid w:val="00BA3167"/>
    <w:rsid w:val="00BC37F8"/>
    <w:rsid w:val="00BD0BC0"/>
    <w:rsid w:val="00BD1294"/>
    <w:rsid w:val="00BD5016"/>
    <w:rsid w:val="00BD5986"/>
    <w:rsid w:val="00C1096C"/>
    <w:rsid w:val="00C306F8"/>
    <w:rsid w:val="00C31EDA"/>
    <w:rsid w:val="00C62260"/>
    <w:rsid w:val="00C8604A"/>
    <w:rsid w:val="00C87C17"/>
    <w:rsid w:val="00C952D0"/>
    <w:rsid w:val="00CA1E62"/>
    <w:rsid w:val="00CA2D21"/>
    <w:rsid w:val="00CA4D68"/>
    <w:rsid w:val="00CB5F38"/>
    <w:rsid w:val="00CC0CC2"/>
    <w:rsid w:val="00CC4212"/>
    <w:rsid w:val="00CD4A14"/>
    <w:rsid w:val="00CE049C"/>
    <w:rsid w:val="00D06468"/>
    <w:rsid w:val="00D243B7"/>
    <w:rsid w:val="00D35A2F"/>
    <w:rsid w:val="00D45440"/>
    <w:rsid w:val="00D46EBC"/>
    <w:rsid w:val="00D60FF4"/>
    <w:rsid w:val="00D802FC"/>
    <w:rsid w:val="00D8708F"/>
    <w:rsid w:val="00DA2662"/>
    <w:rsid w:val="00DA44F9"/>
    <w:rsid w:val="00DC26CC"/>
    <w:rsid w:val="00DD188E"/>
    <w:rsid w:val="00DF0EF5"/>
    <w:rsid w:val="00DF70D5"/>
    <w:rsid w:val="00E04F71"/>
    <w:rsid w:val="00E11CB3"/>
    <w:rsid w:val="00E20F06"/>
    <w:rsid w:val="00E236D1"/>
    <w:rsid w:val="00E3296C"/>
    <w:rsid w:val="00E57404"/>
    <w:rsid w:val="00E60F5D"/>
    <w:rsid w:val="00E65049"/>
    <w:rsid w:val="00EA485F"/>
    <w:rsid w:val="00EB1145"/>
    <w:rsid w:val="00EB2696"/>
    <w:rsid w:val="00EB3507"/>
    <w:rsid w:val="00EB763A"/>
    <w:rsid w:val="00EC425C"/>
    <w:rsid w:val="00ED2D9E"/>
    <w:rsid w:val="00ED3BE0"/>
    <w:rsid w:val="00ED43F2"/>
    <w:rsid w:val="00EE1DC1"/>
    <w:rsid w:val="00EF25F1"/>
    <w:rsid w:val="00EF5BF9"/>
    <w:rsid w:val="00F02BDD"/>
    <w:rsid w:val="00F0384A"/>
    <w:rsid w:val="00F32759"/>
    <w:rsid w:val="00F4057B"/>
    <w:rsid w:val="00F40675"/>
    <w:rsid w:val="00F55521"/>
    <w:rsid w:val="00F7304C"/>
    <w:rsid w:val="00F85B33"/>
    <w:rsid w:val="00FA670D"/>
    <w:rsid w:val="00FD1577"/>
    <w:rsid w:val="00FD3507"/>
    <w:rsid w:val="00FE4B33"/>
    <w:rsid w:val="00FF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90C5"/>
  <w15:chartTrackingRefBased/>
  <w15:docId w15:val="{8686C580-3364-46BC-B5AA-CCC266F2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1A1"/>
    <w:pPr>
      <w:widowControl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5171A1"/>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71A1"/>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71A1"/>
    <w:pPr>
      <w:keepNext/>
      <w:keepLines/>
      <w:widowControl/>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71A1"/>
    <w:pPr>
      <w:keepNext/>
      <w:keepLines/>
      <w:widowControl/>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171A1"/>
    <w:pPr>
      <w:keepNext/>
      <w:keepLines/>
      <w:widowControl/>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171A1"/>
    <w:pPr>
      <w:keepNext/>
      <w:keepLines/>
      <w:widowControl/>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171A1"/>
    <w:pPr>
      <w:keepNext/>
      <w:keepLines/>
      <w:widowControl/>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171A1"/>
    <w:pPr>
      <w:keepNext/>
      <w:keepLines/>
      <w:widowControl/>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171A1"/>
    <w:pPr>
      <w:keepNext/>
      <w:keepLines/>
      <w:widowControl/>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1A1"/>
    <w:rPr>
      <w:rFonts w:eastAsiaTheme="majorEastAsia" w:cstheme="majorBidi"/>
      <w:color w:val="272727" w:themeColor="text1" w:themeTint="D8"/>
    </w:rPr>
  </w:style>
  <w:style w:type="paragraph" w:styleId="Title">
    <w:name w:val="Title"/>
    <w:basedOn w:val="Normal"/>
    <w:next w:val="Normal"/>
    <w:link w:val="TitleChar"/>
    <w:uiPriority w:val="10"/>
    <w:qFormat/>
    <w:rsid w:val="005171A1"/>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7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1A1"/>
    <w:pPr>
      <w:widowControl/>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7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1A1"/>
    <w:pPr>
      <w:widowControl/>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171A1"/>
    <w:rPr>
      <w:i/>
      <w:iCs/>
      <w:color w:val="404040" w:themeColor="text1" w:themeTint="BF"/>
    </w:rPr>
  </w:style>
  <w:style w:type="paragraph" w:styleId="ListParagraph">
    <w:name w:val="List Paragraph"/>
    <w:basedOn w:val="Normal"/>
    <w:uiPriority w:val="34"/>
    <w:qFormat/>
    <w:rsid w:val="005171A1"/>
    <w:pPr>
      <w:widowControl/>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171A1"/>
    <w:rPr>
      <w:i/>
      <w:iCs/>
      <w:color w:val="0F4761" w:themeColor="accent1" w:themeShade="BF"/>
    </w:rPr>
  </w:style>
  <w:style w:type="paragraph" w:styleId="IntenseQuote">
    <w:name w:val="Intense Quote"/>
    <w:basedOn w:val="Normal"/>
    <w:next w:val="Normal"/>
    <w:link w:val="IntenseQuoteChar"/>
    <w:uiPriority w:val="30"/>
    <w:qFormat/>
    <w:rsid w:val="005171A1"/>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171A1"/>
    <w:rPr>
      <w:i/>
      <w:iCs/>
      <w:color w:val="0F4761" w:themeColor="accent1" w:themeShade="BF"/>
    </w:rPr>
  </w:style>
  <w:style w:type="character" w:styleId="IntenseReference">
    <w:name w:val="Intense Reference"/>
    <w:basedOn w:val="DefaultParagraphFont"/>
    <w:uiPriority w:val="32"/>
    <w:qFormat/>
    <w:rsid w:val="005171A1"/>
    <w:rPr>
      <w:b/>
      <w:bCs/>
      <w:smallCaps/>
      <w:color w:val="0F4761" w:themeColor="accent1" w:themeShade="BF"/>
      <w:spacing w:val="5"/>
    </w:rPr>
  </w:style>
  <w:style w:type="character" w:styleId="Hyperlink">
    <w:name w:val="Hyperlink"/>
    <w:semiHidden/>
    <w:unhideWhenUsed/>
    <w:rsid w:val="005171A1"/>
    <w:rPr>
      <w:color w:val="0000FF"/>
      <w:u w:val="single"/>
    </w:rPr>
  </w:style>
  <w:style w:type="paragraph" w:customStyle="1" w:styleId="paragraph">
    <w:name w:val="paragraph"/>
    <w:basedOn w:val="Normal"/>
    <w:rsid w:val="005171A1"/>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171A1"/>
  </w:style>
  <w:style w:type="character" w:customStyle="1" w:styleId="eop">
    <w:name w:val="eop"/>
    <w:basedOn w:val="DefaultParagraphFont"/>
    <w:rsid w:val="005171A1"/>
  </w:style>
  <w:style w:type="paragraph" w:styleId="Revision">
    <w:name w:val="Revision"/>
    <w:hidden/>
    <w:uiPriority w:val="99"/>
    <w:semiHidden/>
    <w:rsid w:val="003B5460"/>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3813AC"/>
    <w:rPr>
      <w:sz w:val="16"/>
      <w:szCs w:val="16"/>
    </w:rPr>
  </w:style>
  <w:style w:type="paragraph" w:styleId="CommentText">
    <w:name w:val="annotation text"/>
    <w:basedOn w:val="Normal"/>
    <w:link w:val="CommentTextChar"/>
    <w:uiPriority w:val="99"/>
    <w:unhideWhenUsed/>
    <w:rsid w:val="003813AC"/>
    <w:rPr>
      <w:sz w:val="20"/>
      <w:szCs w:val="20"/>
    </w:rPr>
  </w:style>
  <w:style w:type="character" w:customStyle="1" w:styleId="CommentTextChar">
    <w:name w:val="Comment Text Char"/>
    <w:basedOn w:val="DefaultParagraphFont"/>
    <w:link w:val="CommentText"/>
    <w:uiPriority w:val="99"/>
    <w:rsid w:val="003813A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13AC"/>
    <w:rPr>
      <w:b/>
      <w:bCs/>
    </w:rPr>
  </w:style>
  <w:style w:type="character" w:customStyle="1" w:styleId="CommentSubjectChar">
    <w:name w:val="Comment Subject Char"/>
    <w:basedOn w:val="CommentTextChar"/>
    <w:link w:val="CommentSubject"/>
    <w:uiPriority w:val="99"/>
    <w:semiHidden/>
    <w:rsid w:val="003813AC"/>
    <w:rPr>
      <w:b/>
      <w:bCs/>
      <w:kern w:val="0"/>
      <w:sz w:val="20"/>
      <w:szCs w:val="20"/>
      <w14:ligatures w14:val="none"/>
    </w:rPr>
  </w:style>
  <w:style w:type="paragraph" w:styleId="FootnoteText">
    <w:name w:val="footnote text"/>
    <w:basedOn w:val="Normal"/>
    <w:link w:val="FootnoteTextChar"/>
    <w:uiPriority w:val="99"/>
    <w:semiHidden/>
    <w:unhideWhenUsed/>
    <w:rsid w:val="00950202"/>
    <w:rPr>
      <w:sz w:val="20"/>
      <w:szCs w:val="20"/>
    </w:rPr>
  </w:style>
  <w:style w:type="character" w:customStyle="1" w:styleId="FootnoteTextChar">
    <w:name w:val="Footnote Text Char"/>
    <w:basedOn w:val="DefaultParagraphFont"/>
    <w:link w:val="FootnoteText"/>
    <w:uiPriority w:val="99"/>
    <w:semiHidden/>
    <w:rsid w:val="00950202"/>
    <w:rPr>
      <w:kern w:val="0"/>
      <w:sz w:val="20"/>
      <w:szCs w:val="20"/>
      <w14:ligatures w14:val="none"/>
    </w:rPr>
  </w:style>
  <w:style w:type="character" w:styleId="FootnoteReference">
    <w:name w:val="footnote reference"/>
    <w:basedOn w:val="DefaultParagraphFont"/>
    <w:uiPriority w:val="99"/>
    <w:semiHidden/>
    <w:unhideWhenUsed/>
    <w:rsid w:val="00950202"/>
    <w:rPr>
      <w:vertAlign w:val="superscript"/>
    </w:rPr>
  </w:style>
  <w:style w:type="paragraph" w:styleId="NormalWeb">
    <w:name w:val="Normal (Web)"/>
    <w:basedOn w:val="Normal"/>
    <w:uiPriority w:val="99"/>
    <w:unhideWhenUsed/>
    <w:rsid w:val="00B62233"/>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Jones@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Lina.Garcia@maric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012D1-BE92-4814-894A-F024CA23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Garcia (OPD)</dc:creator>
  <cp:keywords/>
  <dc:description/>
  <cp:lastModifiedBy>Lina Garcia (OPD)</cp:lastModifiedBy>
  <cp:revision>2</cp:revision>
  <dcterms:created xsi:type="dcterms:W3CDTF">2026-06-15T01:03:00Z</dcterms:created>
  <dcterms:modified xsi:type="dcterms:W3CDTF">2026-06-15T01:03:00Z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606332-9fa2-4a6c-8cfc-4076b07aa4a2_Enabled">
    <vt:lpwstr>true</vt:lpwstr>
  </property>
  <property fmtid="{D5CDD505-2E9C-101B-9397-08002B2CF9AE}" pid="3" name="MSIP_Label_30606332-9fa2-4a6c-8cfc-4076b07aa4a2_SetDate">
    <vt:lpwstr>2026-06-12T22:55:21Z</vt:lpwstr>
  </property>
  <property fmtid="{D5CDD505-2E9C-101B-9397-08002B2CF9AE}" pid="4" name="MSIP_Label_30606332-9fa2-4a6c-8cfc-4076b07aa4a2_Method">
    <vt:lpwstr>Standard</vt:lpwstr>
  </property>
  <property fmtid="{D5CDD505-2E9C-101B-9397-08002B2CF9AE}" pid="5" name="MSIP_Label_30606332-9fa2-4a6c-8cfc-4076b07aa4a2_Name">
    <vt:lpwstr>Restricted</vt:lpwstr>
  </property>
  <property fmtid="{D5CDD505-2E9C-101B-9397-08002B2CF9AE}" pid="6" name="MSIP_Label_30606332-9fa2-4a6c-8cfc-4076b07aa4a2_SiteId">
    <vt:lpwstr>30cd35d4-9951-4a72-978e-89655075c17f</vt:lpwstr>
  </property>
  <property fmtid="{D5CDD505-2E9C-101B-9397-08002B2CF9AE}" pid="7" name="MSIP_Label_30606332-9fa2-4a6c-8cfc-4076b07aa4a2_ActionId">
    <vt:lpwstr>07394f06-2dec-4925-a52a-b01f0d0b0db8</vt:lpwstr>
  </property>
  <property fmtid="{D5CDD505-2E9C-101B-9397-08002B2CF9AE}" pid="8" name="MSIP_Label_30606332-9fa2-4a6c-8cfc-4076b07aa4a2_ContentBits">
    <vt:lpwstr>0</vt:lpwstr>
  </property>
  <property fmtid="{D5CDD505-2E9C-101B-9397-08002B2CF9AE}" pid="9" name="MSIP_Label_30606332-9fa2-4a6c-8cfc-4076b07aa4a2_Tag">
    <vt:lpwstr>10, 3, 0, 1</vt:lpwstr>
  </property>
</Properties>
</file>