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7C1E" w14:textId="77777777" w:rsidR="00B8795D" w:rsidRDefault="00B8795D" w:rsidP="00B8795D">
      <w:pPr>
        <w:spacing w:line="240" w:lineRule="auto"/>
        <w:rPr>
          <w:b/>
          <w:sz w:val="24"/>
          <w:szCs w:val="24"/>
        </w:rPr>
      </w:pPr>
      <w:r>
        <w:rPr>
          <w:rFonts w:eastAsia="PMingLiU"/>
          <w:b/>
          <w:caps/>
          <w:sz w:val="24"/>
          <w:szCs w:val="24"/>
        </w:rPr>
        <w:t>Laura</w:t>
      </w:r>
      <w:r>
        <w:rPr>
          <w:rFonts w:eastAsia="PMingLiU"/>
          <w:b/>
          <w:caps/>
          <w:sz w:val="24"/>
          <w:szCs w:val="24"/>
        </w:rPr>
        <w:fldChar w:fldCharType="begin"/>
      </w:r>
      <w:r>
        <w:rPr>
          <w:rFonts w:eastAsia="PMingLiU"/>
          <w:b/>
          <w:caps/>
          <w:sz w:val="24"/>
          <w:szCs w:val="24"/>
        </w:rPr>
        <w:instrText xml:space="preserve"> IF "" &lt;&gt; "" " " "" </w:instrText>
      </w:r>
      <w:r>
        <w:rPr>
          <w:rFonts w:eastAsia="PMingLiU"/>
          <w:b/>
          <w:caps/>
          <w:sz w:val="24"/>
          <w:szCs w:val="24"/>
        </w:rPr>
        <w:fldChar w:fldCharType="separate"/>
      </w:r>
      <w:r>
        <w:rPr>
          <w:rFonts w:eastAsia="PMingLiU"/>
          <w:b/>
          <w:caps/>
          <w:sz w:val="24"/>
          <w:szCs w:val="24"/>
        </w:rPr>
        <w:fldChar w:fldCharType="end"/>
      </w:r>
      <w:r>
        <w:rPr>
          <w:rFonts w:eastAsia="PMingLiU"/>
          <w:b/>
          <w:caps/>
          <w:sz w:val="24"/>
          <w:szCs w:val="24"/>
        </w:rPr>
        <w:t xml:space="preserve"> Conover</w:t>
      </w:r>
      <w:r>
        <w:rPr>
          <w:rFonts w:eastAsia="PMingLiU"/>
          <w:b/>
          <w:caps/>
          <w:sz w:val="24"/>
          <w:szCs w:val="24"/>
        </w:rPr>
        <w:fldChar w:fldCharType="begin"/>
      </w:r>
      <w:r>
        <w:rPr>
          <w:rFonts w:eastAsia="PMingLiU"/>
          <w:b/>
          <w:caps/>
          <w:sz w:val="24"/>
          <w:szCs w:val="24"/>
        </w:rPr>
        <w:instrText xml:space="preserve"> IF "" &lt;&gt; "" ", " "" </w:instrText>
      </w:r>
      <w:r>
        <w:rPr>
          <w:rFonts w:eastAsia="PMingLiU"/>
          <w:b/>
          <w:caps/>
          <w:sz w:val="24"/>
          <w:szCs w:val="24"/>
        </w:rPr>
        <w:fldChar w:fldCharType="separate"/>
      </w:r>
      <w:r>
        <w:rPr>
          <w:rFonts w:eastAsia="PMingLiU"/>
          <w:b/>
          <w:caps/>
          <w:sz w:val="24"/>
          <w:szCs w:val="24"/>
        </w:rPr>
        <w:fldChar w:fldCharType="end"/>
      </w:r>
      <w:r>
        <w:t xml:space="preserve"> </w:t>
      </w:r>
    </w:p>
    <w:p w14:paraId="1D248D34" w14:textId="77777777" w:rsidR="00B8795D" w:rsidRDefault="00B8795D" w:rsidP="00B8795D">
      <w:pPr>
        <w:spacing w:line="240" w:lineRule="auto"/>
        <w:rPr>
          <w:sz w:val="24"/>
          <w:szCs w:val="24"/>
        </w:rPr>
      </w:pPr>
      <w:r>
        <w:rPr>
          <w:sz w:val="24"/>
          <w:szCs w:val="24"/>
        </w:rPr>
        <w:t>PIMA COUNTY ATTORNEY</w:t>
      </w:r>
    </w:p>
    <w:p w14:paraId="42D223AA" w14:textId="77777777" w:rsidR="00D00523" w:rsidRDefault="00B8795D" w:rsidP="00B8795D">
      <w:pPr>
        <w:spacing w:line="240" w:lineRule="auto"/>
        <w:rPr>
          <w:sz w:val="24"/>
          <w:szCs w:val="24"/>
        </w:rPr>
      </w:pPr>
      <w:r>
        <w:rPr>
          <w:sz w:val="24"/>
          <w:szCs w:val="24"/>
        </w:rPr>
        <w:t>32 N Stone Ave</w:t>
      </w:r>
      <w:r>
        <w:rPr>
          <w:sz w:val="24"/>
          <w:szCs w:val="24"/>
        </w:rPr>
        <w:fldChar w:fldCharType="begin"/>
      </w:r>
      <w:r>
        <w:rPr>
          <w:sz w:val="24"/>
          <w:szCs w:val="24"/>
        </w:rPr>
        <w:instrText xml:space="preserve"> IF "Suite 1400" &lt;&gt; "" ", Suite 1400" "" </w:instrText>
      </w:r>
      <w:r>
        <w:rPr>
          <w:sz w:val="24"/>
          <w:szCs w:val="24"/>
        </w:rPr>
        <w:fldChar w:fldCharType="separate"/>
      </w:r>
      <w:r>
        <w:rPr>
          <w:sz w:val="24"/>
          <w:szCs w:val="24"/>
        </w:rPr>
        <w:t>, Suite 1400</w:t>
      </w:r>
      <w:r>
        <w:rPr>
          <w:sz w:val="24"/>
          <w:szCs w:val="24"/>
        </w:rPr>
        <w:fldChar w:fldCharType="end"/>
      </w:r>
    </w:p>
    <w:p w14:paraId="45D3FCD3" w14:textId="13C334ED" w:rsidR="00B8795D" w:rsidRDefault="00B8795D" w:rsidP="00B8795D">
      <w:pPr>
        <w:spacing w:line="240" w:lineRule="auto"/>
        <w:rPr>
          <w:sz w:val="24"/>
          <w:szCs w:val="24"/>
        </w:rPr>
      </w:pPr>
      <w:r>
        <w:rPr>
          <w:sz w:val="24"/>
          <w:szCs w:val="24"/>
        </w:rPr>
        <w:t>Tucson, AZ 85701</w:t>
      </w:r>
    </w:p>
    <w:p w14:paraId="16613D90" w14:textId="70970503" w:rsidR="00B8795D" w:rsidRDefault="00B8795D" w:rsidP="00B8795D">
      <w:pPr>
        <w:spacing w:line="240" w:lineRule="auto"/>
        <w:rPr>
          <w:rFonts w:eastAsia="PMingLiU"/>
          <w:sz w:val="24"/>
          <w:szCs w:val="24"/>
        </w:rPr>
      </w:pPr>
      <w:r>
        <w:rPr>
          <w:sz w:val="24"/>
          <w:szCs w:val="24"/>
        </w:rPr>
        <w:t xml:space="preserve">Phone: </w:t>
      </w:r>
      <w:r>
        <w:rPr>
          <w:rFonts w:eastAsia="PMingLiU"/>
          <w:sz w:val="24"/>
          <w:szCs w:val="24"/>
        </w:rPr>
        <w:t>(520) 724-5600</w:t>
      </w:r>
    </w:p>
    <w:p w14:paraId="43B71701" w14:textId="0464EF5E" w:rsidR="00B8795D" w:rsidRDefault="00B8795D" w:rsidP="00B8795D">
      <w:pPr>
        <w:spacing w:line="240" w:lineRule="auto"/>
        <w:rPr>
          <w:rFonts w:eastAsia="PMingLiU"/>
          <w:sz w:val="24"/>
          <w:szCs w:val="24"/>
        </w:rPr>
      </w:pPr>
      <w:r>
        <w:rPr>
          <w:rFonts w:eastAsia="PMingLiU"/>
          <w:sz w:val="24"/>
          <w:szCs w:val="24"/>
        </w:rPr>
        <w:t>Laura.Conover@pcao.pima.gov</w:t>
      </w:r>
    </w:p>
    <w:p w14:paraId="33B696D6" w14:textId="77777777" w:rsidR="00B8795D" w:rsidRDefault="00B8795D" w:rsidP="00B8795D">
      <w:pPr>
        <w:spacing w:line="240" w:lineRule="auto"/>
        <w:rPr>
          <w:rFonts w:ascii="Garamond" w:hAnsi="Garamond"/>
        </w:rPr>
      </w:pPr>
    </w:p>
    <w:p w14:paraId="25CB28FF" w14:textId="59915592" w:rsidR="00B8795D" w:rsidRPr="00B8795D" w:rsidRDefault="00B8795D" w:rsidP="00B8795D">
      <w:pPr>
        <w:spacing w:line="240" w:lineRule="auto"/>
        <w:jc w:val="center"/>
        <w:rPr>
          <w:bCs/>
        </w:rPr>
      </w:pPr>
      <w:r w:rsidRPr="00B8795D">
        <w:rPr>
          <w:bCs/>
        </w:rPr>
        <w:t>SUPREME COURT OF ARIZONA</w:t>
      </w:r>
      <w:r w:rsidRPr="00B8795D">
        <w:rPr>
          <w:bCs/>
        </w:rPr>
        <w:br/>
      </w:r>
    </w:p>
    <w:tbl>
      <w:tblPr>
        <w:tblW w:w="9210" w:type="dxa"/>
        <w:tblBorders>
          <w:insideH w:val="single" w:sz="4" w:space="0" w:color="auto"/>
        </w:tblBorders>
        <w:tblLayout w:type="fixed"/>
        <w:tblLook w:val="04A0" w:firstRow="1" w:lastRow="0" w:firstColumn="1" w:lastColumn="0" w:noHBand="0" w:noVBand="1"/>
      </w:tblPr>
      <w:tblGrid>
        <w:gridCol w:w="4683"/>
        <w:gridCol w:w="4527"/>
      </w:tblGrid>
      <w:tr w:rsidR="00B8795D" w:rsidRPr="00B8795D" w14:paraId="77AF72DF" w14:textId="77777777">
        <w:tc>
          <w:tcPr>
            <w:tcW w:w="4680" w:type="dxa"/>
            <w:tcBorders>
              <w:top w:val="nil"/>
              <w:left w:val="nil"/>
              <w:bottom w:val="single" w:sz="4" w:space="0" w:color="auto"/>
              <w:right w:val="single" w:sz="4" w:space="0" w:color="auto"/>
            </w:tcBorders>
            <w:hideMark/>
          </w:tcPr>
          <w:p w14:paraId="7DF080DF" w14:textId="77777777" w:rsidR="00B8795D" w:rsidRDefault="00B8795D" w:rsidP="00B8795D">
            <w:pPr>
              <w:spacing w:line="240" w:lineRule="auto"/>
              <w:rPr>
                <w:bCs/>
              </w:rPr>
            </w:pPr>
            <w:bookmarkStart w:id="0" w:name="_zzmpFIXED_CaptionTable"/>
            <w:r w:rsidRPr="00B8795D">
              <w:rPr>
                <w:bCs/>
              </w:rPr>
              <w:t>In the Matter of:</w:t>
            </w:r>
          </w:p>
          <w:p w14:paraId="6DC696B4" w14:textId="77777777" w:rsidR="00B8795D" w:rsidRDefault="00B8795D" w:rsidP="00B8795D">
            <w:pPr>
              <w:spacing w:line="240" w:lineRule="auto"/>
              <w:rPr>
                <w:bCs/>
              </w:rPr>
            </w:pPr>
          </w:p>
          <w:p w14:paraId="1D9F671C" w14:textId="77777777" w:rsidR="00B8795D" w:rsidRPr="00B8795D" w:rsidRDefault="00B8795D" w:rsidP="00B8795D">
            <w:pPr>
              <w:spacing w:line="240" w:lineRule="auto"/>
              <w:rPr>
                <w:bCs/>
              </w:rPr>
            </w:pPr>
          </w:p>
          <w:p w14:paraId="0E8CDABC" w14:textId="77777777" w:rsidR="00B8795D" w:rsidRPr="00B8795D" w:rsidRDefault="00B8795D" w:rsidP="00B8795D">
            <w:pPr>
              <w:spacing w:line="240" w:lineRule="auto"/>
              <w:rPr>
                <w:b/>
                <w:bCs/>
              </w:rPr>
            </w:pPr>
            <w:r w:rsidRPr="00B8795D">
              <w:rPr>
                <w:bCs/>
              </w:rPr>
              <w:t>PETITION TO AMEND RULES 12, 23, 25, 26, AND 38 OF THE ARIZONA RULES OF PROTECTIVE ORDER PROCEDURE</w:t>
            </w:r>
          </w:p>
        </w:tc>
        <w:tc>
          <w:tcPr>
            <w:tcW w:w="4524" w:type="dxa"/>
            <w:tcBorders>
              <w:top w:val="nil"/>
              <w:left w:val="single" w:sz="4" w:space="0" w:color="auto"/>
              <w:bottom w:val="nil"/>
              <w:right w:val="nil"/>
            </w:tcBorders>
          </w:tcPr>
          <w:p w14:paraId="4CB00B2E" w14:textId="77777777" w:rsidR="00B8795D" w:rsidRDefault="00B8795D" w:rsidP="00B8795D">
            <w:pPr>
              <w:spacing w:line="240" w:lineRule="auto"/>
              <w:rPr>
                <w:bCs/>
              </w:rPr>
            </w:pPr>
            <w:r w:rsidRPr="00B8795D">
              <w:rPr>
                <w:bCs/>
              </w:rPr>
              <w:t>Supreme Court No. R-26-0004</w:t>
            </w:r>
          </w:p>
          <w:p w14:paraId="28B988E1" w14:textId="77777777" w:rsidR="00B8795D" w:rsidRDefault="00B8795D" w:rsidP="00B8795D">
            <w:pPr>
              <w:spacing w:line="240" w:lineRule="auto"/>
              <w:rPr>
                <w:bCs/>
              </w:rPr>
            </w:pPr>
          </w:p>
          <w:p w14:paraId="176E5273" w14:textId="77777777" w:rsidR="00B8795D" w:rsidRPr="00B8795D" w:rsidRDefault="00B8795D" w:rsidP="00B8795D">
            <w:pPr>
              <w:spacing w:line="240" w:lineRule="auto"/>
              <w:rPr>
                <w:bCs/>
              </w:rPr>
            </w:pPr>
          </w:p>
          <w:p w14:paraId="18A9B5FC" w14:textId="77777777" w:rsidR="00B8795D" w:rsidRPr="00B8795D" w:rsidRDefault="00B8795D" w:rsidP="00B8795D">
            <w:pPr>
              <w:spacing w:line="240" w:lineRule="auto"/>
              <w:rPr>
                <w:b/>
                <w:bCs/>
              </w:rPr>
            </w:pPr>
            <w:r w:rsidRPr="00B8795D">
              <w:rPr>
                <w:b/>
                <w:bCs/>
              </w:rPr>
              <w:t xml:space="preserve">COMMENT ON PETITION TO AMEND RULE 23 OF THE ARIZONA RULES OF </w:t>
            </w:r>
            <w:proofErr w:type="gramStart"/>
            <w:r w:rsidRPr="00B8795D">
              <w:rPr>
                <w:b/>
                <w:bCs/>
              </w:rPr>
              <w:t>PROTECTIVE ORDER</w:t>
            </w:r>
            <w:proofErr w:type="gramEnd"/>
            <w:r w:rsidRPr="00B8795D">
              <w:rPr>
                <w:b/>
                <w:bCs/>
              </w:rPr>
              <w:t xml:space="preserve"> PROCEDURE (ORDER OF PROTECTION)</w:t>
            </w:r>
          </w:p>
          <w:p w14:paraId="41B748F5" w14:textId="77777777" w:rsidR="00B8795D" w:rsidRPr="00B8795D" w:rsidRDefault="00B8795D" w:rsidP="00B8795D">
            <w:pPr>
              <w:spacing w:line="240" w:lineRule="auto"/>
            </w:pPr>
          </w:p>
          <w:p w14:paraId="2F76B2A0" w14:textId="77777777" w:rsidR="00B8795D" w:rsidRPr="00B8795D" w:rsidRDefault="00B8795D" w:rsidP="00B8795D">
            <w:pPr>
              <w:spacing w:line="240" w:lineRule="auto"/>
              <w:rPr>
                <w:bCs/>
              </w:rPr>
            </w:pPr>
          </w:p>
        </w:tc>
        <w:bookmarkEnd w:id="0"/>
      </w:tr>
    </w:tbl>
    <w:p w14:paraId="20D6D18B" w14:textId="77777777" w:rsidR="00B8795D" w:rsidRPr="00B8795D" w:rsidRDefault="00B8795D" w:rsidP="00B8795D">
      <w:pPr>
        <w:spacing w:line="240" w:lineRule="auto"/>
        <w:rPr>
          <w:b/>
        </w:rPr>
      </w:pPr>
    </w:p>
    <w:p w14:paraId="3F3AE4A5" w14:textId="4CA6AE2F" w:rsidR="00B8795D" w:rsidRDefault="00B8795D" w:rsidP="00B8795D">
      <w:pPr>
        <w:spacing w:line="480" w:lineRule="auto"/>
        <w:ind w:firstLine="720"/>
        <w:jc w:val="both"/>
      </w:pPr>
      <w:r w:rsidRPr="00B8795D">
        <w:t xml:space="preserve">Pursuant to </w:t>
      </w:r>
      <w:bookmarkStart w:id="1" w:name="dabmci_84846cac52364f40a7bfa7b67f1ca53d"/>
      <w:r w:rsidRPr="00B8795D">
        <w:t>Supreme Court Rule 28(e)</w:t>
      </w:r>
      <w:bookmarkEnd w:id="1"/>
      <w:r w:rsidRPr="00B8795D">
        <w:t xml:space="preserve">, the </w:t>
      </w:r>
      <w:r>
        <w:t>Pima County Attorney, Laura Conover, respectfully</w:t>
      </w:r>
      <w:r w:rsidRPr="00B8795D">
        <w:t xml:space="preserve"> submits this comment in support of the Petition to amend the rules of protective order procedure.  </w:t>
      </w:r>
      <w:r>
        <w:t xml:space="preserve">Tucson City Court Judge Wendy Million has pioneered a unique program that has fostered much needed follow up when a City Court judge orders the defendant in an order of protection to surrender firearms.  This collaboration with the Tucson Police Department (TPD), has proven both effective and workable.  The program has been so successful that </w:t>
      </w:r>
      <w:r w:rsidR="0077090A">
        <w:t>beginning</w:t>
      </w:r>
      <w:r>
        <w:t xml:space="preserve"> in July, the Pima County Consolidated Justice Court plans to roll out such a program.  Pima County Superior Court plans to follow as well.</w:t>
      </w:r>
    </w:p>
    <w:p w14:paraId="018E84A2" w14:textId="57B4C6F3" w:rsidR="00B8795D" w:rsidRDefault="00B8795D" w:rsidP="00B8795D">
      <w:pPr>
        <w:spacing w:line="480" w:lineRule="auto"/>
        <w:ind w:firstLine="720"/>
        <w:jc w:val="both"/>
      </w:pPr>
      <w:r>
        <w:t xml:space="preserve">We know that the presence of a firearm in the home where domestic violence occurs increases the lethality risk by 500%.  I make a point of personally meeting with next of kin when asked in homicide cases.  Domestic violence homicides occur far too often in my </w:t>
      </w:r>
      <w:r>
        <w:lastRenderedPageBreak/>
        <w:t xml:space="preserve">community and throughout the state.  </w:t>
      </w:r>
      <w:r w:rsidR="008A7A2D">
        <w:t xml:space="preserve">My office works closely with law enforcement to use the </w:t>
      </w:r>
      <w:r w:rsidR="008A7A2D" w:rsidRPr="008A7A2D">
        <w:t>Arizona intimate Partner Risk Assessment Instrument System (APRAIS), also known as Form 4C</w:t>
      </w:r>
      <w:r w:rsidR="008A7A2D">
        <w:t xml:space="preserve"> to make evidence-based recommendations when accused defendants are asking to be released.  The rule change proposed by Judge Million applies that same evidence-based analysis to orders of protection when judges are </w:t>
      </w:r>
      <w:proofErr w:type="gramStart"/>
      <w:r w:rsidR="008A7A2D">
        <w:t>making a decision</w:t>
      </w:r>
      <w:proofErr w:type="gramEnd"/>
      <w:r w:rsidR="008A7A2D">
        <w:t xml:space="preserve"> on whether the defendant should surrender firearms.  Copies of such orders are appropriately shared with the applicable law enforcement agencies to conduct follow up investigation where appropriate.</w:t>
      </w:r>
    </w:p>
    <w:p w14:paraId="2F8FEBC9" w14:textId="4673C6F1" w:rsidR="008A7A2D" w:rsidRDefault="008A7A2D" w:rsidP="008A7A2D">
      <w:pPr>
        <w:spacing w:line="480" w:lineRule="auto"/>
        <w:ind w:firstLine="720"/>
        <w:jc w:val="both"/>
      </w:pPr>
      <w:r>
        <w:t xml:space="preserve">We can never predict with certainty what people will do in the future.  My office has the utmost respect for the rights of responsible gun </w:t>
      </w:r>
      <w:r w:rsidR="007E2343">
        <w:t>owners,</w:t>
      </w:r>
      <w:r>
        <w:t xml:space="preserve"> and we do not take the decision to order surrender of firearms lightly.  We also know the available bandwidth of our law enforcement partners is finite.  Taking the position that domestic violence is a problem and issuing blanket orders to surrender firearms dilutes already limited resources.  By applying evidence-based, documented best practices, this rule change allows law enforcement to focus on the highest risk individuals and have the </w:t>
      </w:r>
      <w:r w:rsidR="007E2343">
        <w:t>furthest</w:t>
      </w:r>
      <w:r>
        <w:t xml:space="preserve"> possible reach in changing the trajectory of a victim’s future – to cross the bridge from being a victim to being a survivor.  With these goals in mind, I respectfully support the proposed rule change.</w:t>
      </w:r>
    </w:p>
    <w:p w14:paraId="7DF18EBC" w14:textId="5BE700D0" w:rsidR="008A7A2D" w:rsidRDefault="007E2343" w:rsidP="008A7A2D">
      <w:pPr>
        <w:spacing w:line="480" w:lineRule="auto"/>
        <w:ind w:firstLine="720"/>
        <w:jc w:val="both"/>
      </w:pPr>
      <w:r w:rsidRPr="007E2343">
        <w:rPr>
          <w:rFonts w:eastAsia="Calibri"/>
          <w:noProof/>
          <w:sz w:val="24"/>
          <w:szCs w:val="24"/>
        </w:rPr>
        <w:drawing>
          <wp:anchor distT="0" distB="0" distL="114300" distR="114300" simplePos="0" relativeHeight="251659264" behindDoc="0" locked="0" layoutInCell="1" allowOverlap="1" wp14:anchorId="33F97D78" wp14:editId="59FC26F5">
            <wp:simplePos x="0" y="0"/>
            <wp:positionH relativeFrom="column">
              <wp:posOffset>3192780</wp:posOffset>
            </wp:positionH>
            <wp:positionV relativeFrom="paragraph">
              <wp:posOffset>304165</wp:posOffset>
            </wp:positionV>
            <wp:extent cx="1615440" cy="696595"/>
            <wp:effectExtent l="0" t="0" r="3810" b="8255"/>
            <wp:wrapNone/>
            <wp:docPr id="84640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5440"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A2D">
        <w:t xml:space="preserve">Respectfully submitted this </w:t>
      </w:r>
      <w:r w:rsidRPr="007E2343">
        <w:rPr>
          <w:u w:val="single"/>
        </w:rPr>
        <w:t>8</w:t>
      </w:r>
      <w:r w:rsidRPr="007E2343">
        <w:rPr>
          <w:u w:val="single"/>
          <w:vertAlign w:val="superscript"/>
        </w:rPr>
        <w:t>th</w:t>
      </w:r>
      <w:r>
        <w:t xml:space="preserve"> </w:t>
      </w:r>
      <w:r w:rsidR="008A7A2D">
        <w:t xml:space="preserve">day of </w:t>
      </w:r>
      <w:proofErr w:type="gramStart"/>
      <w:r>
        <w:t>June</w:t>
      </w:r>
      <w:r w:rsidR="008A7A2D">
        <w:t>,</w:t>
      </w:r>
      <w:proofErr w:type="gramEnd"/>
      <w:r w:rsidR="008A7A2D">
        <w:t xml:space="preserve"> 2026.</w:t>
      </w:r>
    </w:p>
    <w:p w14:paraId="5B0C5F9F" w14:textId="56282674" w:rsidR="008A7A2D" w:rsidRDefault="008A7A2D" w:rsidP="008A7A2D">
      <w:pPr>
        <w:spacing w:line="480" w:lineRule="auto"/>
        <w:ind w:firstLine="720"/>
        <w:jc w:val="both"/>
      </w:pPr>
    </w:p>
    <w:p w14:paraId="6AD2E089" w14:textId="749C98D6" w:rsidR="008A7A2D" w:rsidRDefault="008A7A2D" w:rsidP="008A7A2D">
      <w:pPr>
        <w:spacing w:line="240" w:lineRule="auto"/>
        <w:ind w:firstLine="720"/>
        <w:jc w:val="both"/>
      </w:pPr>
      <w:r>
        <w:tab/>
      </w:r>
      <w:r>
        <w:tab/>
      </w:r>
      <w:r>
        <w:tab/>
      </w:r>
      <w:r>
        <w:tab/>
      </w:r>
      <w:r>
        <w:tab/>
      </w:r>
      <w:r>
        <w:tab/>
        <w:t>______________________________</w:t>
      </w:r>
    </w:p>
    <w:p w14:paraId="75183DDD" w14:textId="7C7AAAEE" w:rsidR="008A7A2D" w:rsidRDefault="008A7A2D" w:rsidP="008A7A2D">
      <w:pPr>
        <w:spacing w:line="240" w:lineRule="auto"/>
        <w:ind w:firstLine="720"/>
        <w:jc w:val="both"/>
      </w:pPr>
      <w:r>
        <w:tab/>
      </w:r>
      <w:r>
        <w:tab/>
      </w:r>
      <w:r>
        <w:tab/>
      </w:r>
      <w:r>
        <w:tab/>
      </w:r>
      <w:r>
        <w:tab/>
      </w:r>
      <w:r>
        <w:tab/>
        <w:t>LAURA CONOVER</w:t>
      </w:r>
    </w:p>
    <w:p w14:paraId="4D884604" w14:textId="44110483" w:rsidR="008A7A2D" w:rsidRDefault="008A7A2D" w:rsidP="008A7A2D">
      <w:pPr>
        <w:spacing w:line="240" w:lineRule="auto"/>
        <w:ind w:firstLine="720"/>
        <w:jc w:val="both"/>
      </w:pPr>
      <w:r>
        <w:tab/>
      </w:r>
      <w:r>
        <w:tab/>
      </w:r>
      <w:r>
        <w:tab/>
      </w:r>
      <w:r>
        <w:tab/>
      </w:r>
      <w:r>
        <w:tab/>
      </w:r>
      <w:r>
        <w:tab/>
        <w:t>PIMA COUNTY ATTORNEY</w:t>
      </w:r>
    </w:p>
    <w:p w14:paraId="67CFAB56" w14:textId="17DADA20" w:rsidR="008A7A2D" w:rsidRPr="00B8795D" w:rsidRDefault="008A7A2D" w:rsidP="008A7A2D">
      <w:pPr>
        <w:spacing w:line="240" w:lineRule="auto"/>
        <w:ind w:firstLine="720"/>
        <w:jc w:val="both"/>
      </w:pPr>
      <w:r>
        <w:tab/>
      </w:r>
      <w:r>
        <w:tab/>
      </w:r>
      <w:r>
        <w:tab/>
      </w:r>
      <w:r>
        <w:tab/>
      </w:r>
      <w:r>
        <w:tab/>
      </w:r>
      <w:r>
        <w:tab/>
        <w:t>Laura.Conover@pcao.pima.gov</w:t>
      </w:r>
    </w:p>
    <w:sectPr w:rsidR="008A7A2D" w:rsidRPr="00B87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5D"/>
    <w:rsid w:val="00352B7A"/>
    <w:rsid w:val="003F5E29"/>
    <w:rsid w:val="007408B7"/>
    <w:rsid w:val="0077090A"/>
    <w:rsid w:val="007E2343"/>
    <w:rsid w:val="00826810"/>
    <w:rsid w:val="008A7A2D"/>
    <w:rsid w:val="00AE4D2E"/>
    <w:rsid w:val="00B8795D"/>
    <w:rsid w:val="00B928ED"/>
    <w:rsid w:val="00D00523"/>
    <w:rsid w:val="00EC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43E9"/>
  <w15:chartTrackingRefBased/>
  <w15:docId w15:val="{FABD7391-B0EE-4F96-B60D-044E7091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95D"/>
    <w:pPr>
      <w:spacing w:after="0" w:line="424" w:lineRule="exact"/>
    </w:pPr>
    <w:rPr>
      <w:rFonts w:ascii="Times New Roman" w:eastAsia="Times New Roman" w:hAnsi="Times New Roman" w:cs="Times New Roman"/>
      <w:kern w:val="0"/>
      <w:sz w:val="26"/>
      <w:szCs w:val="22"/>
      <w14:ligatures w14:val="none"/>
    </w:rPr>
  </w:style>
  <w:style w:type="paragraph" w:styleId="Heading1">
    <w:name w:val="heading 1"/>
    <w:basedOn w:val="Normal"/>
    <w:next w:val="Normal"/>
    <w:link w:val="Heading1Char"/>
    <w:uiPriority w:val="9"/>
    <w:qFormat/>
    <w:rsid w:val="00B87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9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9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9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9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95D"/>
    <w:rPr>
      <w:rFonts w:eastAsiaTheme="majorEastAsia" w:cstheme="majorBidi"/>
      <w:color w:val="272727" w:themeColor="text1" w:themeTint="D8"/>
    </w:rPr>
  </w:style>
  <w:style w:type="paragraph" w:styleId="Title">
    <w:name w:val="Title"/>
    <w:basedOn w:val="Normal"/>
    <w:next w:val="Normal"/>
    <w:link w:val="TitleChar"/>
    <w:uiPriority w:val="10"/>
    <w:qFormat/>
    <w:rsid w:val="00B87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95D"/>
    <w:pPr>
      <w:spacing w:before="160"/>
      <w:jc w:val="center"/>
    </w:pPr>
    <w:rPr>
      <w:i/>
      <w:iCs/>
      <w:color w:val="404040" w:themeColor="text1" w:themeTint="BF"/>
    </w:rPr>
  </w:style>
  <w:style w:type="character" w:customStyle="1" w:styleId="QuoteChar">
    <w:name w:val="Quote Char"/>
    <w:basedOn w:val="DefaultParagraphFont"/>
    <w:link w:val="Quote"/>
    <w:uiPriority w:val="29"/>
    <w:rsid w:val="00B8795D"/>
    <w:rPr>
      <w:i/>
      <w:iCs/>
      <w:color w:val="404040" w:themeColor="text1" w:themeTint="BF"/>
    </w:rPr>
  </w:style>
  <w:style w:type="paragraph" w:styleId="ListParagraph">
    <w:name w:val="List Paragraph"/>
    <w:basedOn w:val="Normal"/>
    <w:uiPriority w:val="34"/>
    <w:qFormat/>
    <w:rsid w:val="00B8795D"/>
    <w:pPr>
      <w:ind w:left="720"/>
      <w:contextualSpacing/>
    </w:pPr>
  </w:style>
  <w:style w:type="character" w:styleId="IntenseEmphasis">
    <w:name w:val="Intense Emphasis"/>
    <w:basedOn w:val="DefaultParagraphFont"/>
    <w:uiPriority w:val="21"/>
    <w:qFormat/>
    <w:rsid w:val="00B8795D"/>
    <w:rPr>
      <w:i/>
      <w:iCs/>
      <w:color w:val="0F4761" w:themeColor="accent1" w:themeShade="BF"/>
    </w:rPr>
  </w:style>
  <w:style w:type="paragraph" w:styleId="IntenseQuote">
    <w:name w:val="Intense Quote"/>
    <w:basedOn w:val="Normal"/>
    <w:next w:val="Normal"/>
    <w:link w:val="IntenseQuoteChar"/>
    <w:uiPriority w:val="30"/>
    <w:qFormat/>
    <w:rsid w:val="00B87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95D"/>
    <w:rPr>
      <w:i/>
      <w:iCs/>
      <w:color w:val="0F4761" w:themeColor="accent1" w:themeShade="BF"/>
    </w:rPr>
  </w:style>
  <w:style w:type="character" w:styleId="IntenseReference">
    <w:name w:val="Intense Reference"/>
    <w:basedOn w:val="DefaultParagraphFont"/>
    <w:uiPriority w:val="32"/>
    <w:qFormat/>
    <w:rsid w:val="00B8795D"/>
    <w:rPr>
      <w:b/>
      <w:bCs/>
      <w:smallCaps/>
      <w:color w:val="0F4761" w:themeColor="accent1" w:themeShade="BF"/>
      <w:spacing w:val="5"/>
    </w:rPr>
  </w:style>
  <w:style w:type="character" w:styleId="Hyperlink">
    <w:name w:val="Hyperlink"/>
    <w:basedOn w:val="DefaultParagraphFont"/>
    <w:uiPriority w:val="99"/>
    <w:unhideWhenUsed/>
    <w:rsid w:val="00B8795D"/>
    <w:rPr>
      <w:color w:val="467886" w:themeColor="hyperlink"/>
      <w:u w:val="single"/>
    </w:rPr>
  </w:style>
  <w:style w:type="character" w:styleId="UnresolvedMention">
    <w:name w:val="Unresolved Mention"/>
    <w:basedOn w:val="DefaultParagraphFont"/>
    <w:uiPriority w:val="99"/>
    <w:semiHidden/>
    <w:unhideWhenUsed/>
    <w:rsid w:val="00B87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454</Words>
  <Characters>2590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Kendrick Wilson</dc:creator>
  <cp:keywords/>
  <dc:description/>
  <cp:lastModifiedBy>Anthony Garcia</cp:lastModifiedBy>
  <cp:revision>2</cp:revision>
  <cp:lastPrinted>2026-06-08T18:07:00Z</cp:lastPrinted>
  <dcterms:created xsi:type="dcterms:W3CDTF">2026-06-08T20:22:00Z</dcterms:created>
  <dcterms:modified xsi:type="dcterms:W3CDTF">2026-06-08T20:22:00Z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414213-d7cb-4680-949a-95ee920a8913_Enabled">
    <vt:lpwstr>true</vt:lpwstr>
  </property>
  <property fmtid="{D5CDD505-2E9C-101B-9397-08002B2CF9AE}" pid="3" name="MSIP_Label_1d414213-d7cb-4680-949a-95ee920a8913_SetDate">
    <vt:lpwstr>2026-05-13T00:48:07Z</vt:lpwstr>
  </property>
  <property fmtid="{D5CDD505-2E9C-101B-9397-08002B2CF9AE}" pid="4" name="MSIP_Label_1d414213-d7cb-4680-949a-95ee920a8913_Method">
    <vt:lpwstr>Standard</vt:lpwstr>
  </property>
  <property fmtid="{D5CDD505-2E9C-101B-9397-08002B2CF9AE}" pid="5" name="MSIP_Label_1d414213-d7cb-4680-949a-95ee920a8913_Name">
    <vt:lpwstr>defa4170-0d19-0005-0004-bc88714345d2</vt:lpwstr>
  </property>
  <property fmtid="{D5CDD505-2E9C-101B-9397-08002B2CF9AE}" pid="6" name="MSIP_Label_1d414213-d7cb-4680-949a-95ee920a8913_SiteId">
    <vt:lpwstr>da4d923c-244e-4824-8e8c-84f7e980a85a</vt:lpwstr>
  </property>
  <property fmtid="{D5CDD505-2E9C-101B-9397-08002B2CF9AE}" pid="7" name="MSIP_Label_1d414213-d7cb-4680-949a-95ee920a8913_ActionId">
    <vt:lpwstr>4b49adf9-1286-4be1-acca-2e6b1e2d4fdc</vt:lpwstr>
  </property>
  <property fmtid="{D5CDD505-2E9C-101B-9397-08002B2CF9AE}" pid="8" name="MSIP_Label_1d414213-d7cb-4680-949a-95ee920a8913_ContentBits">
    <vt:lpwstr>0</vt:lpwstr>
  </property>
  <property fmtid="{D5CDD505-2E9C-101B-9397-08002B2CF9AE}" pid="9" name="MSIP_Label_1d414213-d7cb-4680-949a-95ee920a8913_Tag">
    <vt:lpwstr>10, 3, 0, 1</vt:lpwstr>
  </property>
  <property fmtid="{D5CDD505-2E9C-101B-9397-08002B2CF9AE}" pid="10" name="GrammarlyDocumentId">
    <vt:lpwstr>ce3173a9-d018-4354-846e-a65d765f88e1</vt:lpwstr>
  </property>
</Properties>
</file>