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B7D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The Law Office of Denise M. Quinterri, PLLC</w:t>
      </w:r>
    </w:p>
    <w:p w14:paraId="1F8BB3BA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161 E. Inverness Dr.</w:t>
      </w:r>
    </w:p>
    <w:p w14:paraId="4D7AADD4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Tucson, AZ 85737</w:t>
      </w:r>
    </w:p>
    <w:p w14:paraId="766B6DE3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Telephone: 480-239-9807</w:t>
      </w:r>
    </w:p>
    <w:p w14:paraId="12638F6F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bookmarkStart w:id="0" w:name="AttorneyName"/>
      <w:bookmarkEnd w:id="0"/>
      <w:r w:rsidRPr="006E3367">
        <w:rPr>
          <w:sz w:val="28"/>
          <w:szCs w:val="28"/>
        </w:rPr>
        <w:t>dmq@azethicslaw.com</w:t>
      </w:r>
    </w:p>
    <w:p w14:paraId="10825371" w14:textId="77777777" w:rsidR="0013271D" w:rsidRPr="006E3367" w:rsidRDefault="0013271D" w:rsidP="0013271D">
      <w:pPr>
        <w:pStyle w:val="AttorneyName"/>
        <w:rPr>
          <w:sz w:val="28"/>
          <w:szCs w:val="28"/>
        </w:rPr>
      </w:pPr>
      <w:r w:rsidRPr="006E3367">
        <w:rPr>
          <w:sz w:val="28"/>
          <w:szCs w:val="28"/>
        </w:rPr>
        <w:t>Denise M. Quinterri, State Bar No. 020637</w:t>
      </w:r>
    </w:p>
    <w:p w14:paraId="72C7DFC7" w14:textId="39689EAC" w:rsidR="0013271D" w:rsidRPr="006E3367" w:rsidRDefault="0013271D" w:rsidP="0013271D">
      <w:pPr>
        <w:pStyle w:val="AttorneyName"/>
        <w:rPr>
          <w:sz w:val="28"/>
          <w:szCs w:val="28"/>
        </w:rPr>
      </w:pPr>
    </w:p>
    <w:p w14:paraId="61615623" w14:textId="3B5BF116" w:rsidR="009F0E74" w:rsidRPr="0013271D" w:rsidRDefault="009F0E74">
      <w:pPr>
        <w:pStyle w:val="AttorneyName"/>
        <w:rPr>
          <w:sz w:val="28"/>
          <w:szCs w:val="28"/>
        </w:rPr>
      </w:pPr>
    </w:p>
    <w:p w14:paraId="1E853C5C" w14:textId="7CA73AFD" w:rsidR="009F0E74" w:rsidRPr="0011213D" w:rsidRDefault="000C50F1" w:rsidP="0011213D">
      <w:pPr>
        <w:pStyle w:val="Court"/>
        <w:spacing w:line="240" w:lineRule="auto"/>
        <w:rPr>
          <w:rStyle w:val="CourtNameChar"/>
          <w:b/>
          <w:caps/>
          <w:sz w:val="28"/>
          <w:szCs w:val="28"/>
        </w:rPr>
      </w:pPr>
      <w:r w:rsidRPr="0011213D">
        <w:rPr>
          <w:b/>
          <w:sz w:val="28"/>
          <w:szCs w:val="28"/>
        </w:rPr>
        <w:t>IN THE SUPREME COURT</w:t>
      </w:r>
      <w:r w:rsidRPr="0011213D">
        <w:rPr>
          <w:b/>
          <w:sz w:val="28"/>
          <w:szCs w:val="28"/>
        </w:rPr>
        <w:br/>
      </w:r>
      <w:r w:rsidR="001B10D5">
        <w:rPr>
          <w:b/>
          <w:sz w:val="28"/>
          <w:szCs w:val="28"/>
        </w:rPr>
        <w:t xml:space="preserve">of the </w:t>
      </w:r>
      <w:r w:rsidRPr="0011213D">
        <w:rPr>
          <w:b/>
          <w:sz w:val="28"/>
          <w:szCs w:val="28"/>
        </w:rPr>
        <w:t>STATE OF ARIZONA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9F0E74" w:rsidRPr="0013271D" w14:paraId="0A124A82" w14:textId="77777777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3FFB6D01" w14:textId="77777777" w:rsidR="00CE42C9" w:rsidRDefault="00CE42C9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</w:p>
          <w:p w14:paraId="1E49D633" w14:textId="5E09FB52" w:rsidR="00414B87" w:rsidRPr="00414B87" w:rsidRDefault="00414B87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  <w:r w:rsidRPr="00414B87">
              <w:rPr>
                <w:bCs/>
                <w:sz w:val="28"/>
                <w:szCs w:val="28"/>
              </w:rPr>
              <w:t>In the Matter of:</w:t>
            </w:r>
          </w:p>
          <w:p w14:paraId="11AB1BDA" w14:textId="77777777" w:rsidR="00414B87" w:rsidRPr="00414B87" w:rsidRDefault="00414B87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</w:p>
          <w:p w14:paraId="6C582BF2" w14:textId="77777777" w:rsidR="00414B87" w:rsidRPr="00414B87" w:rsidRDefault="00414B87" w:rsidP="00414B87">
            <w:pPr>
              <w:spacing w:line="264" w:lineRule="auto"/>
              <w:ind w:firstLine="0"/>
              <w:rPr>
                <w:bCs/>
                <w:sz w:val="28"/>
                <w:szCs w:val="28"/>
              </w:rPr>
            </w:pPr>
          </w:p>
          <w:p w14:paraId="3720D945" w14:textId="671E06A5" w:rsidR="009F0E74" w:rsidRPr="00DB0BD5" w:rsidRDefault="00414B87" w:rsidP="00414B87">
            <w:pPr>
              <w:spacing w:line="264" w:lineRule="auto"/>
              <w:ind w:firstLine="0"/>
              <w:rPr>
                <w:b/>
                <w:bCs/>
                <w:sz w:val="28"/>
                <w:szCs w:val="28"/>
              </w:rPr>
            </w:pPr>
            <w:r w:rsidRPr="00DB0BD5">
              <w:rPr>
                <w:b/>
                <w:bCs/>
                <w:sz w:val="28"/>
                <w:szCs w:val="28"/>
              </w:rPr>
              <w:t xml:space="preserve">PETITION TO AMEND RULE </w:t>
            </w:r>
            <w:r w:rsidR="00B94813" w:rsidRPr="00DB0BD5">
              <w:rPr>
                <w:b/>
                <w:bCs/>
                <w:sz w:val="28"/>
                <w:szCs w:val="28"/>
              </w:rPr>
              <w:t>36</w:t>
            </w:r>
            <w:r w:rsidR="00CE33A5">
              <w:rPr>
                <w:b/>
                <w:bCs/>
                <w:sz w:val="28"/>
                <w:szCs w:val="28"/>
              </w:rPr>
              <w:t>(e) and (f)</w:t>
            </w:r>
            <w:r w:rsidRPr="00DB0BD5">
              <w:rPr>
                <w:b/>
                <w:bCs/>
                <w:sz w:val="28"/>
                <w:szCs w:val="28"/>
              </w:rPr>
              <w:t xml:space="preserve">, </w:t>
            </w:r>
            <w:r w:rsidR="00260A2D">
              <w:rPr>
                <w:b/>
                <w:bCs/>
                <w:sz w:val="28"/>
                <w:szCs w:val="28"/>
              </w:rPr>
              <w:t xml:space="preserve">ARIZONA </w:t>
            </w:r>
            <w:r w:rsidRPr="00DB0BD5">
              <w:rPr>
                <w:b/>
                <w:bCs/>
                <w:sz w:val="28"/>
                <w:szCs w:val="28"/>
              </w:rPr>
              <w:t xml:space="preserve">RULES OF THE SUPREME COURT </w:t>
            </w:r>
          </w:p>
          <w:p w14:paraId="5F845EA1" w14:textId="4F3F3608" w:rsidR="00F4756B" w:rsidRPr="0013271D" w:rsidRDefault="00F4756B" w:rsidP="00414B87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742F3789" w14:textId="44F40D33" w:rsidR="009F0E74" w:rsidRPr="0013271D" w:rsidRDefault="005574BF">
            <w:pPr>
              <w:pStyle w:val="CaseN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Supreme Court No. </w:t>
            </w:r>
            <w:r w:rsidR="00594826">
              <w:rPr>
                <w:sz w:val="28"/>
                <w:szCs w:val="28"/>
              </w:rPr>
              <w:t>26-0014</w:t>
            </w:r>
            <w:r w:rsidR="00FE2E3F" w:rsidRPr="0013271D">
              <w:rPr>
                <w:sz w:val="28"/>
                <w:szCs w:val="28"/>
              </w:rPr>
              <w:t xml:space="preserve"> </w:t>
            </w:r>
          </w:p>
          <w:p w14:paraId="52726826" w14:textId="2BC5B09E" w:rsidR="009F0E74" w:rsidRPr="0013271D" w:rsidRDefault="00004BE6" w:rsidP="0077251F">
            <w:pPr>
              <w:pStyle w:val="Pleadingtitl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REPLY IN SUPPORT OF </w:t>
            </w:r>
            <w:r w:rsidR="00733EA8">
              <w:rPr>
                <w:b/>
                <w:bCs/>
                <w:sz w:val="28"/>
                <w:szCs w:val="28"/>
              </w:rPr>
              <w:t>Petition</w:t>
            </w:r>
          </w:p>
        </w:tc>
      </w:tr>
    </w:tbl>
    <w:p w14:paraId="7AC10263" w14:textId="77777777" w:rsidR="009F0E74" w:rsidRPr="0013271D" w:rsidRDefault="009F0E74">
      <w:pPr>
        <w:pStyle w:val="NoSpacing"/>
        <w:rPr>
          <w:sz w:val="28"/>
          <w:szCs w:val="28"/>
        </w:rPr>
      </w:pPr>
    </w:p>
    <w:p w14:paraId="74F1CF10" w14:textId="19A8AD0D" w:rsidR="00550BEF" w:rsidRDefault="000C3749" w:rsidP="00EC58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50BEF">
        <w:rPr>
          <w:sz w:val="28"/>
          <w:szCs w:val="28"/>
        </w:rPr>
        <w:t>etitioner hereby re</w:t>
      </w:r>
      <w:r w:rsidR="00AD574B">
        <w:rPr>
          <w:sz w:val="28"/>
          <w:szCs w:val="28"/>
        </w:rPr>
        <w:t>plie</w:t>
      </w:r>
      <w:r w:rsidR="00550BEF">
        <w:rPr>
          <w:sz w:val="28"/>
          <w:szCs w:val="28"/>
        </w:rPr>
        <w:t>s to the</w:t>
      </w:r>
      <w:r w:rsidR="00B13A3B">
        <w:rPr>
          <w:sz w:val="28"/>
          <w:szCs w:val="28"/>
        </w:rPr>
        <w:t xml:space="preserve"> </w:t>
      </w:r>
      <w:r w:rsidR="005C6F1D">
        <w:rPr>
          <w:sz w:val="28"/>
          <w:szCs w:val="28"/>
        </w:rPr>
        <w:t xml:space="preserve">Comment in Opposition to this Petition filed by the Attorney Regulation Committee (“ARC”) on </w:t>
      </w:r>
      <w:r w:rsidR="0054214D">
        <w:rPr>
          <w:sz w:val="28"/>
          <w:szCs w:val="28"/>
        </w:rPr>
        <w:t>April 27, 2026.</w:t>
      </w:r>
    </w:p>
    <w:p w14:paraId="4C00AC75" w14:textId="32FD4EEF" w:rsidR="00AA05E4" w:rsidRDefault="00F0621D" w:rsidP="00615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Regarding</w:t>
      </w:r>
      <w:r w:rsidR="00805F43">
        <w:rPr>
          <w:sz w:val="28"/>
          <w:szCs w:val="28"/>
        </w:rPr>
        <w:t xml:space="preserve"> the factual background described </w:t>
      </w:r>
      <w:r w:rsidR="00DC2275">
        <w:rPr>
          <w:sz w:val="28"/>
          <w:szCs w:val="28"/>
        </w:rPr>
        <w:t>in the Comment</w:t>
      </w:r>
      <w:r w:rsidR="00903DCA">
        <w:rPr>
          <w:sz w:val="28"/>
          <w:szCs w:val="28"/>
        </w:rPr>
        <w:t xml:space="preserve">, </w:t>
      </w:r>
      <w:r w:rsidR="006158E8">
        <w:rPr>
          <w:sz w:val="28"/>
          <w:szCs w:val="28"/>
        </w:rPr>
        <w:t>Petitioner has a couple of minor comments</w:t>
      </w:r>
      <w:r w:rsidR="00903DCA">
        <w:rPr>
          <w:sz w:val="28"/>
          <w:szCs w:val="28"/>
        </w:rPr>
        <w:t>.</w:t>
      </w:r>
      <w:r w:rsidR="00D47BFF">
        <w:rPr>
          <w:sz w:val="28"/>
          <w:szCs w:val="28"/>
        </w:rPr>
        <w:t xml:space="preserve">  First</w:t>
      </w:r>
      <w:r w:rsidR="00903DCA">
        <w:rPr>
          <w:sz w:val="28"/>
          <w:szCs w:val="28"/>
        </w:rPr>
        <w:t xml:space="preserve">, Petitioner </w:t>
      </w:r>
      <w:r w:rsidR="00D47BFF">
        <w:rPr>
          <w:sz w:val="28"/>
          <w:szCs w:val="28"/>
        </w:rPr>
        <w:t xml:space="preserve">did </w:t>
      </w:r>
      <w:r w:rsidR="00903DCA">
        <w:rPr>
          <w:sz w:val="28"/>
          <w:szCs w:val="28"/>
        </w:rPr>
        <w:t xml:space="preserve">offer some evidence—her word.  </w:t>
      </w:r>
      <w:r w:rsidR="000234C1">
        <w:rPr>
          <w:sz w:val="28"/>
          <w:szCs w:val="28"/>
        </w:rPr>
        <w:t xml:space="preserve">Petitioner </w:t>
      </w:r>
      <w:r w:rsidR="005E7D25">
        <w:rPr>
          <w:sz w:val="28"/>
          <w:szCs w:val="28"/>
        </w:rPr>
        <w:t xml:space="preserve">did not list names of applicants because those names are confidential.  Petitioner </w:t>
      </w:r>
      <w:r w:rsidR="000234C1">
        <w:rPr>
          <w:sz w:val="28"/>
          <w:szCs w:val="28"/>
        </w:rPr>
        <w:t xml:space="preserve">is not representing any client in this Petition.  Petitioner prepared this Petition (and others) </w:t>
      </w:r>
      <w:r w:rsidR="004D5FBB">
        <w:rPr>
          <w:sz w:val="28"/>
          <w:szCs w:val="28"/>
        </w:rPr>
        <w:t xml:space="preserve">on behalf of applicants generally, </w:t>
      </w:r>
      <w:r w:rsidR="000234C1">
        <w:rPr>
          <w:sz w:val="28"/>
          <w:szCs w:val="28"/>
        </w:rPr>
        <w:t xml:space="preserve">in her capacity as a lawyer who frequently represents </w:t>
      </w:r>
      <w:r w:rsidR="00E41497">
        <w:rPr>
          <w:sz w:val="28"/>
          <w:szCs w:val="28"/>
        </w:rPr>
        <w:t xml:space="preserve">applicants and has done so for nearly 20 years.  </w:t>
      </w:r>
      <w:r w:rsidR="00D47BFF">
        <w:rPr>
          <w:sz w:val="28"/>
          <w:szCs w:val="28"/>
        </w:rPr>
        <w:t>Second</w:t>
      </w:r>
      <w:r w:rsidR="00AA05E4">
        <w:rPr>
          <w:sz w:val="28"/>
          <w:szCs w:val="28"/>
        </w:rPr>
        <w:t xml:space="preserve">, </w:t>
      </w:r>
      <w:r w:rsidR="00CD1B5B">
        <w:rPr>
          <w:sz w:val="28"/>
          <w:szCs w:val="28"/>
        </w:rPr>
        <w:t>Petitioner is of the impression that inquiries or hearings that take “several days” are</w:t>
      </w:r>
      <w:r w:rsidR="00A442A2">
        <w:rPr>
          <w:sz w:val="28"/>
          <w:szCs w:val="28"/>
        </w:rPr>
        <w:t xml:space="preserve"> </w:t>
      </w:r>
      <w:r w:rsidR="00CD1B5B">
        <w:rPr>
          <w:sz w:val="28"/>
          <w:szCs w:val="28"/>
        </w:rPr>
        <w:t xml:space="preserve">rare.  This impression is based on the fact that Petitioner has represented over </w:t>
      </w:r>
      <w:r w:rsidR="003D725C">
        <w:rPr>
          <w:sz w:val="28"/>
          <w:szCs w:val="28"/>
        </w:rPr>
        <w:t xml:space="preserve">three </w:t>
      </w:r>
      <w:r w:rsidR="003D725C">
        <w:rPr>
          <w:sz w:val="28"/>
          <w:szCs w:val="28"/>
        </w:rPr>
        <w:lastRenderedPageBreak/>
        <w:t>hundred</w:t>
      </w:r>
      <w:r w:rsidR="00CD1B5B">
        <w:rPr>
          <w:sz w:val="28"/>
          <w:szCs w:val="28"/>
        </w:rPr>
        <w:t xml:space="preserve"> applicants now and does not recall ever having had</w:t>
      </w:r>
      <w:r w:rsidR="00C004D6">
        <w:rPr>
          <w:sz w:val="28"/>
          <w:szCs w:val="28"/>
        </w:rPr>
        <w:t xml:space="preserve"> (or heard of)</w:t>
      </w:r>
      <w:r w:rsidR="00CD1B5B">
        <w:rPr>
          <w:sz w:val="28"/>
          <w:szCs w:val="28"/>
        </w:rPr>
        <w:t xml:space="preserve"> a hearing or an inquiry </w:t>
      </w:r>
      <w:r w:rsidR="00105BE6">
        <w:rPr>
          <w:sz w:val="28"/>
          <w:szCs w:val="28"/>
        </w:rPr>
        <w:t xml:space="preserve">that </w:t>
      </w:r>
      <w:r w:rsidR="009E706E">
        <w:rPr>
          <w:sz w:val="28"/>
          <w:szCs w:val="28"/>
        </w:rPr>
        <w:t>took</w:t>
      </w:r>
      <w:r w:rsidR="00105BE6">
        <w:rPr>
          <w:sz w:val="28"/>
          <w:szCs w:val="28"/>
        </w:rPr>
        <w:t xml:space="preserve"> longer than one day</w:t>
      </w:r>
      <w:r w:rsidR="00C004D6">
        <w:rPr>
          <w:sz w:val="28"/>
          <w:szCs w:val="28"/>
        </w:rPr>
        <w:t xml:space="preserve">—other than </w:t>
      </w:r>
      <w:r w:rsidR="009864AF">
        <w:rPr>
          <w:sz w:val="28"/>
          <w:szCs w:val="28"/>
        </w:rPr>
        <w:t>an examination-related hearing that Mark Harrison and Scott Rhodes worked on</w:t>
      </w:r>
      <w:r w:rsidR="00105BE6">
        <w:rPr>
          <w:sz w:val="28"/>
          <w:szCs w:val="28"/>
        </w:rPr>
        <w:t>.</w:t>
      </w:r>
      <w:r w:rsidR="009864AF">
        <w:rPr>
          <w:sz w:val="28"/>
          <w:szCs w:val="28"/>
        </w:rPr>
        <w:t xml:space="preserve">  </w:t>
      </w:r>
    </w:p>
    <w:p w14:paraId="1B75ED58" w14:textId="6A57574A" w:rsidR="008679F4" w:rsidRDefault="00250B39" w:rsidP="00CD1B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Moving on</w:t>
      </w:r>
      <w:r w:rsidR="00AD574B">
        <w:rPr>
          <w:sz w:val="28"/>
          <w:szCs w:val="28"/>
        </w:rPr>
        <w:t xml:space="preserve"> to </w:t>
      </w:r>
      <w:r w:rsidR="00496749">
        <w:rPr>
          <w:sz w:val="28"/>
          <w:szCs w:val="28"/>
        </w:rPr>
        <w:t xml:space="preserve">the issue of including a deadline for </w:t>
      </w:r>
      <w:r w:rsidR="00E644E8">
        <w:rPr>
          <w:sz w:val="28"/>
          <w:szCs w:val="28"/>
        </w:rPr>
        <w:t>report</w:t>
      </w:r>
      <w:r w:rsidR="00496749">
        <w:rPr>
          <w:sz w:val="28"/>
          <w:szCs w:val="28"/>
        </w:rPr>
        <w:t>s</w:t>
      </w:r>
      <w:r w:rsidR="008679F4">
        <w:rPr>
          <w:sz w:val="28"/>
          <w:szCs w:val="28"/>
        </w:rPr>
        <w:t xml:space="preserve">, </w:t>
      </w:r>
      <w:r w:rsidR="007C2D9A">
        <w:rPr>
          <w:sz w:val="28"/>
          <w:szCs w:val="28"/>
        </w:rPr>
        <w:t xml:space="preserve">the Comment </w:t>
      </w:r>
      <w:r w:rsidR="00726B27">
        <w:rPr>
          <w:sz w:val="28"/>
          <w:szCs w:val="28"/>
        </w:rPr>
        <w:t xml:space="preserve">and its Exhibit </w:t>
      </w:r>
      <w:r w:rsidR="007C2D9A">
        <w:rPr>
          <w:sz w:val="28"/>
          <w:szCs w:val="28"/>
        </w:rPr>
        <w:t xml:space="preserve">raise </w:t>
      </w:r>
      <w:r w:rsidR="00687244">
        <w:rPr>
          <w:sz w:val="28"/>
          <w:szCs w:val="28"/>
        </w:rPr>
        <w:t>the following thoughts for Petitioner:</w:t>
      </w:r>
    </w:p>
    <w:p w14:paraId="20CDAD71" w14:textId="7C43C5D9" w:rsidR="00350148" w:rsidRDefault="00722A84" w:rsidP="0001101C">
      <w:pPr>
        <w:pStyle w:val="ListParagraph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While there </w:t>
      </w:r>
      <w:r w:rsidR="006D33FC">
        <w:rPr>
          <w:sz w:val="28"/>
          <w:szCs w:val="28"/>
        </w:rPr>
        <w:t xml:space="preserve">were over 1100 applicants in 2025, </w:t>
      </w:r>
      <w:r w:rsidR="000D20EF">
        <w:rPr>
          <w:sz w:val="28"/>
          <w:szCs w:val="28"/>
        </w:rPr>
        <w:t xml:space="preserve">there </w:t>
      </w:r>
      <w:r>
        <w:rPr>
          <w:sz w:val="28"/>
          <w:szCs w:val="28"/>
        </w:rPr>
        <w:t>were only 57 inquiries or hearings.</w:t>
      </w:r>
      <w:r w:rsidR="000D20EF">
        <w:rPr>
          <w:sz w:val="28"/>
          <w:szCs w:val="28"/>
        </w:rPr>
        <w:t xml:space="preserve">  The Committee </w:t>
      </w:r>
      <w:r w:rsidR="00350148">
        <w:rPr>
          <w:sz w:val="28"/>
          <w:szCs w:val="28"/>
        </w:rPr>
        <w:t>does not have to prepare an</w:t>
      </w:r>
      <w:r w:rsidR="00E644E8">
        <w:rPr>
          <w:sz w:val="28"/>
          <w:szCs w:val="28"/>
        </w:rPr>
        <w:t>y</w:t>
      </w:r>
      <w:r w:rsidR="00350148">
        <w:rPr>
          <w:sz w:val="28"/>
          <w:szCs w:val="28"/>
        </w:rPr>
        <w:t xml:space="preserve"> report</w:t>
      </w:r>
      <w:r w:rsidR="000D20EF">
        <w:rPr>
          <w:sz w:val="28"/>
          <w:szCs w:val="28"/>
        </w:rPr>
        <w:t xml:space="preserve"> on the other </w:t>
      </w:r>
      <w:r w:rsidR="00350148">
        <w:rPr>
          <w:sz w:val="28"/>
          <w:szCs w:val="28"/>
        </w:rPr>
        <w:t>1,000 + applicants.</w:t>
      </w:r>
    </w:p>
    <w:p w14:paraId="6B68638E" w14:textId="77777777" w:rsidR="0001101C" w:rsidRDefault="0001101C" w:rsidP="0001101C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0A835BEA" w14:textId="015311FD" w:rsidR="0001101C" w:rsidRPr="00B9170A" w:rsidRDefault="00481E22" w:rsidP="00B9170A">
      <w:pPr>
        <w:pStyle w:val="ListParagraph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Committee </w:t>
      </w:r>
      <w:r w:rsidR="009E706E">
        <w:rPr>
          <w:sz w:val="28"/>
          <w:szCs w:val="28"/>
        </w:rPr>
        <w:t>did</w:t>
      </w:r>
      <w:r>
        <w:rPr>
          <w:sz w:val="28"/>
          <w:szCs w:val="28"/>
        </w:rPr>
        <w:t xml:space="preserve"> not have to prepare a</w:t>
      </w:r>
      <w:r w:rsidR="00E64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report on </w:t>
      </w:r>
      <w:r w:rsidR="007113C8">
        <w:rPr>
          <w:sz w:val="28"/>
          <w:szCs w:val="28"/>
        </w:rPr>
        <w:t>all</w:t>
      </w:r>
      <w:r>
        <w:rPr>
          <w:sz w:val="28"/>
          <w:szCs w:val="28"/>
        </w:rPr>
        <w:t xml:space="preserve"> </w:t>
      </w:r>
      <w:r w:rsidR="0051280B">
        <w:rPr>
          <w:sz w:val="28"/>
          <w:szCs w:val="28"/>
        </w:rPr>
        <w:t xml:space="preserve">57 of the </w:t>
      </w:r>
      <w:r>
        <w:rPr>
          <w:sz w:val="28"/>
          <w:szCs w:val="28"/>
        </w:rPr>
        <w:t xml:space="preserve">inquiries or hearings, either.  </w:t>
      </w:r>
      <w:r w:rsidR="007113C8">
        <w:rPr>
          <w:sz w:val="28"/>
          <w:szCs w:val="28"/>
        </w:rPr>
        <w:t xml:space="preserve">Only in certain categories.  </w:t>
      </w:r>
      <w:r>
        <w:rPr>
          <w:sz w:val="28"/>
          <w:szCs w:val="28"/>
        </w:rPr>
        <w:t xml:space="preserve">The Comment does not indicate how many of the 57 inquiries/hearings </w:t>
      </w:r>
      <w:r w:rsidR="007113C8">
        <w:rPr>
          <w:sz w:val="28"/>
          <w:szCs w:val="28"/>
        </w:rPr>
        <w:t xml:space="preserve">in 2025 </w:t>
      </w:r>
      <w:r>
        <w:rPr>
          <w:sz w:val="28"/>
          <w:szCs w:val="28"/>
        </w:rPr>
        <w:t xml:space="preserve">required a </w:t>
      </w:r>
      <w:r w:rsidR="004023AD">
        <w:rPr>
          <w:sz w:val="28"/>
          <w:szCs w:val="28"/>
        </w:rPr>
        <w:t xml:space="preserve">written </w:t>
      </w:r>
      <w:r w:rsidR="00E644E8">
        <w:rPr>
          <w:sz w:val="28"/>
          <w:szCs w:val="28"/>
        </w:rPr>
        <w:t>report</w:t>
      </w:r>
      <w:r>
        <w:rPr>
          <w:sz w:val="28"/>
          <w:szCs w:val="28"/>
        </w:rPr>
        <w:t xml:space="preserve">. </w:t>
      </w:r>
      <w:r w:rsidR="00B9170A">
        <w:rPr>
          <w:sz w:val="28"/>
          <w:szCs w:val="28"/>
        </w:rPr>
        <w:t>(Petitioner guesses approximately half, given the number of conditional admissions for 2025.)</w:t>
      </w:r>
      <w:r w:rsidRPr="00B9170A">
        <w:rPr>
          <w:sz w:val="28"/>
          <w:szCs w:val="28"/>
        </w:rPr>
        <w:t xml:space="preserve"> </w:t>
      </w:r>
    </w:p>
    <w:p w14:paraId="039BC93A" w14:textId="77777777" w:rsidR="0001101C" w:rsidRDefault="0001101C" w:rsidP="0001101C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5C1EA8CB" w14:textId="7BEA3FBD" w:rsidR="0001101C" w:rsidRPr="0001101C" w:rsidRDefault="00722A84" w:rsidP="0001101C">
      <w:pPr>
        <w:pStyle w:val="ListParagraph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Seven (7) of t</w:t>
      </w:r>
      <w:r w:rsidR="00350148">
        <w:rPr>
          <w:sz w:val="28"/>
          <w:szCs w:val="28"/>
        </w:rPr>
        <w:t xml:space="preserve">he </w:t>
      </w:r>
      <w:r w:rsidR="007113C8">
        <w:rPr>
          <w:sz w:val="28"/>
          <w:szCs w:val="28"/>
        </w:rPr>
        <w:t xml:space="preserve">unknown </w:t>
      </w:r>
      <w:r w:rsidR="00E644E8">
        <w:rPr>
          <w:sz w:val="28"/>
          <w:szCs w:val="28"/>
        </w:rPr>
        <w:t xml:space="preserve">(but less than 57) </w:t>
      </w:r>
      <w:r w:rsidR="007113C8">
        <w:rPr>
          <w:sz w:val="28"/>
          <w:szCs w:val="28"/>
        </w:rPr>
        <w:t>number</w:t>
      </w:r>
      <w:r w:rsidR="006A0CF1">
        <w:rPr>
          <w:sz w:val="28"/>
          <w:szCs w:val="28"/>
        </w:rPr>
        <w:t xml:space="preserve"> </w:t>
      </w:r>
      <w:r w:rsidR="007113C8">
        <w:rPr>
          <w:sz w:val="28"/>
          <w:szCs w:val="28"/>
        </w:rPr>
        <w:t>of</w:t>
      </w:r>
      <w:r w:rsidR="00350148">
        <w:rPr>
          <w:sz w:val="28"/>
          <w:szCs w:val="28"/>
        </w:rPr>
        <w:t xml:space="preserve"> inquiries/hearings</w:t>
      </w:r>
      <w:r w:rsidR="007113C8">
        <w:rPr>
          <w:sz w:val="28"/>
          <w:szCs w:val="28"/>
        </w:rPr>
        <w:t xml:space="preserve"> that required a </w:t>
      </w:r>
      <w:r w:rsidR="006A0CF1">
        <w:rPr>
          <w:sz w:val="28"/>
          <w:szCs w:val="28"/>
        </w:rPr>
        <w:t xml:space="preserve">written </w:t>
      </w:r>
      <w:r w:rsidR="007113C8">
        <w:rPr>
          <w:sz w:val="28"/>
          <w:szCs w:val="28"/>
        </w:rPr>
        <w:t>report</w:t>
      </w:r>
      <w:r>
        <w:rPr>
          <w:sz w:val="28"/>
          <w:szCs w:val="28"/>
        </w:rPr>
        <w:t xml:space="preserve"> took longer than the average time</w:t>
      </w:r>
      <w:r w:rsidR="00B87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frame of 57 days, according to the Comment.  The Exhibit </w:t>
      </w:r>
      <w:r w:rsidR="00214BBD">
        <w:rPr>
          <w:sz w:val="28"/>
          <w:szCs w:val="28"/>
        </w:rPr>
        <w:t xml:space="preserve">to the Comment </w:t>
      </w:r>
      <w:r>
        <w:rPr>
          <w:sz w:val="28"/>
          <w:szCs w:val="28"/>
        </w:rPr>
        <w:t>does not specify how much longer</w:t>
      </w:r>
      <w:r w:rsidR="00521C36">
        <w:rPr>
          <w:sz w:val="28"/>
          <w:szCs w:val="28"/>
        </w:rPr>
        <w:t xml:space="preserve"> for </w:t>
      </w:r>
      <w:r w:rsidR="007A37F5">
        <w:rPr>
          <w:sz w:val="28"/>
          <w:szCs w:val="28"/>
        </w:rPr>
        <w:t>those</w:t>
      </w:r>
      <w:r w:rsidR="00214BBD">
        <w:rPr>
          <w:sz w:val="28"/>
          <w:szCs w:val="28"/>
        </w:rPr>
        <w:t xml:space="preserve"> seven (7)</w:t>
      </w:r>
      <w:r>
        <w:rPr>
          <w:sz w:val="28"/>
          <w:szCs w:val="28"/>
        </w:rPr>
        <w:t xml:space="preserve">.  </w:t>
      </w:r>
    </w:p>
    <w:p w14:paraId="2897A195" w14:textId="77777777" w:rsidR="0001101C" w:rsidRDefault="0001101C" w:rsidP="0001101C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4A5E46CE" w14:textId="612DC909" w:rsidR="004023AD" w:rsidRPr="004023AD" w:rsidRDefault="00711D76" w:rsidP="004023AD">
      <w:pPr>
        <w:pStyle w:val="ListParagraph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When considering an average time of 57 days to issue a decision, it should be remembered that the applicant </w:t>
      </w:r>
      <w:r w:rsidR="00726950">
        <w:rPr>
          <w:sz w:val="28"/>
          <w:szCs w:val="28"/>
        </w:rPr>
        <w:t xml:space="preserve">already waited at minimum one month longer than </w:t>
      </w:r>
      <w:r w:rsidR="0081716A">
        <w:rPr>
          <w:sz w:val="28"/>
          <w:szCs w:val="28"/>
        </w:rPr>
        <w:t>other applicants that year—and usually more like three months longer</w:t>
      </w:r>
      <w:r w:rsidR="004B1D16">
        <w:rPr>
          <w:sz w:val="28"/>
          <w:szCs w:val="28"/>
        </w:rPr>
        <w:t xml:space="preserve">—just to get to the hearing/inquiry.  </w:t>
      </w:r>
    </w:p>
    <w:p w14:paraId="20CBED60" w14:textId="77777777" w:rsidR="004023AD" w:rsidRDefault="004023AD" w:rsidP="004023AD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01DB8517" w14:textId="0DB38618" w:rsidR="004023AD" w:rsidRPr="004023AD" w:rsidRDefault="004B1D16" w:rsidP="004023AD">
      <w:pPr>
        <w:pStyle w:val="ListParagraph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may be additional waiting time even after getting the </w:t>
      </w:r>
      <w:r w:rsidR="00381187">
        <w:rPr>
          <w:sz w:val="28"/>
          <w:szCs w:val="28"/>
        </w:rPr>
        <w:t>decision if</w:t>
      </w:r>
      <w:r>
        <w:rPr>
          <w:sz w:val="28"/>
          <w:szCs w:val="28"/>
        </w:rPr>
        <w:t xml:space="preserve"> </w:t>
      </w:r>
      <w:r w:rsidR="00B87995">
        <w:rPr>
          <w:sz w:val="28"/>
          <w:szCs w:val="28"/>
        </w:rPr>
        <w:t>the Court must approve the decision</w:t>
      </w:r>
      <w:r>
        <w:rPr>
          <w:sz w:val="28"/>
          <w:szCs w:val="28"/>
        </w:rPr>
        <w:t>.</w:t>
      </w:r>
      <w:r w:rsidR="0035693E" w:rsidRPr="00481E22">
        <w:rPr>
          <w:sz w:val="28"/>
          <w:szCs w:val="28"/>
        </w:rPr>
        <w:t xml:space="preserve"> </w:t>
      </w:r>
    </w:p>
    <w:p w14:paraId="226B1A45" w14:textId="77777777" w:rsidR="004023AD" w:rsidRPr="00481E22" w:rsidRDefault="004023AD" w:rsidP="004023AD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77BBFB30" w14:textId="6132860D" w:rsidR="004B1D16" w:rsidRPr="00687244" w:rsidRDefault="00A35118" w:rsidP="004023AD">
      <w:pPr>
        <w:pStyle w:val="ListParagraph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AA6C52">
        <w:rPr>
          <w:sz w:val="28"/>
          <w:szCs w:val="28"/>
        </w:rPr>
        <w:t xml:space="preserve">he minutes of the ARC meeting for </w:t>
      </w:r>
      <w:r w:rsidR="00551A44">
        <w:rPr>
          <w:sz w:val="28"/>
          <w:szCs w:val="28"/>
        </w:rPr>
        <w:t xml:space="preserve">March 17, 2026, </w:t>
      </w:r>
      <w:r>
        <w:rPr>
          <w:sz w:val="28"/>
          <w:szCs w:val="28"/>
        </w:rPr>
        <w:t xml:space="preserve">show that four members voted against opposing the Petition.  Naturally one of those was Petitioner.  Another was a law </w:t>
      </w:r>
      <w:r w:rsidR="00F84E1A">
        <w:rPr>
          <w:sz w:val="28"/>
          <w:szCs w:val="28"/>
        </w:rPr>
        <w:t xml:space="preserve">school professor who works with students regularly.  </w:t>
      </w:r>
      <w:r w:rsidR="00481E22">
        <w:rPr>
          <w:sz w:val="28"/>
          <w:szCs w:val="28"/>
        </w:rPr>
        <w:t>Petitioner finds it interesting that</w:t>
      </w:r>
      <w:r w:rsidR="00F84E1A">
        <w:rPr>
          <w:sz w:val="28"/>
          <w:szCs w:val="28"/>
        </w:rPr>
        <w:t xml:space="preserve"> the other two objections were from two </w:t>
      </w:r>
      <w:r w:rsidR="00C45F52">
        <w:rPr>
          <w:sz w:val="28"/>
          <w:szCs w:val="28"/>
        </w:rPr>
        <w:t xml:space="preserve">of the three </w:t>
      </w:r>
      <w:r w:rsidR="00F84E1A">
        <w:rPr>
          <w:sz w:val="28"/>
          <w:szCs w:val="28"/>
        </w:rPr>
        <w:t xml:space="preserve">public members </w:t>
      </w:r>
      <w:r w:rsidR="00E644E8">
        <w:rPr>
          <w:sz w:val="28"/>
          <w:szCs w:val="28"/>
        </w:rPr>
        <w:t>o</w:t>
      </w:r>
      <w:r w:rsidR="00F84E1A">
        <w:rPr>
          <w:sz w:val="28"/>
          <w:szCs w:val="28"/>
        </w:rPr>
        <w:t>n the ARC.</w:t>
      </w:r>
      <w:r w:rsidR="00306831">
        <w:rPr>
          <w:sz w:val="28"/>
          <w:szCs w:val="28"/>
        </w:rPr>
        <w:t xml:space="preserve"> </w:t>
      </w:r>
      <w:r w:rsidR="00F84E1A">
        <w:rPr>
          <w:sz w:val="28"/>
          <w:szCs w:val="28"/>
        </w:rPr>
        <w:t xml:space="preserve">  </w:t>
      </w:r>
    </w:p>
    <w:p w14:paraId="4E35E392" w14:textId="7CD71082" w:rsidR="00A83C1A" w:rsidRDefault="00E833D3" w:rsidP="00CD1B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While Petitioner understands that it is difficult </w:t>
      </w:r>
      <w:r w:rsidR="00B73D81">
        <w:rPr>
          <w:sz w:val="28"/>
          <w:szCs w:val="28"/>
        </w:rPr>
        <w:t xml:space="preserve">to ask volunteers with full-time jobs to </w:t>
      </w:r>
      <w:r w:rsidR="00C26085">
        <w:rPr>
          <w:sz w:val="28"/>
          <w:szCs w:val="28"/>
        </w:rPr>
        <w:t>expedite their preparation of a decision, Petitioner is of the opinion that the lack of any written time</w:t>
      </w:r>
      <w:r w:rsidR="0052244E">
        <w:rPr>
          <w:sz w:val="28"/>
          <w:szCs w:val="28"/>
        </w:rPr>
        <w:t xml:space="preserve"> </w:t>
      </w:r>
      <w:r w:rsidR="00C26085">
        <w:rPr>
          <w:sz w:val="28"/>
          <w:szCs w:val="28"/>
        </w:rPr>
        <w:t xml:space="preserve">frame does not help with that situation.  </w:t>
      </w:r>
      <w:r w:rsidR="00371707">
        <w:rPr>
          <w:sz w:val="28"/>
          <w:szCs w:val="28"/>
        </w:rPr>
        <w:t xml:space="preserve">Petitioner is of the opinion that the average time frame of 57 days is too long, and the </w:t>
      </w:r>
      <w:r w:rsidR="003D725C">
        <w:rPr>
          <w:sz w:val="28"/>
          <w:szCs w:val="28"/>
        </w:rPr>
        <w:t>seven</w:t>
      </w:r>
      <w:r w:rsidR="00371707">
        <w:rPr>
          <w:sz w:val="28"/>
          <w:szCs w:val="28"/>
        </w:rPr>
        <w:t xml:space="preserve"> outlying times were most definitely too long.  Petitioner </w:t>
      </w:r>
      <w:r w:rsidR="007B5D29">
        <w:rPr>
          <w:sz w:val="28"/>
          <w:szCs w:val="28"/>
        </w:rPr>
        <w:t xml:space="preserve">does not think </w:t>
      </w:r>
      <w:r w:rsidR="00882AD2">
        <w:rPr>
          <w:sz w:val="28"/>
          <w:szCs w:val="28"/>
        </w:rPr>
        <w:t>this</w:t>
      </w:r>
      <w:r w:rsidR="007B5D29">
        <w:rPr>
          <w:sz w:val="28"/>
          <w:szCs w:val="28"/>
        </w:rPr>
        <w:t xml:space="preserve"> is anything “bad” reflecting on the Committee</w:t>
      </w:r>
      <w:r w:rsidR="00A83C1A">
        <w:rPr>
          <w:sz w:val="28"/>
          <w:szCs w:val="28"/>
        </w:rPr>
        <w:t xml:space="preserve"> members</w:t>
      </w:r>
      <w:r w:rsidR="007B5D29">
        <w:rPr>
          <w:sz w:val="28"/>
          <w:szCs w:val="28"/>
        </w:rPr>
        <w:t xml:space="preserve">, and </w:t>
      </w:r>
      <w:r w:rsidR="00A83C1A">
        <w:rPr>
          <w:sz w:val="28"/>
          <w:szCs w:val="28"/>
        </w:rPr>
        <w:t xml:space="preserve">in fact </w:t>
      </w:r>
      <w:r w:rsidR="00214BBD">
        <w:rPr>
          <w:sz w:val="28"/>
          <w:szCs w:val="28"/>
        </w:rPr>
        <w:t>understand</w:t>
      </w:r>
      <w:r w:rsidR="007B5D29">
        <w:rPr>
          <w:sz w:val="28"/>
          <w:szCs w:val="28"/>
        </w:rPr>
        <w:t xml:space="preserve">s that </w:t>
      </w:r>
      <w:r w:rsidR="00A83C1A">
        <w:rPr>
          <w:sz w:val="28"/>
          <w:szCs w:val="28"/>
        </w:rPr>
        <w:t>one of the Committee members passed away</w:t>
      </w:r>
      <w:r w:rsidR="006E4E9C">
        <w:rPr>
          <w:sz w:val="28"/>
          <w:szCs w:val="28"/>
        </w:rPr>
        <w:t xml:space="preserve"> during this </w:t>
      </w:r>
      <w:r w:rsidR="00E74233">
        <w:rPr>
          <w:sz w:val="28"/>
          <w:szCs w:val="28"/>
        </w:rPr>
        <w:t>time</w:t>
      </w:r>
      <w:r w:rsidR="00A83C1A">
        <w:rPr>
          <w:sz w:val="28"/>
          <w:szCs w:val="28"/>
        </w:rPr>
        <w:t>.  Clearly there are going to be emergency situations</w:t>
      </w:r>
      <w:r w:rsidR="007A3367">
        <w:rPr>
          <w:sz w:val="28"/>
          <w:szCs w:val="28"/>
        </w:rPr>
        <w:t xml:space="preserve">, and Petitioner understands that.  However, this situation is </w:t>
      </w:r>
      <w:r w:rsidR="004D13F1">
        <w:rPr>
          <w:sz w:val="28"/>
          <w:szCs w:val="28"/>
        </w:rPr>
        <w:t>structural</w:t>
      </w:r>
      <w:r w:rsidR="00561E56">
        <w:rPr>
          <w:sz w:val="28"/>
          <w:szCs w:val="28"/>
        </w:rPr>
        <w:t xml:space="preserve"> in nature</w:t>
      </w:r>
      <w:r w:rsidR="004D13F1">
        <w:rPr>
          <w:sz w:val="28"/>
          <w:szCs w:val="28"/>
        </w:rPr>
        <w:t>,</w:t>
      </w:r>
      <w:r w:rsidR="007A3367">
        <w:rPr>
          <w:sz w:val="28"/>
          <w:szCs w:val="28"/>
        </w:rPr>
        <w:t xml:space="preserve"> and </w:t>
      </w:r>
      <w:r w:rsidR="00DE4C36">
        <w:rPr>
          <w:sz w:val="28"/>
          <w:szCs w:val="28"/>
        </w:rPr>
        <w:t xml:space="preserve">Petitioner believes it </w:t>
      </w:r>
      <w:r w:rsidR="007A3367">
        <w:rPr>
          <w:sz w:val="28"/>
          <w:szCs w:val="28"/>
        </w:rPr>
        <w:t>can be addressed</w:t>
      </w:r>
      <w:r w:rsidR="006E4E9C">
        <w:rPr>
          <w:sz w:val="28"/>
          <w:szCs w:val="28"/>
        </w:rPr>
        <w:t xml:space="preserve"> structurally</w:t>
      </w:r>
      <w:r w:rsidR="00DE4C36">
        <w:rPr>
          <w:sz w:val="28"/>
          <w:szCs w:val="28"/>
        </w:rPr>
        <w:t>.</w:t>
      </w:r>
    </w:p>
    <w:p w14:paraId="0677EB23" w14:textId="1F26CC79" w:rsidR="0054230E" w:rsidRDefault="00DE4C36" w:rsidP="00CD1B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Petitioner therefore </w:t>
      </w:r>
      <w:r w:rsidR="00371707">
        <w:rPr>
          <w:sz w:val="28"/>
          <w:szCs w:val="28"/>
        </w:rPr>
        <w:t>offers the following practical suggestions:</w:t>
      </w:r>
    </w:p>
    <w:p w14:paraId="1F2D2047" w14:textId="37486BCF" w:rsidR="00191359" w:rsidRDefault="009F4809" w:rsidP="00191359">
      <w:pPr>
        <w:pStyle w:val="ListParagraph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 additional </w:t>
      </w:r>
      <w:r w:rsidR="00191359">
        <w:rPr>
          <w:sz w:val="28"/>
          <w:szCs w:val="28"/>
        </w:rPr>
        <w:t xml:space="preserve">lawyer </w:t>
      </w:r>
      <w:r>
        <w:rPr>
          <w:sz w:val="28"/>
          <w:szCs w:val="28"/>
        </w:rPr>
        <w:t>members to the Committee.</w:t>
      </w:r>
      <w:r w:rsidR="00FB28D3">
        <w:rPr>
          <w:sz w:val="28"/>
          <w:szCs w:val="28"/>
        </w:rPr>
        <w:t xml:space="preserve">  </w:t>
      </w:r>
    </w:p>
    <w:p w14:paraId="78D5BDA7" w14:textId="776956A0" w:rsidR="00DB7940" w:rsidRDefault="00E9580E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0DC1F58" w14:textId="35155602" w:rsidR="00191359" w:rsidRPr="00191359" w:rsidRDefault="00DB7940" w:rsidP="00191359">
      <w:pPr>
        <w:pStyle w:val="ListParagraph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Alert </w:t>
      </w:r>
      <w:r w:rsidR="00E9580E">
        <w:rPr>
          <w:sz w:val="28"/>
          <w:szCs w:val="28"/>
        </w:rPr>
        <w:t xml:space="preserve">applicants </w:t>
      </w:r>
      <w:r w:rsidR="00214BBD">
        <w:rPr>
          <w:sz w:val="28"/>
          <w:szCs w:val="28"/>
        </w:rPr>
        <w:t xml:space="preserve">to the Committee </w:t>
      </w:r>
      <w:r w:rsidR="00E9580E">
        <w:rPr>
          <w:sz w:val="28"/>
          <w:szCs w:val="28"/>
        </w:rPr>
        <w:t>that at least one written report per year is expected</w:t>
      </w:r>
      <w:r w:rsidR="00B31A02">
        <w:rPr>
          <w:sz w:val="28"/>
          <w:szCs w:val="28"/>
        </w:rPr>
        <w:t xml:space="preserve"> </w:t>
      </w:r>
      <w:r w:rsidR="00E9580E">
        <w:rPr>
          <w:sz w:val="28"/>
          <w:szCs w:val="28"/>
        </w:rPr>
        <w:t>—</w:t>
      </w:r>
      <w:r w:rsidR="00B31A02">
        <w:rPr>
          <w:sz w:val="28"/>
          <w:szCs w:val="28"/>
        </w:rPr>
        <w:t xml:space="preserve"> </w:t>
      </w:r>
      <w:r w:rsidR="00E9580E">
        <w:rPr>
          <w:sz w:val="28"/>
          <w:szCs w:val="28"/>
        </w:rPr>
        <w:t>perhaps two</w:t>
      </w:r>
      <w:r w:rsidR="00B31A02">
        <w:rPr>
          <w:sz w:val="28"/>
          <w:szCs w:val="28"/>
        </w:rPr>
        <w:t>, depending on how many members there end up being</w:t>
      </w:r>
      <w:r w:rsidR="00E9580E">
        <w:rPr>
          <w:sz w:val="28"/>
          <w:szCs w:val="28"/>
        </w:rPr>
        <w:t>.</w:t>
      </w:r>
      <w:r w:rsidR="009F4809">
        <w:rPr>
          <w:sz w:val="28"/>
          <w:szCs w:val="28"/>
        </w:rPr>
        <w:t xml:space="preserve">  </w:t>
      </w:r>
    </w:p>
    <w:p w14:paraId="595F1CAE" w14:textId="77777777" w:rsidR="00191359" w:rsidRDefault="00191359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37528E19" w14:textId="67863F94" w:rsidR="00191359" w:rsidRPr="00191359" w:rsidRDefault="00570194" w:rsidP="00191359">
      <w:pPr>
        <w:pStyle w:val="ListParagraph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the Petition said, include a timeframe in the Rules.  </w:t>
      </w:r>
      <w:r w:rsidR="00DE4C36">
        <w:rPr>
          <w:sz w:val="28"/>
          <w:szCs w:val="28"/>
        </w:rPr>
        <w:t xml:space="preserve">Simply having a “deadline” </w:t>
      </w:r>
      <w:r w:rsidR="00A97B9A">
        <w:rPr>
          <w:sz w:val="28"/>
          <w:szCs w:val="28"/>
        </w:rPr>
        <w:t xml:space="preserve">will </w:t>
      </w:r>
      <w:r w:rsidR="00F0621D">
        <w:rPr>
          <w:sz w:val="28"/>
          <w:szCs w:val="28"/>
        </w:rPr>
        <w:t>help</w:t>
      </w:r>
      <w:r w:rsidR="00DE4C36">
        <w:rPr>
          <w:sz w:val="28"/>
          <w:szCs w:val="28"/>
        </w:rPr>
        <w:t xml:space="preserve">.  </w:t>
      </w:r>
      <w:r w:rsidR="00F04074">
        <w:rPr>
          <w:sz w:val="28"/>
          <w:szCs w:val="28"/>
        </w:rPr>
        <w:t xml:space="preserve">It never hurts to have expectations.  </w:t>
      </w:r>
      <w:r w:rsidR="009A47A2">
        <w:rPr>
          <w:sz w:val="28"/>
          <w:szCs w:val="28"/>
        </w:rPr>
        <w:t>Lawyers, like people in general, tend to procrastinate.</w:t>
      </w:r>
      <w:r w:rsidR="009A47A2">
        <w:rPr>
          <w:rStyle w:val="FootnoteReference"/>
          <w:sz w:val="28"/>
          <w:szCs w:val="28"/>
        </w:rPr>
        <w:footnoteReference w:id="1"/>
      </w:r>
      <w:r w:rsidR="009A47A2">
        <w:rPr>
          <w:sz w:val="28"/>
          <w:szCs w:val="28"/>
        </w:rPr>
        <w:t xml:space="preserve"> </w:t>
      </w:r>
    </w:p>
    <w:p w14:paraId="4E4CE3D0" w14:textId="3AEA0F1C" w:rsidR="00AF2FE3" w:rsidRDefault="009A47A2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7B2A21" w14:textId="36604269" w:rsidR="00191359" w:rsidRPr="00191359" w:rsidRDefault="00570194" w:rsidP="00191359">
      <w:pPr>
        <w:pStyle w:val="ListParagraph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 alleviate concern that</w:t>
      </w:r>
      <w:r w:rsidR="00127876">
        <w:rPr>
          <w:sz w:val="28"/>
          <w:szCs w:val="28"/>
        </w:rPr>
        <w:t xml:space="preserve"> there will be an emergency, the Court c</w:t>
      </w:r>
      <w:r w:rsidR="00B31A02">
        <w:rPr>
          <w:sz w:val="28"/>
          <w:szCs w:val="28"/>
        </w:rPr>
        <w:t>ould</w:t>
      </w:r>
      <w:r w:rsidR="00127876">
        <w:rPr>
          <w:sz w:val="28"/>
          <w:szCs w:val="28"/>
        </w:rPr>
        <w:t xml:space="preserve"> include </w:t>
      </w:r>
      <w:r w:rsidR="00AF2FE3">
        <w:rPr>
          <w:sz w:val="28"/>
          <w:szCs w:val="28"/>
        </w:rPr>
        <w:t xml:space="preserve">language </w:t>
      </w:r>
      <w:r w:rsidR="00752F84">
        <w:rPr>
          <w:sz w:val="28"/>
          <w:szCs w:val="28"/>
        </w:rPr>
        <w:t>similar to what is</w:t>
      </w:r>
      <w:r w:rsidR="00AF2FE3">
        <w:rPr>
          <w:sz w:val="28"/>
          <w:szCs w:val="28"/>
        </w:rPr>
        <w:t xml:space="preserve"> in the disciplinary hearing rule:</w:t>
      </w:r>
    </w:p>
    <w:p w14:paraId="40CCBCFE" w14:textId="77777777" w:rsidR="00191359" w:rsidRDefault="00191359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6B0DBA5F" w14:textId="36DF6444" w:rsidR="005E1179" w:rsidRDefault="00191359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191359">
        <w:rPr>
          <w:sz w:val="28"/>
          <w:szCs w:val="28"/>
        </w:rPr>
        <w:t xml:space="preserve">(k) Decision. Within thirty (30) days after completion of the formal hearing proceedings or receipt of the transcript, whichever is later, the hearing panel shall prepare and file with the disciplinary clerk a written </w:t>
      </w:r>
      <w:r w:rsidRPr="00191359">
        <w:rPr>
          <w:sz w:val="28"/>
          <w:szCs w:val="28"/>
        </w:rPr>
        <w:lastRenderedPageBreak/>
        <w:t xml:space="preserve">decision </w:t>
      </w:r>
      <w:r w:rsidR="00AF42AC">
        <w:rPr>
          <w:sz w:val="28"/>
          <w:szCs w:val="28"/>
        </w:rPr>
        <w:t xml:space="preserve">[. . . ]. </w:t>
      </w:r>
      <w:r w:rsidRPr="00AF42AC">
        <w:rPr>
          <w:i/>
          <w:iCs/>
          <w:sz w:val="28"/>
          <w:szCs w:val="28"/>
        </w:rPr>
        <w:t>The hearing panel shall notify the parties when the decision will be filed outside the time limits of this rule and shall state the reason for the delay</w:t>
      </w:r>
      <w:r w:rsidRPr="00191359">
        <w:rPr>
          <w:sz w:val="28"/>
          <w:szCs w:val="28"/>
        </w:rPr>
        <w:t xml:space="preserve">. </w:t>
      </w:r>
      <w:r w:rsidR="00AF42AC">
        <w:rPr>
          <w:sz w:val="28"/>
          <w:szCs w:val="28"/>
        </w:rPr>
        <w:t xml:space="preserve">[. . . ].” </w:t>
      </w:r>
    </w:p>
    <w:p w14:paraId="6DE5E94F" w14:textId="77777777" w:rsidR="00752F84" w:rsidRDefault="00752F84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157F6AB5" w14:textId="0AD59BEC" w:rsidR="00AF42AC" w:rsidRDefault="00AF42AC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Rule </w:t>
      </w:r>
      <w:r w:rsidR="00752F84">
        <w:rPr>
          <w:sz w:val="28"/>
          <w:szCs w:val="28"/>
        </w:rPr>
        <w:t>58(k)</w:t>
      </w:r>
      <w:r w:rsidR="006E775B">
        <w:rPr>
          <w:sz w:val="28"/>
          <w:szCs w:val="28"/>
        </w:rPr>
        <w:t xml:space="preserve"> (emphasis added)</w:t>
      </w:r>
      <w:r w:rsidR="00752F84">
        <w:rPr>
          <w:sz w:val="28"/>
          <w:szCs w:val="28"/>
        </w:rPr>
        <w:t>, Ariz. R. Sup. Ct.</w:t>
      </w:r>
    </w:p>
    <w:p w14:paraId="30D084F5" w14:textId="77777777" w:rsidR="00752F84" w:rsidRDefault="00752F84" w:rsidP="00191359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2C3CC954" w14:textId="360FED0D" w:rsidR="00446A55" w:rsidRDefault="007D39F6" w:rsidP="00191359">
      <w:pPr>
        <w:pStyle w:val="ListParagraph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Alternatively, the Court could include language like</w:t>
      </w:r>
      <w:r w:rsidR="00446A55">
        <w:rPr>
          <w:sz w:val="28"/>
          <w:szCs w:val="28"/>
        </w:rPr>
        <w:t xml:space="preserve"> this</w:t>
      </w:r>
      <w:r w:rsidR="006B1F6D">
        <w:rPr>
          <w:sz w:val="28"/>
          <w:szCs w:val="28"/>
        </w:rPr>
        <w:t xml:space="preserve">, </w:t>
      </w:r>
      <w:r w:rsidR="006E775B">
        <w:rPr>
          <w:sz w:val="28"/>
          <w:szCs w:val="28"/>
        </w:rPr>
        <w:t xml:space="preserve">loosely </w:t>
      </w:r>
      <w:r w:rsidR="006B1F6D">
        <w:rPr>
          <w:sz w:val="28"/>
          <w:szCs w:val="28"/>
        </w:rPr>
        <w:t>based on Rule 58(j) and Rule 51(c)(4), Ariz. R. Sup. Ct.</w:t>
      </w:r>
      <w:r w:rsidR="00446A55">
        <w:rPr>
          <w:sz w:val="28"/>
          <w:szCs w:val="28"/>
        </w:rPr>
        <w:t>:</w:t>
      </w:r>
    </w:p>
    <w:p w14:paraId="4C22A0B9" w14:textId="77777777" w:rsidR="00446A55" w:rsidRDefault="00446A55" w:rsidP="00446A55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369CFD25" w14:textId="5E355EBA" w:rsidR="00446A55" w:rsidRDefault="00446A55" w:rsidP="00446A55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C96484" w:rsidRPr="00C96484">
        <w:rPr>
          <w:sz w:val="28"/>
          <w:szCs w:val="28"/>
        </w:rPr>
        <w:t>Time Limits. The hearing</w:t>
      </w:r>
      <w:r w:rsidR="006E775B">
        <w:rPr>
          <w:sz w:val="28"/>
          <w:szCs w:val="28"/>
        </w:rPr>
        <w:t>/inquiry</w:t>
      </w:r>
      <w:r w:rsidR="00C96484" w:rsidRPr="00C96484">
        <w:rPr>
          <w:sz w:val="28"/>
          <w:szCs w:val="28"/>
        </w:rPr>
        <w:t xml:space="preserve"> panel </w:t>
      </w:r>
      <w:r w:rsidR="008B7136" w:rsidRPr="008B7136">
        <w:rPr>
          <w:sz w:val="28"/>
          <w:szCs w:val="28"/>
        </w:rPr>
        <w:t>shall notify the applicant and transmit those findings to the clerk of this Court within 30 days of the hearing</w:t>
      </w:r>
      <w:r w:rsidR="008B7136">
        <w:rPr>
          <w:sz w:val="28"/>
          <w:szCs w:val="28"/>
        </w:rPr>
        <w:t xml:space="preserve">. </w:t>
      </w:r>
      <w:r w:rsidR="00C96484" w:rsidRPr="00C96484">
        <w:rPr>
          <w:sz w:val="28"/>
          <w:szCs w:val="28"/>
        </w:rPr>
        <w:t>Continuances may be granted</w:t>
      </w:r>
      <w:r w:rsidR="00827C2C">
        <w:rPr>
          <w:sz w:val="28"/>
          <w:szCs w:val="28"/>
        </w:rPr>
        <w:t xml:space="preserve"> following </w:t>
      </w:r>
      <w:r w:rsidR="00FB28D3">
        <w:rPr>
          <w:sz w:val="28"/>
          <w:szCs w:val="28"/>
        </w:rPr>
        <w:t>written request to the Chair of the Committee</w:t>
      </w:r>
      <w:r w:rsidR="00C96484" w:rsidRPr="00C96484">
        <w:rPr>
          <w:sz w:val="28"/>
          <w:szCs w:val="28"/>
        </w:rPr>
        <w:t xml:space="preserve"> for no more than thirty (30) days at a time, and may not extend the </w:t>
      </w:r>
      <w:r w:rsidR="008B7136">
        <w:rPr>
          <w:sz w:val="28"/>
          <w:szCs w:val="28"/>
        </w:rPr>
        <w:t xml:space="preserve">date of the decision </w:t>
      </w:r>
      <w:r w:rsidR="00C96484" w:rsidRPr="00C96484">
        <w:rPr>
          <w:sz w:val="28"/>
          <w:szCs w:val="28"/>
        </w:rPr>
        <w:t xml:space="preserve">beyond </w:t>
      </w:r>
      <w:r w:rsidR="008B7136">
        <w:rPr>
          <w:sz w:val="28"/>
          <w:szCs w:val="28"/>
        </w:rPr>
        <w:t>ninety</w:t>
      </w:r>
      <w:r w:rsidR="00C96484" w:rsidRPr="00C96484">
        <w:rPr>
          <w:sz w:val="28"/>
          <w:szCs w:val="28"/>
        </w:rPr>
        <w:t xml:space="preserve"> (</w:t>
      </w:r>
      <w:r w:rsidR="008B7136">
        <w:rPr>
          <w:sz w:val="28"/>
          <w:szCs w:val="28"/>
        </w:rPr>
        <w:t>9</w:t>
      </w:r>
      <w:r w:rsidR="00C96484" w:rsidRPr="00C96484">
        <w:rPr>
          <w:sz w:val="28"/>
          <w:szCs w:val="28"/>
        </w:rPr>
        <w:t xml:space="preserve">0) days from the </w:t>
      </w:r>
      <w:r w:rsidR="006E775B">
        <w:rPr>
          <w:sz w:val="28"/>
          <w:szCs w:val="28"/>
        </w:rPr>
        <w:t>date of the hearing/inquiry</w:t>
      </w:r>
      <w:r w:rsidR="00C96484" w:rsidRPr="00C96484">
        <w:rPr>
          <w:sz w:val="28"/>
          <w:szCs w:val="28"/>
        </w:rPr>
        <w:t xml:space="preserve">, except as otherwise provided by the </w:t>
      </w:r>
      <w:r w:rsidR="006E775B">
        <w:rPr>
          <w:sz w:val="28"/>
          <w:szCs w:val="28"/>
        </w:rPr>
        <w:t>Chair of the Committee</w:t>
      </w:r>
      <w:r w:rsidR="00C96484" w:rsidRPr="00C96484">
        <w:rPr>
          <w:sz w:val="28"/>
          <w:szCs w:val="28"/>
        </w:rPr>
        <w:t>.</w:t>
      </w:r>
    </w:p>
    <w:p w14:paraId="292AB826" w14:textId="77777777" w:rsidR="006E775B" w:rsidRDefault="006E775B" w:rsidP="00446A55">
      <w:pPr>
        <w:pStyle w:val="ListParagraph"/>
        <w:spacing w:line="240" w:lineRule="auto"/>
        <w:ind w:left="1440" w:firstLine="0"/>
        <w:jc w:val="both"/>
        <w:rPr>
          <w:sz w:val="28"/>
          <w:szCs w:val="28"/>
        </w:rPr>
      </w:pPr>
    </w:p>
    <w:p w14:paraId="7DA1BAC2" w14:textId="568852D9" w:rsidR="00AF2FE3" w:rsidRPr="00FF672B" w:rsidRDefault="00711B0C" w:rsidP="00FF672B">
      <w:pPr>
        <w:pStyle w:val="ListParagraph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One Committee member on each hearing/inquiry panel </w:t>
      </w:r>
      <w:r w:rsidR="00214BBD">
        <w:rPr>
          <w:sz w:val="28"/>
          <w:szCs w:val="28"/>
        </w:rPr>
        <w:t>c</w:t>
      </w:r>
      <w:r>
        <w:rPr>
          <w:sz w:val="28"/>
          <w:szCs w:val="28"/>
        </w:rPr>
        <w:t>ould be prepared to be the “back up</w:t>
      </w:r>
      <w:r w:rsidR="00A3132F">
        <w:rPr>
          <w:sz w:val="28"/>
          <w:szCs w:val="28"/>
        </w:rPr>
        <w:t xml:space="preserve">” if for any reason the investigating member becomes unable to prepare the report.  </w:t>
      </w:r>
    </w:p>
    <w:p w14:paraId="7B0A9ADB" w14:textId="77777777" w:rsidR="00371707" w:rsidRDefault="00371707" w:rsidP="00191359">
      <w:pPr>
        <w:spacing w:line="240" w:lineRule="auto"/>
        <w:ind w:firstLine="720"/>
        <w:jc w:val="both"/>
        <w:rPr>
          <w:sz w:val="28"/>
          <w:szCs w:val="28"/>
        </w:rPr>
      </w:pPr>
    </w:p>
    <w:p w14:paraId="73770A19" w14:textId="744E7BB6" w:rsidR="00A170AA" w:rsidRPr="00AC427D" w:rsidRDefault="00A170AA" w:rsidP="00A170AA">
      <w:pPr>
        <w:ind w:firstLine="0"/>
        <w:jc w:val="center"/>
        <w:rPr>
          <w:b/>
          <w:bCs/>
          <w:color w:val="000000"/>
          <w:sz w:val="28"/>
          <w:szCs w:val="28"/>
          <w:u w:val="single"/>
        </w:rPr>
      </w:pPr>
      <w:r w:rsidRPr="00AC427D">
        <w:rPr>
          <w:b/>
          <w:bCs/>
          <w:color w:val="000000"/>
          <w:sz w:val="28"/>
          <w:szCs w:val="28"/>
          <w:u w:val="single"/>
        </w:rPr>
        <w:t>CONCLUSION</w:t>
      </w:r>
    </w:p>
    <w:p w14:paraId="47EC469C" w14:textId="5DDD72D6" w:rsidR="00882AD2" w:rsidRPr="00882AD2" w:rsidRDefault="003530D4" w:rsidP="00AC427D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882AD2" w:rsidRPr="00882AD2">
        <w:rPr>
          <w:color w:val="000000"/>
          <w:sz w:val="28"/>
          <w:szCs w:val="28"/>
        </w:rPr>
        <w:t xml:space="preserve">Finally, and this is important – </w:t>
      </w:r>
      <w:r w:rsidR="0018211B">
        <w:rPr>
          <w:color w:val="000000"/>
          <w:sz w:val="28"/>
          <w:szCs w:val="28"/>
        </w:rPr>
        <w:t xml:space="preserve">the Committee </w:t>
      </w:r>
      <w:r w:rsidR="0018211B" w:rsidRPr="005E5B27">
        <w:rPr>
          <w:color w:val="000000"/>
          <w:sz w:val="28"/>
          <w:szCs w:val="28"/>
          <w:u w:val="single"/>
        </w:rPr>
        <w:t>could</w:t>
      </w:r>
      <w:r w:rsidR="0018211B">
        <w:rPr>
          <w:color w:val="000000"/>
          <w:sz w:val="28"/>
          <w:szCs w:val="28"/>
        </w:rPr>
        <w:t xml:space="preserve"> inform applicants of the result of the hearing or inquiry as soon as they reach a decision</w:t>
      </w:r>
      <w:r w:rsidR="00C9650F">
        <w:rPr>
          <w:color w:val="000000"/>
          <w:sz w:val="28"/>
          <w:szCs w:val="28"/>
        </w:rPr>
        <w:t>—while advising that a formal writing will follow</w:t>
      </w:r>
      <w:r w:rsidR="0018211B">
        <w:rPr>
          <w:color w:val="000000"/>
          <w:sz w:val="28"/>
          <w:szCs w:val="28"/>
        </w:rPr>
        <w:t xml:space="preserve">.  </w:t>
      </w:r>
      <w:r w:rsidR="00A71B70">
        <w:rPr>
          <w:color w:val="000000"/>
          <w:sz w:val="28"/>
          <w:szCs w:val="28"/>
        </w:rPr>
        <w:t xml:space="preserve">There is no actual requirement that notification of the results wait for a written </w:t>
      </w:r>
      <w:r w:rsidR="003D6F94">
        <w:rPr>
          <w:color w:val="000000"/>
          <w:sz w:val="28"/>
          <w:szCs w:val="28"/>
        </w:rPr>
        <w:t>report</w:t>
      </w:r>
      <w:r w:rsidR="00C9650F">
        <w:rPr>
          <w:color w:val="000000"/>
          <w:sz w:val="28"/>
          <w:szCs w:val="28"/>
        </w:rPr>
        <w:t xml:space="preserve"> with findings of fact, </w:t>
      </w:r>
      <w:r w:rsidR="00C9650F" w:rsidRPr="00C9650F">
        <w:rPr>
          <w:i/>
          <w:iCs/>
          <w:color w:val="000000"/>
          <w:sz w:val="28"/>
          <w:szCs w:val="28"/>
        </w:rPr>
        <w:t>et cetera</w:t>
      </w:r>
      <w:r w:rsidR="00A71B70">
        <w:rPr>
          <w:color w:val="000000"/>
          <w:sz w:val="28"/>
          <w:szCs w:val="28"/>
        </w:rPr>
        <w:t xml:space="preserve">.  Years ago, the Committee would let the applicant or the applicant’s counsel know right after the hearing (or within a day).  </w:t>
      </w:r>
      <w:r w:rsidR="00FF672B">
        <w:rPr>
          <w:color w:val="000000"/>
          <w:sz w:val="28"/>
          <w:szCs w:val="28"/>
        </w:rPr>
        <w:t>Then, somebody decided th</w:t>
      </w:r>
      <w:r w:rsidR="00B31A02">
        <w:rPr>
          <w:color w:val="000000"/>
          <w:sz w:val="28"/>
          <w:szCs w:val="28"/>
        </w:rPr>
        <w:t>at since the</w:t>
      </w:r>
      <w:r w:rsidR="00FF672B">
        <w:rPr>
          <w:color w:val="000000"/>
          <w:sz w:val="28"/>
          <w:szCs w:val="28"/>
        </w:rPr>
        <w:t xml:space="preserve"> rule says “in writing” that meant the applicant had to wait for a </w:t>
      </w:r>
      <w:r w:rsidR="00B31A02">
        <w:rPr>
          <w:color w:val="000000"/>
          <w:sz w:val="28"/>
          <w:szCs w:val="28"/>
        </w:rPr>
        <w:t xml:space="preserve">formal </w:t>
      </w:r>
      <w:r w:rsidR="00FF672B">
        <w:rPr>
          <w:color w:val="000000"/>
          <w:sz w:val="28"/>
          <w:szCs w:val="28"/>
        </w:rPr>
        <w:t xml:space="preserve">written decision.  </w:t>
      </w:r>
      <w:r w:rsidR="00FF672B" w:rsidRPr="00B31A02">
        <w:rPr>
          <w:color w:val="000000"/>
          <w:sz w:val="28"/>
          <w:szCs w:val="28"/>
          <w:u w:val="single"/>
        </w:rPr>
        <w:t>Well—an email is “</w:t>
      </w:r>
      <w:r w:rsidR="005C4870" w:rsidRPr="00B31A02">
        <w:rPr>
          <w:color w:val="000000"/>
          <w:sz w:val="28"/>
          <w:szCs w:val="28"/>
          <w:u w:val="single"/>
        </w:rPr>
        <w:t>in writing</w:t>
      </w:r>
      <w:r w:rsidR="00FF672B" w:rsidRPr="00B31A02">
        <w:rPr>
          <w:color w:val="000000"/>
          <w:sz w:val="28"/>
          <w:szCs w:val="28"/>
          <w:u w:val="single"/>
        </w:rPr>
        <w:t>.”</w:t>
      </w:r>
      <w:r w:rsidR="00FF672B">
        <w:rPr>
          <w:color w:val="000000"/>
          <w:sz w:val="28"/>
          <w:szCs w:val="28"/>
        </w:rPr>
        <w:t xml:space="preserve">  </w:t>
      </w:r>
      <w:r w:rsidR="00143972">
        <w:rPr>
          <w:color w:val="000000"/>
          <w:sz w:val="28"/>
          <w:szCs w:val="28"/>
        </w:rPr>
        <w:t>Letting the applicant know the recommendation is to admit would alleviate tremendous amounts of stress and could also</w:t>
      </w:r>
      <w:r w:rsidR="00BB04FC">
        <w:rPr>
          <w:color w:val="000000"/>
          <w:sz w:val="28"/>
          <w:szCs w:val="28"/>
        </w:rPr>
        <w:t xml:space="preserve">, in many instances, </w:t>
      </w:r>
      <w:r w:rsidR="00BB04FC">
        <w:rPr>
          <w:color w:val="000000"/>
          <w:sz w:val="28"/>
          <w:szCs w:val="28"/>
        </w:rPr>
        <w:lastRenderedPageBreak/>
        <w:t xml:space="preserve">allow that applicant to keep a job.  </w:t>
      </w:r>
      <w:r w:rsidR="006F6EB5">
        <w:rPr>
          <w:color w:val="000000"/>
          <w:sz w:val="28"/>
          <w:szCs w:val="28"/>
        </w:rPr>
        <w:t xml:space="preserve">Employers hesitate to continue to employ somebody indefinitely without any idea of what is going to happen.  </w:t>
      </w:r>
      <w:r w:rsidR="00BB04FC">
        <w:rPr>
          <w:color w:val="000000"/>
          <w:sz w:val="28"/>
          <w:szCs w:val="28"/>
        </w:rPr>
        <w:t>Letting the applicant know the recommendation is against admission wou</w:t>
      </w:r>
      <w:r w:rsidR="006F6EB5">
        <w:rPr>
          <w:color w:val="000000"/>
          <w:sz w:val="28"/>
          <w:szCs w:val="28"/>
        </w:rPr>
        <w:t xml:space="preserve">ld be </w:t>
      </w:r>
      <w:r w:rsidR="003D6F94">
        <w:rPr>
          <w:color w:val="000000"/>
          <w:sz w:val="28"/>
          <w:szCs w:val="28"/>
        </w:rPr>
        <w:t>upsetting but</w:t>
      </w:r>
      <w:r w:rsidR="006F6EB5">
        <w:rPr>
          <w:color w:val="000000"/>
          <w:sz w:val="28"/>
          <w:szCs w:val="28"/>
        </w:rPr>
        <w:t xml:space="preserve"> would be preferable to waiting anxiously for months to learn.</w:t>
      </w:r>
      <w:r w:rsidR="005C4870">
        <w:rPr>
          <w:color w:val="000000"/>
          <w:sz w:val="28"/>
          <w:szCs w:val="28"/>
        </w:rPr>
        <w:t xml:space="preserve">  </w:t>
      </w:r>
      <w:r w:rsidR="00143972">
        <w:rPr>
          <w:color w:val="000000"/>
          <w:sz w:val="28"/>
          <w:szCs w:val="28"/>
        </w:rPr>
        <w:t xml:space="preserve"> </w:t>
      </w:r>
      <w:r w:rsidR="00FF672B">
        <w:rPr>
          <w:color w:val="000000"/>
          <w:sz w:val="28"/>
          <w:szCs w:val="28"/>
        </w:rPr>
        <w:t xml:space="preserve">  </w:t>
      </w:r>
    </w:p>
    <w:p w14:paraId="7E0FA6B0" w14:textId="11E92768" w:rsidR="005C03EB" w:rsidRDefault="00882AD2" w:rsidP="00AC427D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8C4615" w:rsidRPr="008C4615">
        <w:rPr>
          <w:color w:val="000000"/>
          <w:sz w:val="28"/>
          <w:szCs w:val="28"/>
        </w:rPr>
        <w:t>In sum,</w:t>
      </w:r>
      <w:r w:rsidR="008C4615">
        <w:rPr>
          <w:b/>
          <w:bCs/>
          <w:color w:val="000000"/>
          <w:sz w:val="28"/>
          <w:szCs w:val="28"/>
        </w:rPr>
        <w:t xml:space="preserve"> </w:t>
      </w:r>
      <w:r w:rsidR="003530D4">
        <w:rPr>
          <w:color w:val="000000"/>
          <w:sz w:val="28"/>
          <w:szCs w:val="28"/>
        </w:rPr>
        <w:t xml:space="preserve">Petitioner </w:t>
      </w:r>
      <w:r w:rsidR="009B5579" w:rsidRPr="006F63FD">
        <w:rPr>
          <w:sz w:val="28"/>
          <w:szCs w:val="28"/>
        </w:rPr>
        <w:t>respectfully request</w:t>
      </w:r>
      <w:r w:rsidR="009B5579">
        <w:rPr>
          <w:sz w:val="28"/>
          <w:szCs w:val="28"/>
        </w:rPr>
        <w:t>s</w:t>
      </w:r>
      <w:r w:rsidR="009B5579" w:rsidRPr="006F63FD">
        <w:rPr>
          <w:sz w:val="28"/>
          <w:szCs w:val="28"/>
        </w:rPr>
        <w:t xml:space="preserve"> </w:t>
      </w:r>
      <w:r w:rsidR="009B5579">
        <w:rPr>
          <w:sz w:val="28"/>
          <w:szCs w:val="28"/>
        </w:rPr>
        <w:t>amendment of Rule 36</w:t>
      </w:r>
      <w:r w:rsidR="006C5C5D">
        <w:rPr>
          <w:sz w:val="28"/>
          <w:szCs w:val="28"/>
        </w:rPr>
        <w:t xml:space="preserve">(e) and </w:t>
      </w:r>
      <w:r w:rsidR="009B5579">
        <w:rPr>
          <w:sz w:val="28"/>
          <w:szCs w:val="28"/>
        </w:rPr>
        <w:t xml:space="preserve">(f), Ariz. R. Sup. Ct., for the reasons stated </w:t>
      </w:r>
      <w:r w:rsidR="00AC427D">
        <w:rPr>
          <w:sz w:val="28"/>
          <w:szCs w:val="28"/>
        </w:rPr>
        <w:t>above</w:t>
      </w:r>
      <w:r w:rsidR="009B5579">
        <w:rPr>
          <w:sz w:val="28"/>
          <w:szCs w:val="28"/>
        </w:rPr>
        <w:t xml:space="preserve"> and as proposed in</w:t>
      </w:r>
      <w:r w:rsidR="008C4615">
        <w:rPr>
          <w:sz w:val="28"/>
          <w:szCs w:val="28"/>
        </w:rPr>
        <w:t xml:space="preserve"> the Petition</w:t>
      </w:r>
      <w:r w:rsidR="009B5579">
        <w:rPr>
          <w:sz w:val="28"/>
          <w:szCs w:val="28"/>
        </w:rPr>
        <w:t>.</w:t>
      </w:r>
    </w:p>
    <w:p w14:paraId="3444CF89" w14:textId="77777777" w:rsidR="00920CAD" w:rsidRPr="008C4615" w:rsidRDefault="00920CAD" w:rsidP="00AC427D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</w:p>
    <w:p w14:paraId="74828D28" w14:textId="0278C57F" w:rsidR="009F0E74" w:rsidRDefault="00486644" w:rsidP="00AC427D">
      <w:pPr>
        <w:pStyle w:val="Date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Respectfully submitted this </w:t>
      </w:r>
      <w:r w:rsidR="00B94813">
        <w:rPr>
          <w:sz w:val="28"/>
          <w:szCs w:val="28"/>
        </w:rPr>
        <w:t>_</w:t>
      </w:r>
      <w:r w:rsidR="008C4615">
        <w:rPr>
          <w:sz w:val="28"/>
          <w:szCs w:val="28"/>
        </w:rPr>
        <w:t>3rd</w:t>
      </w:r>
      <w:r w:rsidR="00B94813">
        <w:rPr>
          <w:sz w:val="28"/>
          <w:szCs w:val="28"/>
        </w:rPr>
        <w:t>_</w:t>
      </w:r>
      <w:r>
        <w:rPr>
          <w:sz w:val="28"/>
          <w:szCs w:val="28"/>
        </w:rPr>
        <w:t xml:space="preserve"> day</w:t>
      </w:r>
      <w:r w:rsidR="00AE557D" w:rsidRPr="0013271D">
        <w:rPr>
          <w:sz w:val="28"/>
          <w:szCs w:val="28"/>
        </w:rPr>
        <w:t xml:space="preserve"> </w:t>
      </w:r>
      <w:r w:rsidR="00B425C8">
        <w:rPr>
          <w:sz w:val="28"/>
          <w:szCs w:val="28"/>
        </w:rPr>
        <w:t xml:space="preserve">of </w:t>
      </w:r>
      <w:r w:rsidR="006C5C5D">
        <w:rPr>
          <w:sz w:val="28"/>
          <w:szCs w:val="28"/>
        </w:rPr>
        <w:t>J</w:t>
      </w:r>
      <w:r w:rsidR="008C4615">
        <w:rPr>
          <w:sz w:val="28"/>
          <w:szCs w:val="28"/>
        </w:rPr>
        <w:t>une</w:t>
      </w:r>
      <w:r w:rsidR="00FE2E3F" w:rsidRPr="0013271D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E04BAA">
        <w:rPr>
          <w:sz w:val="28"/>
          <w:szCs w:val="28"/>
        </w:rPr>
        <w:t>6</w:t>
      </w:r>
      <w:r w:rsidR="00FE2E3F" w:rsidRPr="0013271D">
        <w:rPr>
          <w:sz w:val="28"/>
          <w:szCs w:val="28"/>
        </w:rPr>
        <w:t>.</w:t>
      </w:r>
    </w:p>
    <w:p w14:paraId="123C3F9C" w14:textId="02694A86" w:rsidR="000F46A9" w:rsidRPr="000F46A9" w:rsidRDefault="00D542FD" w:rsidP="00EF223D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8663A67" wp14:editId="5D755102">
            <wp:extent cx="20764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2475" w:type="pct"/>
        <w:tblInd w:w="463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  <w:tblDescription w:val="Layout table for signature"/>
      </w:tblPr>
      <w:tblGrid>
        <w:gridCol w:w="4633"/>
      </w:tblGrid>
      <w:tr w:rsidR="00396944" w:rsidRPr="0013271D" w14:paraId="52711836" w14:textId="77777777" w:rsidTr="00895FB1">
        <w:tc>
          <w:tcPr>
            <w:tcW w:w="9350" w:type="dxa"/>
          </w:tcPr>
          <w:p w14:paraId="4F6E3842" w14:textId="2FF52AEA" w:rsidR="00396944" w:rsidRPr="0013271D" w:rsidRDefault="00486644" w:rsidP="006E2BD1">
            <w:pPr>
              <w:pStyle w:val="AttorneyNam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Denise M. Quinterri</w:t>
            </w:r>
          </w:p>
        </w:tc>
      </w:tr>
    </w:tbl>
    <w:p w14:paraId="45847DEB" w14:textId="77777777" w:rsidR="003960F6" w:rsidRDefault="003960F6" w:rsidP="007D5E03">
      <w:pPr>
        <w:spacing w:line="240" w:lineRule="auto"/>
        <w:ind w:firstLine="0"/>
        <w:rPr>
          <w:b/>
          <w:bCs/>
          <w:sz w:val="28"/>
          <w:szCs w:val="28"/>
        </w:rPr>
      </w:pPr>
    </w:p>
    <w:p w14:paraId="33A25F60" w14:textId="77777777" w:rsidR="005C03EB" w:rsidRDefault="005C03EB" w:rsidP="007D5E03">
      <w:pPr>
        <w:spacing w:line="240" w:lineRule="auto"/>
        <w:ind w:firstLine="0"/>
        <w:rPr>
          <w:b/>
          <w:bCs/>
          <w:sz w:val="28"/>
          <w:szCs w:val="28"/>
        </w:rPr>
      </w:pPr>
    </w:p>
    <w:p w14:paraId="392D3B2D" w14:textId="397AB5EF" w:rsidR="007D5E03" w:rsidRPr="007D5E03" w:rsidRDefault="007D5E03" w:rsidP="007D5E03">
      <w:pPr>
        <w:spacing w:line="240" w:lineRule="auto"/>
        <w:ind w:firstLine="0"/>
        <w:rPr>
          <w:sz w:val="28"/>
          <w:szCs w:val="28"/>
        </w:rPr>
      </w:pPr>
      <w:r w:rsidRPr="007D5E03">
        <w:rPr>
          <w:b/>
          <w:bCs/>
          <w:sz w:val="28"/>
          <w:szCs w:val="28"/>
        </w:rPr>
        <w:t>ELECTRONICALLY</w:t>
      </w:r>
      <w:r w:rsidRPr="007D5E03">
        <w:rPr>
          <w:sz w:val="28"/>
          <w:szCs w:val="28"/>
        </w:rPr>
        <w:t xml:space="preserve"> filed </w:t>
      </w:r>
    </w:p>
    <w:p w14:paraId="1743F821" w14:textId="51ED3077" w:rsidR="007D5E03" w:rsidRPr="007D5E03" w:rsidRDefault="00A415D5" w:rsidP="007D5E0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o</w:t>
      </w:r>
      <w:r w:rsidR="00094FDF">
        <w:rPr>
          <w:sz w:val="28"/>
          <w:szCs w:val="28"/>
        </w:rPr>
        <w:t>n the Cou</w:t>
      </w:r>
      <w:r>
        <w:rPr>
          <w:sz w:val="28"/>
          <w:szCs w:val="28"/>
        </w:rPr>
        <w:t xml:space="preserve">rt Rules Forum of </w:t>
      </w:r>
      <w:r w:rsidR="007D5E03" w:rsidRPr="007D5E03">
        <w:rPr>
          <w:sz w:val="28"/>
          <w:szCs w:val="28"/>
        </w:rPr>
        <w:t>the Arizona Supreme Court</w:t>
      </w:r>
    </w:p>
    <w:p w14:paraId="32C4F444" w14:textId="76EACD27" w:rsidR="007D5E03" w:rsidRDefault="007D5E03" w:rsidP="007D5E03">
      <w:pPr>
        <w:spacing w:line="240" w:lineRule="auto"/>
        <w:ind w:firstLine="0"/>
        <w:rPr>
          <w:sz w:val="28"/>
          <w:szCs w:val="28"/>
        </w:rPr>
      </w:pPr>
      <w:r w:rsidRPr="007D5E03">
        <w:rPr>
          <w:sz w:val="28"/>
          <w:szCs w:val="28"/>
        </w:rPr>
        <w:t>this</w:t>
      </w:r>
      <w:r w:rsidR="00A415D5">
        <w:rPr>
          <w:sz w:val="28"/>
          <w:szCs w:val="28"/>
        </w:rPr>
        <w:t xml:space="preserve"> _</w:t>
      </w:r>
      <w:r w:rsidR="008C4615">
        <w:rPr>
          <w:sz w:val="28"/>
          <w:szCs w:val="28"/>
        </w:rPr>
        <w:t>3rd</w:t>
      </w:r>
      <w:r w:rsidR="00A415D5">
        <w:rPr>
          <w:sz w:val="28"/>
          <w:szCs w:val="28"/>
        </w:rPr>
        <w:t xml:space="preserve">_ day of </w:t>
      </w:r>
      <w:r w:rsidR="006C5C5D">
        <w:rPr>
          <w:sz w:val="28"/>
          <w:szCs w:val="28"/>
        </w:rPr>
        <w:t>J</w:t>
      </w:r>
      <w:r w:rsidR="008C4615">
        <w:rPr>
          <w:sz w:val="28"/>
          <w:szCs w:val="28"/>
        </w:rPr>
        <w:t>une</w:t>
      </w:r>
      <w:r w:rsidR="00A415D5">
        <w:rPr>
          <w:sz w:val="28"/>
          <w:szCs w:val="28"/>
        </w:rPr>
        <w:t>, 202</w:t>
      </w:r>
      <w:r w:rsidR="00E04BAA">
        <w:rPr>
          <w:sz w:val="28"/>
          <w:szCs w:val="28"/>
        </w:rPr>
        <w:t>6</w:t>
      </w:r>
      <w:r w:rsidR="00A415D5">
        <w:rPr>
          <w:sz w:val="28"/>
          <w:szCs w:val="28"/>
        </w:rPr>
        <w:t>.</w:t>
      </w:r>
    </w:p>
    <w:p w14:paraId="7E12D144" w14:textId="77777777" w:rsidR="008B1B6F" w:rsidRDefault="008B1B6F" w:rsidP="008B1B6F">
      <w:pPr>
        <w:ind w:firstLine="0"/>
        <w:rPr>
          <w:sz w:val="28"/>
          <w:szCs w:val="28"/>
        </w:rPr>
      </w:pPr>
    </w:p>
    <w:p w14:paraId="69B5DCC3" w14:textId="05C65E27" w:rsidR="00F879A9" w:rsidRPr="0013271D" w:rsidRDefault="00F879A9" w:rsidP="008C4615">
      <w:pPr>
        <w:ind w:firstLine="0"/>
        <w:rPr>
          <w:sz w:val="28"/>
          <w:szCs w:val="28"/>
        </w:rPr>
      </w:pPr>
    </w:p>
    <w:sectPr w:rsidR="00F879A9" w:rsidRPr="0013271D">
      <w:headerReference w:type="default" r:id="rId9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C7B9" w14:textId="77777777" w:rsidR="00B41CFB" w:rsidRDefault="00B41CFB">
      <w:r>
        <w:separator/>
      </w:r>
    </w:p>
    <w:p w14:paraId="2FFDF6EC" w14:textId="77777777" w:rsidR="00B41CFB" w:rsidRDefault="00B41CFB"/>
  </w:endnote>
  <w:endnote w:type="continuationSeparator" w:id="0">
    <w:p w14:paraId="5B5EF3DD" w14:textId="77777777" w:rsidR="00B41CFB" w:rsidRDefault="00B41CFB">
      <w:r>
        <w:continuationSeparator/>
      </w:r>
    </w:p>
    <w:p w14:paraId="64BE5F0B" w14:textId="77777777" w:rsidR="00B41CFB" w:rsidRDefault="00B41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6213" w14:textId="77777777" w:rsidR="00B41CFB" w:rsidRDefault="00B41CFB">
      <w:r>
        <w:separator/>
      </w:r>
    </w:p>
    <w:p w14:paraId="2D2B136C" w14:textId="77777777" w:rsidR="00B41CFB" w:rsidRDefault="00B41CFB"/>
  </w:footnote>
  <w:footnote w:type="continuationSeparator" w:id="0">
    <w:p w14:paraId="33D3BCB3" w14:textId="77777777" w:rsidR="00B41CFB" w:rsidRDefault="00B41CFB">
      <w:r>
        <w:continuationSeparator/>
      </w:r>
    </w:p>
    <w:p w14:paraId="5CFAF87E" w14:textId="77777777" w:rsidR="00B41CFB" w:rsidRDefault="00B41CFB"/>
  </w:footnote>
  <w:footnote w:id="1">
    <w:p w14:paraId="26C32229" w14:textId="21BD6824" w:rsidR="009A47A2" w:rsidRDefault="009A47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07F9F">
        <w:rPr>
          <w:sz w:val="24"/>
          <w:szCs w:val="24"/>
        </w:rPr>
        <w:t xml:space="preserve"> </w:t>
      </w:r>
      <w:r w:rsidR="00A07F9F" w:rsidRPr="00A07F9F">
        <w:rPr>
          <w:sz w:val="24"/>
          <w:szCs w:val="24"/>
        </w:rPr>
        <w:t xml:space="preserve">In fact, this Reply is being written </w:t>
      </w:r>
      <w:r w:rsidR="00214BBD">
        <w:rPr>
          <w:sz w:val="24"/>
          <w:szCs w:val="24"/>
        </w:rPr>
        <w:t>two days</w:t>
      </w:r>
      <w:r w:rsidR="00A07F9F" w:rsidRPr="00A07F9F">
        <w:rPr>
          <w:sz w:val="24"/>
          <w:szCs w:val="24"/>
        </w:rPr>
        <w:t xml:space="preserve"> late.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BC3F" w14:textId="77777777"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D50FD33" wp14:editId="570E875C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A45CA2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36BBBBF" wp14:editId="370E7ABC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74ACD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7E4D5F67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7951F6D0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58768844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56567889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4E5B05D2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14FB3244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03C4208A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16210CB3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0CF0FC35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1408342E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19C681A9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6F68E5AA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263FB095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7466077D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093A2B91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17A6158C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5995545B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50D1FF40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233A0C13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04EDF5DE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37FE0BA2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2811125B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31F9F1FE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5CC57B4F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1F185DF8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04D9A586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2CAFC286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6DC65509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BBBBF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" stroked="f">
              <v:textbox inset="0,0,0,0">
                <w:txbxContent>
                  <w:p w14:paraId="41874ACD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7E4D5F67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7951F6D0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58768844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56567889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4E5B05D2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14FB3244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03C4208A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16210CB3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0CF0FC35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1408342E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19C681A9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6F68E5AA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263FB095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7466077D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093A2B91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17A6158C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5995545B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50D1FF40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233A0C13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04EDF5DE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37FE0BA2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2811125B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31F9F1FE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5CC57B4F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1F185DF8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04D9A586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2CAFC286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6DC65509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8309D"/>
    <w:multiLevelType w:val="hybridMultilevel"/>
    <w:tmpl w:val="848422DA"/>
    <w:lvl w:ilvl="0" w:tplc="5846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84760"/>
    <w:multiLevelType w:val="hybridMultilevel"/>
    <w:tmpl w:val="DE9A7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135D7"/>
    <w:multiLevelType w:val="hybridMultilevel"/>
    <w:tmpl w:val="D8EE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414A9"/>
    <w:multiLevelType w:val="hybridMultilevel"/>
    <w:tmpl w:val="A0B60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0C4B50"/>
    <w:multiLevelType w:val="hybridMultilevel"/>
    <w:tmpl w:val="8F4E08CA"/>
    <w:lvl w:ilvl="0" w:tplc="E294FE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422F52"/>
    <w:multiLevelType w:val="hybridMultilevel"/>
    <w:tmpl w:val="22AEED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880095">
    <w:abstractNumId w:val="9"/>
  </w:num>
  <w:num w:numId="2" w16cid:durableId="1973830227">
    <w:abstractNumId w:val="7"/>
  </w:num>
  <w:num w:numId="3" w16cid:durableId="807436248">
    <w:abstractNumId w:val="6"/>
  </w:num>
  <w:num w:numId="4" w16cid:durableId="1293319422">
    <w:abstractNumId w:val="5"/>
  </w:num>
  <w:num w:numId="5" w16cid:durableId="1264535261">
    <w:abstractNumId w:val="4"/>
  </w:num>
  <w:num w:numId="6" w16cid:durableId="953514308">
    <w:abstractNumId w:val="8"/>
  </w:num>
  <w:num w:numId="7" w16cid:durableId="410154058">
    <w:abstractNumId w:val="3"/>
  </w:num>
  <w:num w:numId="8" w16cid:durableId="2052923413">
    <w:abstractNumId w:val="2"/>
  </w:num>
  <w:num w:numId="9" w16cid:durableId="1204827933">
    <w:abstractNumId w:val="1"/>
  </w:num>
  <w:num w:numId="10" w16cid:durableId="492839120">
    <w:abstractNumId w:val="0"/>
  </w:num>
  <w:num w:numId="11" w16cid:durableId="1277715201">
    <w:abstractNumId w:val="14"/>
  </w:num>
  <w:num w:numId="12" w16cid:durableId="573324245">
    <w:abstractNumId w:val="10"/>
  </w:num>
  <w:num w:numId="13" w16cid:durableId="584388334">
    <w:abstractNumId w:val="12"/>
  </w:num>
  <w:num w:numId="14" w16cid:durableId="326398396">
    <w:abstractNumId w:val="15"/>
  </w:num>
  <w:num w:numId="15" w16cid:durableId="1625842583">
    <w:abstractNumId w:val="13"/>
  </w:num>
  <w:num w:numId="16" w16cid:durableId="1686788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1D"/>
    <w:rsid w:val="00004BE6"/>
    <w:rsid w:val="00006C3A"/>
    <w:rsid w:val="00007299"/>
    <w:rsid w:val="0001101C"/>
    <w:rsid w:val="000128E1"/>
    <w:rsid w:val="00023182"/>
    <w:rsid w:val="000234C1"/>
    <w:rsid w:val="00025E02"/>
    <w:rsid w:val="00030D2A"/>
    <w:rsid w:val="00031DD7"/>
    <w:rsid w:val="00032CF1"/>
    <w:rsid w:val="00046E5C"/>
    <w:rsid w:val="000528DC"/>
    <w:rsid w:val="000537C6"/>
    <w:rsid w:val="00063594"/>
    <w:rsid w:val="000647E4"/>
    <w:rsid w:val="00065E72"/>
    <w:rsid w:val="000722D0"/>
    <w:rsid w:val="00093438"/>
    <w:rsid w:val="00094FDF"/>
    <w:rsid w:val="0009712F"/>
    <w:rsid w:val="000A2655"/>
    <w:rsid w:val="000A4030"/>
    <w:rsid w:val="000B17EF"/>
    <w:rsid w:val="000B67D2"/>
    <w:rsid w:val="000C0B96"/>
    <w:rsid w:val="000C1848"/>
    <w:rsid w:val="000C3749"/>
    <w:rsid w:val="000C3FB2"/>
    <w:rsid w:val="000C50F1"/>
    <w:rsid w:val="000C5F3B"/>
    <w:rsid w:val="000D10C3"/>
    <w:rsid w:val="000D20EF"/>
    <w:rsid w:val="000D265A"/>
    <w:rsid w:val="000E2CD2"/>
    <w:rsid w:val="000E5116"/>
    <w:rsid w:val="000E72F6"/>
    <w:rsid w:val="000F2C70"/>
    <w:rsid w:val="000F46A9"/>
    <w:rsid w:val="000F7A8A"/>
    <w:rsid w:val="00105BE6"/>
    <w:rsid w:val="00107549"/>
    <w:rsid w:val="0011213D"/>
    <w:rsid w:val="001161DB"/>
    <w:rsid w:val="0012000B"/>
    <w:rsid w:val="00124AAB"/>
    <w:rsid w:val="00127876"/>
    <w:rsid w:val="0013271D"/>
    <w:rsid w:val="0013740B"/>
    <w:rsid w:val="00143489"/>
    <w:rsid w:val="00143972"/>
    <w:rsid w:val="001464C2"/>
    <w:rsid w:val="00150A22"/>
    <w:rsid w:val="00154045"/>
    <w:rsid w:val="001652D0"/>
    <w:rsid w:val="001800FD"/>
    <w:rsid w:val="0018211B"/>
    <w:rsid w:val="00182FD1"/>
    <w:rsid w:val="00191359"/>
    <w:rsid w:val="00192313"/>
    <w:rsid w:val="001A6D1D"/>
    <w:rsid w:val="001B10D5"/>
    <w:rsid w:val="001B1726"/>
    <w:rsid w:val="001B21D9"/>
    <w:rsid w:val="001C341E"/>
    <w:rsid w:val="001D62EE"/>
    <w:rsid w:val="001E0280"/>
    <w:rsid w:val="00207188"/>
    <w:rsid w:val="00214BBD"/>
    <w:rsid w:val="0022340C"/>
    <w:rsid w:val="0022369F"/>
    <w:rsid w:val="0022547D"/>
    <w:rsid w:val="002275A0"/>
    <w:rsid w:val="00231407"/>
    <w:rsid w:val="00231D9C"/>
    <w:rsid w:val="00237854"/>
    <w:rsid w:val="00242709"/>
    <w:rsid w:val="00247670"/>
    <w:rsid w:val="00250B39"/>
    <w:rsid w:val="00251EEC"/>
    <w:rsid w:val="00260A2D"/>
    <w:rsid w:val="0026383E"/>
    <w:rsid w:val="002659FD"/>
    <w:rsid w:val="002720E8"/>
    <w:rsid w:val="002739EB"/>
    <w:rsid w:val="00276400"/>
    <w:rsid w:val="00293BDA"/>
    <w:rsid w:val="002B0429"/>
    <w:rsid w:val="002B2EA1"/>
    <w:rsid w:val="002B3DD4"/>
    <w:rsid w:val="002B782D"/>
    <w:rsid w:val="002C0DD6"/>
    <w:rsid w:val="002C4561"/>
    <w:rsid w:val="002C4F93"/>
    <w:rsid w:val="002D3B2E"/>
    <w:rsid w:val="002D65FF"/>
    <w:rsid w:val="002E3EAC"/>
    <w:rsid w:val="002E693A"/>
    <w:rsid w:val="002E7E3C"/>
    <w:rsid w:val="002F7AD4"/>
    <w:rsid w:val="003033E3"/>
    <w:rsid w:val="00306831"/>
    <w:rsid w:val="00306A11"/>
    <w:rsid w:val="00307E4A"/>
    <w:rsid w:val="00310009"/>
    <w:rsid w:val="00315476"/>
    <w:rsid w:val="00317CDC"/>
    <w:rsid w:val="00330108"/>
    <w:rsid w:val="00336F38"/>
    <w:rsid w:val="00337B95"/>
    <w:rsid w:val="00344D21"/>
    <w:rsid w:val="00350148"/>
    <w:rsid w:val="003512FC"/>
    <w:rsid w:val="003530D4"/>
    <w:rsid w:val="0035693E"/>
    <w:rsid w:val="003600FC"/>
    <w:rsid w:val="00364DB7"/>
    <w:rsid w:val="0036619D"/>
    <w:rsid w:val="0036726E"/>
    <w:rsid w:val="0037080F"/>
    <w:rsid w:val="00371707"/>
    <w:rsid w:val="00376356"/>
    <w:rsid w:val="003778F8"/>
    <w:rsid w:val="0038061E"/>
    <w:rsid w:val="00381187"/>
    <w:rsid w:val="0039220F"/>
    <w:rsid w:val="00394BCC"/>
    <w:rsid w:val="003960F6"/>
    <w:rsid w:val="00396944"/>
    <w:rsid w:val="003A2162"/>
    <w:rsid w:val="003A65EA"/>
    <w:rsid w:val="003A6FA8"/>
    <w:rsid w:val="003B08E0"/>
    <w:rsid w:val="003B410E"/>
    <w:rsid w:val="003B4A94"/>
    <w:rsid w:val="003C32A3"/>
    <w:rsid w:val="003D154D"/>
    <w:rsid w:val="003D6F94"/>
    <w:rsid w:val="003D725C"/>
    <w:rsid w:val="003E1E08"/>
    <w:rsid w:val="003F04FC"/>
    <w:rsid w:val="003F26A9"/>
    <w:rsid w:val="003F750A"/>
    <w:rsid w:val="0040003E"/>
    <w:rsid w:val="004023AD"/>
    <w:rsid w:val="00413F23"/>
    <w:rsid w:val="00414B87"/>
    <w:rsid w:val="00422E3B"/>
    <w:rsid w:val="004230D4"/>
    <w:rsid w:val="00423CD3"/>
    <w:rsid w:val="00425BB1"/>
    <w:rsid w:val="00441EBC"/>
    <w:rsid w:val="00443D50"/>
    <w:rsid w:val="004458A2"/>
    <w:rsid w:val="00446A55"/>
    <w:rsid w:val="004559CE"/>
    <w:rsid w:val="004605F6"/>
    <w:rsid w:val="004647E1"/>
    <w:rsid w:val="00464CB3"/>
    <w:rsid w:val="00473778"/>
    <w:rsid w:val="00474407"/>
    <w:rsid w:val="00481E22"/>
    <w:rsid w:val="0048379B"/>
    <w:rsid w:val="004849FF"/>
    <w:rsid w:val="00486644"/>
    <w:rsid w:val="00494E68"/>
    <w:rsid w:val="00496749"/>
    <w:rsid w:val="004A6A24"/>
    <w:rsid w:val="004A6FDE"/>
    <w:rsid w:val="004A7DFB"/>
    <w:rsid w:val="004B1D16"/>
    <w:rsid w:val="004B290D"/>
    <w:rsid w:val="004C1E24"/>
    <w:rsid w:val="004C5950"/>
    <w:rsid w:val="004C5FCA"/>
    <w:rsid w:val="004D13F1"/>
    <w:rsid w:val="004D5FBB"/>
    <w:rsid w:val="004D7578"/>
    <w:rsid w:val="004E1A98"/>
    <w:rsid w:val="004E2CE3"/>
    <w:rsid w:val="004F324B"/>
    <w:rsid w:val="004F76B5"/>
    <w:rsid w:val="00503CA1"/>
    <w:rsid w:val="00504D78"/>
    <w:rsid w:val="0051280B"/>
    <w:rsid w:val="00513E63"/>
    <w:rsid w:val="0051475C"/>
    <w:rsid w:val="00514A41"/>
    <w:rsid w:val="00521C36"/>
    <w:rsid w:val="0052244E"/>
    <w:rsid w:val="00523E1C"/>
    <w:rsid w:val="00531766"/>
    <w:rsid w:val="005325D0"/>
    <w:rsid w:val="00534CF2"/>
    <w:rsid w:val="005355AC"/>
    <w:rsid w:val="0054214D"/>
    <w:rsid w:val="0054230E"/>
    <w:rsid w:val="0054468F"/>
    <w:rsid w:val="00550BEF"/>
    <w:rsid w:val="00551A44"/>
    <w:rsid w:val="005555C7"/>
    <w:rsid w:val="005574BF"/>
    <w:rsid w:val="00561E56"/>
    <w:rsid w:val="00564797"/>
    <w:rsid w:val="00570194"/>
    <w:rsid w:val="005702AB"/>
    <w:rsid w:val="00574CE6"/>
    <w:rsid w:val="0058328E"/>
    <w:rsid w:val="0059393E"/>
    <w:rsid w:val="00594826"/>
    <w:rsid w:val="005A3E76"/>
    <w:rsid w:val="005A591F"/>
    <w:rsid w:val="005A6A68"/>
    <w:rsid w:val="005B723F"/>
    <w:rsid w:val="005C0247"/>
    <w:rsid w:val="005C03EB"/>
    <w:rsid w:val="005C4870"/>
    <w:rsid w:val="005C6F1D"/>
    <w:rsid w:val="005D5B9B"/>
    <w:rsid w:val="005E1179"/>
    <w:rsid w:val="005E25C7"/>
    <w:rsid w:val="005E5B27"/>
    <w:rsid w:val="005E7D25"/>
    <w:rsid w:val="005F72D9"/>
    <w:rsid w:val="005F7949"/>
    <w:rsid w:val="006018C6"/>
    <w:rsid w:val="006158E8"/>
    <w:rsid w:val="00620251"/>
    <w:rsid w:val="00627B8F"/>
    <w:rsid w:val="00642D64"/>
    <w:rsid w:val="0064314A"/>
    <w:rsid w:val="0064700D"/>
    <w:rsid w:val="00650708"/>
    <w:rsid w:val="00652494"/>
    <w:rsid w:val="00661641"/>
    <w:rsid w:val="00663196"/>
    <w:rsid w:val="006648CB"/>
    <w:rsid w:val="006746B5"/>
    <w:rsid w:val="00687244"/>
    <w:rsid w:val="00693F87"/>
    <w:rsid w:val="006A0CF1"/>
    <w:rsid w:val="006A204B"/>
    <w:rsid w:val="006B0CC8"/>
    <w:rsid w:val="006B1F6D"/>
    <w:rsid w:val="006C5C5D"/>
    <w:rsid w:val="006C7E53"/>
    <w:rsid w:val="006D33FC"/>
    <w:rsid w:val="006D5556"/>
    <w:rsid w:val="006D6A3F"/>
    <w:rsid w:val="006E2BD1"/>
    <w:rsid w:val="006E4E9C"/>
    <w:rsid w:val="006E6EF2"/>
    <w:rsid w:val="006E775B"/>
    <w:rsid w:val="006F274D"/>
    <w:rsid w:val="006F6EB5"/>
    <w:rsid w:val="00706D53"/>
    <w:rsid w:val="007113C8"/>
    <w:rsid w:val="00711B0C"/>
    <w:rsid w:val="00711D76"/>
    <w:rsid w:val="0071462B"/>
    <w:rsid w:val="00714B72"/>
    <w:rsid w:val="00722A84"/>
    <w:rsid w:val="007266FD"/>
    <w:rsid w:val="00726950"/>
    <w:rsid w:val="00726B27"/>
    <w:rsid w:val="007303D8"/>
    <w:rsid w:val="00733EA8"/>
    <w:rsid w:val="007357F6"/>
    <w:rsid w:val="00736374"/>
    <w:rsid w:val="00745E38"/>
    <w:rsid w:val="00752F84"/>
    <w:rsid w:val="00764469"/>
    <w:rsid w:val="007676EE"/>
    <w:rsid w:val="0077189A"/>
    <w:rsid w:val="0077251F"/>
    <w:rsid w:val="00773D11"/>
    <w:rsid w:val="00785D01"/>
    <w:rsid w:val="0078648F"/>
    <w:rsid w:val="00791F86"/>
    <w:rsid w:val="00792B34"/>
    <w:rsid w:val="0079438F"/>
    <w:rsid w:val="00796D4B"/>
    <w:rsid w:val="007A2A78"/>
    <w:rsid w:val="007A3367"/>
    <w:rsid w:val="007A37F5"/>
    <w:rsid w:val="007A5B6C"/>
    <w:rsid w:val="007A5DC6"/>
    <w:rsid w:val="007B5D29"/>
    <w:rsid w:val="007B7E18"/>
    <w:rsid w:val="007C2D9A"/>
    <w:rsid w:val="007D0BBA"/>
    <w:rsid w:val="007D39F6"/>
    <w:rsid w:val="007D58B4"/>
    <w:rsid w:val="007D5E03"/>
    <w:rsid w:val="007E4A1B"/>
    <w:rsid w:val="0080154C"/>
    <w:rsid w:val="00803AF8"/>
    <w:rsid w:val="00805F43"/>
    <w:rsid w:val="0081716A"/>
    <w:rsid w:val="00820F38"/>
    <w:rsid w:val="008232C7"/>
    <w:rsid w:val="00827C2C"/>
    <w:rsid w:val="00831868"/>
    <w:rsid w:val="00834F44"/>
    <w:rsid w:val="0083608B"/>
    <w:rsid w:val="008445C8"/>
    <w:rsid w:val="00847026"/>
    <w:rsid w:val="00850E57"/>
    <w:rsid w:val="008555D3"/>
    <w:rsid w:val="00860160"/>
    <w:rsid w:val="00860B55"/>
    <w:rsid w:val="008679F4"/>
    <w:rsid w:val="00867A66"/>
    <w:rsid w:val="00873DE7"/>
    <w:rsid w:val="00876780"/>
    <w:rsid w:val="00881EB7"/>
    <w:rsid w:val="00882AD2"/>
    <w:rsid w:val="008832AD"/>
    <w:rsid w:val="0089282D"/>
    <w:rsid w:val="00893ECA"/>
    <w:rsid w:val="00895FB1"/>
    <w:rsid w:val="00896EA6"/>
    <w:rsid w:val="008A1D0B"/>
    <w:rsid w:val="008A5342"/>
    <w:rsid w:val="008B1B6F"/>
    <w:rsid w:val="008B7136"/>
    <w:rsid w:val="008C1149"/>
    <w:rsid w:val="008C20DE"/>
    <w:rsid w:val="008C4615"/>
    <w:rsid w:val="008C4F9B"/>
    <w:rsid w:val="008C5774"/>
    <w:rsid w:val="008C7CC4"/>
    <w:rsid w:val="008D149A"/>
    <w:rsid w:val="008D2103"/>
    <w:rsid w:val="008D3AEB"/>
    <w:rsid w:val="008D3DE5"/>
    <w:rsid w:val="008D65F4"/>
    <w:rsid w:val="008F2957"/>
    <w:rsid w:val="008F6645"/>
    <w:rsid w:val="00902781"/>
    <w:rsid w:val="00903DCA"/>
    <w:rsid w:val="00912A5A"/>
    <w:rsid w:val="00920CAD"/>
    <w:rsid w:val="00922B46"/>
    <w:rsid w:val="00922FC3"/>
    <w:rsid w:val="00923EDC"/>
    <w:rsid w:val="0092669A"/>
    <w:rsid w:val="00934F4A"/>
    <w:rsid w:val="0093739A"/>
    <w:rsid w:val="009411EC"/>
    <w:rsid w:val="00947AEB"/>
    <w:rsid w:val="009525E2"/>
    <w:rsid w:val="00956668"/>
    <w:rsid w:val="00964DAC"/>
    <w:rsid w:val="00967CA8"/>
    <w:rsid w:val="00970BC0"/>
    <w:rsid w:val="00982CA3"/>
    <w:rsid w:val="009864AF"/>
    <w:rsid w:val="009873B7"/>
    <w:rsid w:val="009918DE"/>
    <w:rsid w:val="00994168"/>
    <w:rsid w:val="00995937"/>
    <w:rsid w:val="00997A8F"/>
    <w:rsid w:val="00997C56"/>
    <w:rsid w:val="009A3850"/>
    <w:rsid w:val="009A47A2"/>
    <w:rsid w:val="009A4C90"/>
    <w:rsid w:val="009A6BAD"/>
    <w:rsid w:val="009A6D0D"/>
    <w:rsid w:val="009A6F53"/>
    <w:rsid w:val="009B5579"/>
    <w:rsid w:val="009B5E7E"/>
    <w:rsid w:val="009B7AEE"/>
    <w:rsid w:val="009C220A"/>
    <w:rsid w:val="009C2EA4"/>
    <w:rsid w:val="009C3595"/>
    <w:rsid w:val="009C408C"/>
    <w:rsid w:val="009C413B"/>
    <w:rsid w:val="009C6CDD"/>
    <w:rsid w:val="009C7FE3"/>
    <w:rsid w:val="009D2812"/>
    <w:rsid w:val="009D2B34"/>
    <w:rsid w:val="009E55D3"/>
    <w:rsid w:val="009E706E"/>
    <w:rsid w:val="009E78CA"/>
    <w:rsid w:val="009F0766"/>
    <w:rsid w:val="009F0E74"/>
    <w:rsid w:val="009F1964"/>
    <w:rsid w:val="009F4809"/>
    <w:rsid w:val="00A0429A"/>
    <w:rsid w:val="00A06531"/>
    <w:rsid w:val="00A07896"/>
    <w:rsid w:val="00A07F9F"/>
    <w:rsid w:val="00A135F5"/>
    <w:rsid w:val="00A14A44"/>
    <w:rsid w:val="00A170AA"/>
    <w:rsid w:val="00A2037B"/>
    <w:rsid w:val="00A21472"/>
    <w:rsid w:val="00A3132F"/>
    <w:rsid w:val="00A316C2"/>
    <w:rsid w:val="00A31CFF"/>
    <w:rsid w:val="00A336A2"/>
    <w:rsid w:val="00A35118"/>
    <w:rsid w:val="00A40764"/>
    <w:rsid w:val="00A41506"/>
    <w:rsid w:val="00A415D5"/>
    <w:rsid w:val="00A41EF5"/>
    <w:rsid w:val="00A4240C"/>
    <w:rsid w:val="00A442A2"/>
    <w:rsid w:val="00A45C33"/>
    <w:rsid w:val="00A46A9B"/>
    <w:rsid w:val="00A53F85"/>
    <w:rsid w:val="00A556A9"/>
    <w:rsid w:val="00A57925"/>
    <w:rsid w:val="00A6040B"/>
    <w:rsid w:val="00A62C43"/>
    <w:rsid w:val="00A636F3"/>
    <w:rsid w:val="00A71B70"/>
    <w:rsid w:val="00A82765"/>
    <w:rsid w:val="00A83C1A"/>
    <w:rsid w:val="00A875F2"/>
    <w:rsid w:val="00A90E8B"/>
    <w:rsid w:val="00A9323F"/>
    <w:rsid w:val="00A935B7"/>
    <w:rsid w:val="00A93962"/>
    <w:rsid w:val="00A96573"/>
    <w:rsid w:val="00A97B9A"/>
    <w:rsid w:val="00AA05E4"/>
    <w:rsid w:val="00AA6C52"/>
    <w:rsid w:val="00AB0590"/>
    <w:rsid w:val="00AB0E85"/>
    <w:rsid w:val="00AB771E"/>
    <w:rsid w:val="00AC085F"/>
    <w:rsid w:val="00AC427D"/>
    <w:rsid w:val="00AD0FBE"/>
    <w:rsid w:val="00AD24E9"/>
    <w:rsid w:val="00AD544A"/>
    <w:rsid w:val="00AD54DA"/>
    <w:rsid w:val="00AD574B"/>
    <w:rsid w:val="00AD63F6"/>
    <w:rsid w:val="00AD6FEE"/>
    <w:rsid w:val="00AE172E"/>
    <w:rsid w:val="00AE2481"/>
    <w:rsid w:val="00AE3ECC"/>
    <w:rsid w:val="00AE557D"/>
    <w:rsid w:val="00AE579E"/>
    <w:rsid w:val="00AE5C38"/>
    <w:rsid w:val="00AE6EC1"/>
    <w:rsid w:val="00AE7A5F"/>
    <w:rsid w:val="00AF1C1F"/>
    <w:rsid w:val="00AF2FE3"/>
    <w:rsid w:val="00AF42AC"/>
    <w:rsid w:val="00AF7AC1"/>
    <w:rsid w:val="00B0560A"/>
    <w:rsid w:val="00B12DFD"/>
    <w:rsid w:val="00B13A3B"/>
    <w:rsid w:val="00B2389D"/>
    <w:rsid w:val="00B24609"/>
    <w:rsid w:val="00B31A02"/>
    <w:rsid w:val="00B35364"/>
    <w:rsid w:val="00B40207"/>
    <w:rsid w:val="00B41CFB"/>
    <w:rsid w:val="00B425C8"/>
    <w:rsid w:val="00B42F3B"/>
    <w:rsid w:val="00B53F84"/>
    <w:rsid w:val="00B5586F"/>
    <w:rsid w:val="00B60458"/>
    <w:rsid w:val="00B619D7"/>
    <w:rsid w:val="00B64E1D"/>
    <w:rsid w:val="00B73D81"/>
    <w:rsid w:val="00B7499F"/>
    <w:rsid w:val="00B74C0C"/>
    <w:rsid w:val="00B75045"/>
    <w:rsid w:val="00B87749"/>
    <w:rsid w:val="00B87995"/>
    <w:rsid w:val="00B901FE"/>
    <w:rsid w:val="00B903FE"/>
    <w:rsid w:val="00B9170A"/>
    <w:rsid w:val="00B94813"/>
    <w:rsid w:val="00BA080A"/>
    <w:rsid w:val="00BA6611"/>
    <w:rsid w:val="00BA74C3"/>
    <w:rsid w:val="00BB04FC"/>
    <w:rsid w:val="00BC1ED7"/>
    <w:rsid w:val="00BC4AE2"/>
    <w:rsid w:val="00BC66CD"/>
    <w:rsid w:val="00BE0FD1"/>
    <w:rsid w:val="00BE1CFA"/>
    <w:rsid w:val="00BF43DA"/>
    <w:rsid w:val="00BF6868"/>
    <w:rsid w:val="00C004D6"/>
    <w:rsid w:val="00C01D1B"/>
    <w:rsid w:val="00C1083B"/>
    <w:rsid w:val="00C139C8"/>
    <w:rsid w:val="00C22FEB"/>
    <w:rsid w:val="00C26085"/>
    <w:rsid w:val="00C31D8F"/>
    <w:rsid w:val="00C37B73"/>
    <w:rsid w:val="00C40896"/>
    <w:rsid w:val="00C43DDA"/>
    <w:rsid w:val="00C43FB3"/>
    <w:rsid w:val="00C45F52"/>
    <w:rsid w:val="00C51E58"/>
    <w:rsid w:val="00C54277"/>
    <w:rsid w:val="00C5644F"/>
    <w:rsid w:val="00C645F0"/>
    <w:rsid w:val="00C70D38"/>
    <w:rsid w:val="00C7113E"/>
    <w:rsid w:val="00C83639"/>
    <w:rsid w:val="00C9542A"/>
    <w:rsid w:val="00C96484"/>
    <w:rsid w:val="00C9650F"/>
    <w:rsid w:val="00C97CAC"/>
    <w:rsid w:val="00CA3208"/>
    <w:rsid w:val="00CB078D"/>
    <w:rsid w:val="00CB1747"/>
    <w:rsid w:val="00CB2A7D"/>
    <w:rsid w:val="00CB32B3"/>
    <w:rsid w:val="00CC0704"/>
    <w:rsid w:val="00CC7FF8"/>
    <w:rsid w:val="00CD1B5B"/>
    <w:rsid w:val="00CD4A16"/>
    <w:rsid w:val="00CE33A5"/>
    <w:rsid w:val="00CE42C9"/>
    <w:rsid w:val="00CF026A"/>
    <w:rsid w:val="00CF3F85"/>
    <w:rsid w:val="00CF616E"/>
    <w:rsid w:val="00D0193B"/>
    <w:rsid w:val="00D02B19"/>
    <w:rsid w:val="00D07641"/>
    <w:rsid w:val="00D10082"/>
    <w:rsid w:val="00D13E05"/>
    <w:rsid w:val="00D17D63"/>
    <w:rsid w:val="00D226AC"/>
    <w:rsid w:val="00D27E99"/>
    <w:rsid w:val="00D34B69"/>
    <w:rsid w:val="00D4115C"/>
    <w:rsid w:val="00D44BF8"/>
    <w:rsid w:val="00D46FF7"/>
    <w:rsid w:val="00D472AF"/>
    <w:rsid w:val="00D47BFF"/>
    <w:rsid w:val="00D52DFB"/>
    <w:rsid w:val="00D542FD"/>
    <w:rsid w:val="00D63C80"/>
    <w:rsid w:val="00D70FF1"/>
    <w:rsid w:val="00D77718"/>
    <w:rsid w:val="00D82A84"/>
    <w:rsid w:val="00D85766"/>
    <w:rsid w:val="00D90379"/>
    <w:rsid w:val="00D92957"/>
    <w:rsid w:val="00D9346D"/>
    <w:rsid w:val="00DA21E4"/>
    <w:rsid w:val="00DA2A80"/>
    <w:rsid w:val="00DB0BD5"/>
    <w:rsid w:val="00DB2AB5"/>
    <w:rsid w:val="00DB3D0F"/>
    <w:rsid w:val="00DB7940"/>
    <w:rsid w:val="00DC2275"/>
    <w:rsid w:val="00DC5725"/>
    <w:rsid w:val="00DD08E6"/>
    <w:rsid w:val="00DE3535"/>
    <w:rsid w:val="00DE4884"/>
    <w:rsid w:val="00DE4C36"/>
    <w:rsid w:val="00DE66FA"/>
    <w:rsid w:val="00DF27A0"/>
    <w:rsid w:val="00DF4C6A"/>
    <w:rsid w:val="00DF5654"/>
    <w:rsid w:val="00DF7B18"/>
    <w:rsid w:val="00E03695"/>
    <w:rsid w:val="00E04BAA"/>
    <w:rsid w:val="00E12C3E"/>
    <w:rsid w:val="00E21F4B"/>
    <w:rsid w:val="00E25F6A"/>
    <w:rsid w:val="00E306C6"/>
    <w:rsid w:val="00E31457"/>
    <w:rsid w:val="00E34745"/>
    <w:rsid w:val="00E41497"/>
    <w:rsid w:val="00E47C60"/>
    <w:rsid w:val="00E50B61"/>
    <w:rsid w:val="00E5566C"/>
    <w:rsid w:val="00E644E8"/>
    <w:rsid w:val="00E645CA"/>
    <w:rsid w:val="00E74233"/>
    <w:rsid w:val="00E75C1B"/>
    <w:rsid w:val="00E803FB"/>
    <w:rsid w:val="00E8045B"/>
    <w:rsid w:val="00E80A61"/>
    <w:rsid w:val="00E833D3"/>
    <w:rsid w:val="00E91BC8"/>
    <w:rsid w:val="00E9580E"/>
    <w:rsid w:val="00E961AA"/>
    <w:rsid w:val="00E962E1"/>
    <w:rsid w:val="00E973A7"/>
    <w:rsid w:val="00E97CF4"/>
    <w:rsid w:val="00E97CF9"/>
    <w:rsid w:val="00EA10A5"/>
    <w:rsid w:val="00EA2037"/>
    <w:rsid w:val="00EA3203"/>
    <w:rsid w:val="00EA3238"/>
    <w:rsid w:val="00EA7E91"/>
    <w:rsid w:val="00EC58DD"/>
    <w:rsid w:val="00EE05E5"/>
    <w:rsid w:val="00EE15D7"/>
    <w:rsid w:val="00EE5156"/>
    <w:rsid w:val="00EF223D"/>
    <w:rsid w:val="00EF5324"/>
    <w:rsid w:val="00F04074"/>
    <w:rsid w:val="00F04E4F"/>
    <w:rsid w:val="00F058BC"/>
    <w:rsid w:val="00F0621D"/>
    <w:rsid w:val="00F069EF"/>
    <w:rsid w:val="00F07A2A"/>
    <w:rsid w:val="00F07BA3"/>
    <w:rsid w:val="00F159E4"/>
    <w:rsid w:val="00F3177A"/>
    <w:rsid w:val="00F35D8A"/>
    <w:rsid w:val="00F367F2"/>
    <w:rsid w:val="00F41E7E"/>
    <w:rsid w:val="00F43E33"/>
    <w:rsid w:val="00F44D07"/>
    <w:rsid w:val="00F46761"/>
    <w:rsid w:val="00F4756B"/>
    <w:rsid w:val="00F6099B"/>
    <w:rsid w:val="00F62912"/>
    <w:rsid w:val="00F6347A"/>
    <w:rsid w:val="00F6569B"/>
    <w:rsid w:val="00F660EE"/>
    <w:rsid w:val="00F66859"/>
    <w:rsid w:val="00F67304"/>
    <w:rsid w:val="00F7240B"/>
    <w:rsid w:val="00F7343F"/>
    <w:rsid w:val="00F74AA8"/>
    <w:rsid w:val="00F76C2F"/>
    <w:rsid w:val="00F80604"/>
    <w:rsid w:val="00F84E1A"/>
    <w:rsid w:val="00F879A9"/>
    <w:rsid w:val="00F90E99"/>
    <w:rsid w:val="00F9371B"/>
    <w:rsid w:val="00F9695D"/>
    <w:rsid w:val="00FA22C1"/>
    <w:rsid w:val="00FA360C"/>
    <w:rsid w:val="00FB13B7"/>
    <w:rsid w:val="00FB28D3"/>
    <w:rsid w:val="00FB420F"/>
    <w:rsid w:val="00FB541C"/>
    <w:rsid w:val="00FC350E"/>
    <w:rsid w:val="00FC6336"/>
    <w:rsid w:val="00FC6DBA"/>
    <w:rsid w:val="00FD0146"/>
    <w:rsid w:val="00FD0917"/>
    <w:rsid w:val="00FD120C"/>
    <w:rsid w:val="00FE2E3F"/>
    <w:rsid w:val="00FE5981"/>
    <w:rsid w:val="00FF672B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B21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Court">
    <w:name w:val="Court"/>
    <w:basedOn w:val="Normal"/>
    <w:rsid w:val="000C50F1"/>
    <w:pPr>
      <w:widowControl w:val="0"/>
      <w:spacing w:after="240" w:line="480" w:lineRule="exact"/>
      <w:ind w:firstLine="0"/>
      <w:jc w:val="center"/>
    </w:pPr>
    <w:rPr>
      <w:rFonts w:ascii="Times New Roman" w:eastAsia="Times New Roman" w:hAnsi="Times New Roman" w:cs="Times New Roman"/>
      <w:caps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8E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8E6"/>
  </w:style>
  <w:style w:type="character" w:styleId="FootnoteReference">
    <w:name w:val="footnote reference"/>
    <w:basedOn w:val="DefaultParagraphFont"/>
    <w:uiPriority w:val="99"/>
    <w:semiHidden/>
    <w:unhideWhenUsed/>
    <w:rsid w:val="00DD08E6"/>
    <w:rPr>
      <w:vertAlign w:val="superscript"/>
    </w:rPr>
  </w:style>
  <w:style w:type="paragraph" w:customStyle="1" w:styleId="Body">
    <w:name w:val="Body"/>
    <w:basedOn w:val="Normal"/>
    <w:rsid w:val="009B5579"/>
    <w:pPr>
      <w:spacing w:line="480" w:lineRule="exact"/>
    </w:pPr>
    <w:rPr>
      <w:rFonts w:ascii="Times New Roman" w:eastAsia="Times New Roman" w:hAnsi="Times New Roman" w:cs="Times New Roman"/>
      <w:sz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4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9B43-AE4F-44C3-B1F3-7D10ABA1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5833</Characters>
  <Application>Microsoft Office Word</Application>
  <DocSecurity>0</DocSecurity>
  <Lines>142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2026-06-03T23:39:00Z</dcterms:created>
  <dcterms:modified xsi:type="dcterms:W3CDTF">2026-06-03T23:40:00Z</dcterms:modified>
</cp:coreProperties>
</file>