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CAB7D" w14:textId="77777777" w:rsidR="0013271D" w:rsidRPr="006E3367" w:rsidRDefault="0013271D" w:rsidP="0013271D">
      <w:pPr>
        <w:pStyle w:val="AttorneyName"/>
        <w:rPr>
          <w:sz w:val="28"/>
          <w:szCs w:val="28"/>
        </w:rPr>
      </w:pPr>
      <w:r w:rsidRPr="006E3367">
        <w:rPr>
          <w:sz w:val="28"/>
          <w:szCs w:val="28"/>
        </w:rPr>
        <w:t>The Law Office of Denise M. Quinterri, PLLC</w:t>
      </w:r>
    </w:p>
    <w:p w14:paraId="1F8BB3BA" w14:textId="77777777" w:rsidR="0013271D" w:rsidRPr="006E3367" w:rsidRDefault="0013271D" w:rsidP="0013271D">
      <w:pPr>
        <w:pStyle w:val="AttorneyName"/>
        <w:rPr>
          <w:sz w:val="28"/>
          <w:szCs w:val="28"/>
        </w:rPr>
      </w:pPr>
      <w:r w:rsidRPr="006E3367">
        <w:rPr>
          <w:sz w:val="28"/>
          <w:szCs w:val="28"/>
        </w:rPr>
        <w:t>161 E. Inverness Dr.</w:t>
      </w:r>
    </w:p>
    <w:p w14:paraId="4D7AADD4" w14:textId="77777777" w:rsidR="0013271D" w:rsidRPr="006E3367" w:rsidRDefault="0013271D" w:rsidP="0013271D">
      <w:pPr>
        <w:pStyle w:val="AttorneyName"/>
        <w:rPr>
          <w:sz w:val="28"/>
          <w:szCs w:val="28"/>
        </w:rPr>
      </w:pPr>
      <w:r w:rsidRPr="006E3367">
        <w:rPr>
          <w:sz w:val="28"/>
          <w:szCs w:val="28"/>
        </w:rPr>
        <w:t>Tucson, AZ 85737</w:t>
      </w:r>
    </w:p>
    <w:p w14:paraId="766B6DE3" w14:textId="77777777" w:rsidR="0013271D" w:rsidRPr="006E3367" w:rsidRDefault="0013271D" w:rsidP="0013271D">
      <w:pPr>
        <w:pStyle w:val="AttorneyName"/>
        <w:rPr>
          <w:sz w:val="28"/>
          <w:szCs w:val="28"/>
        </w:rPr>
      </w:pPr>
      <w:r w:rsidRPr="006E3367">
        <w:rPr>
          <w:sz w:val="28"/>
          <w:szCs w:val="28"/>
        </w:rPr>
        <w:t>Telephone: 480-239-9807</w:t>
      </w:r>
    </w:p>
    <w:p w14:paraId="12638F6F" w14:textId="77777777" w:rsidR="0013271D" w:rsidRPr="006E3367" w:rsidRDefault="0013271D" w:rsidP="0013271D">
      <w:pPr>
        <w:pStyle w:val="AttorneyName"/>
        <w:rPr>
          <w:sz w:val="28"/>
          <w:szCs w:val="28"/>
        </w:rPr>
      </w:pPr>
      <w:bookmarkStart w:id="0" w:name="AttorneyName"/>
      <w:bookmarkEnd w:id="0"/>
      <w:r w:rsidRPr="006E3367">
        <w:rPr>
          <w:sz w:val="28"/>
          <w:szCs w:val="28"/>
        </w:rPr>
        <w:t>dmq@azethicslaw.com</w:t>
      </w:r>
    </w:p>
    <w:p w14:paraId="10825371" w14:textId="77777777" w:rsidR="0013271D" w:rsidRPr="006E3367" w:rsidRDefault="0013271D" w:rsidP="0013271D">
      <w:pPr>
        <w:pStyle w:val="AttorneyName"/>
        <w:rPr>
          <w:sz w:val="28"/>
          <w:szCs w:val="28"/>
        </w:rPr>
      </w:pPr>
      <w:r w:rsidRPr="006E3367">
        <w:rPr>
          <w:sz w:val="28"/>
          <w:szCs w:val="28"/>
        </w:rPr>
        <w:t>Denise M. Quinterri, State Bar No. 020637</w:t>
      </w:r>
    </w:p>
    <w:p w14:paraId="72C7DFC7" w14:textId="39689EAC" w:rsidR="0013271D" w:rsidRPr="006E3367" w:rsidRDefault="0013271D" w:rsidP="0013271D">
      <w:pPr>
        <w:pStyle w:val="AttorneyName"/>
        <w:rPr>
          <w:sz w:val="28"/>
          <w:szCs w:val="28"/>
        </w:rPr>
      </w:pPr>
    </w:p>
    <w:p w14:paraId="61615623" w14:textId="3B5BF116" w:rsidR="009F0E74" w:rsidRPr="0013271D" w:rsidRDefault="009F0E74">
      <w:pPr>
        <w:pStyle w:val="AttorneyName"/>
        <w:rPr>
          <w:sz w:val="28"/>
          <w:szCs w:val="28"/>
        </w:rPr>
      </w:pPr>
    </w:p>
    <w:p w14:paraId="1E853C5C" w14:textId="7CA73AFD" w:rsidR="009F0E74" w:rsidRPr="0011213D" w:rsidRDefault="000C50F1" w:rsidP="0011213D">
      <w:pPr>
        <w:pStyle w:val="Court"/>
        <w:spacing w:line="240" w:lineRule="auto"/>
        <w:rPr>
          <w:rStyle w:val="CourtNameChar"/>
          <w:b/>
          <w:caps/>
          <w:sz w:val="28"/>
          <w:szCs w:val="28"/>
        </w:rPr>
      </w:pPr>
      <w:r w:rsidRPr="0011213D">
        <w:rPr>
          <w:b/>
          <w:sz w:val="28"/>
          <w:szCs w:val="28"/>
        </w:rPr>
        <w:t>IN THE SUPREME COURT</w:t>
      </w:r>
      <w:r w:rsidRPr="0011213D">
        <w:rPr>
          <w:b/>
          <w:sz w:val="28"/>
          <w:szCs w:val="28"/>
        </w:rPr>
        <w:br/>
      </w:r>
      <w:r w:rsidR="001B10D5">
        <w:rPr>
          <w:b/>
          <w:sz w:val="28"/>
          <w:szCs w:val="28"/>
        </w:rPr>
        <w:t xml:space="preserve">of the </w:t>
      </w:r>
      <w:r w:rsidRPr="0011213D">
        <w:rPr>
          <w:b/>
          <w:sz w:val="28"/>
          <w:szCs w:val="28"/>
        </w:rPr>
        <w:t>STATE OF ARIZONA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to enter Plaintiff and Defendant’s details with Case number and Pleading Title"/>
      </w:tblPr>
      <w:tblGrid>
        <w:gridCol w:w="4680"/>
        <w:gridCol w:w="4680"/>
      </w:tblGrid>
      <w:tr w:rsidR="009F0E74" w:rsidRPr="0013271D" w14:paraId="0A124A82" w14:textId="77777777"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</w:tcPr>
          <w:p w14:paraId="3FFB6D01" w14:textId="77777777" w:rsidR="00CE42C9" w:rsidRDefault="00CE42C9" w:rsidP="00414B87">
            <w:pPr>
              <w:spacing w:line="264" w:lineRule="auto"/>
              <w:ind w:firstLine="0"/>
              <w:rPr>
                <w:bCs/>
                <w:sz w:val="28"/>
                <w:szCs w:val="28"/>
              </w:rPr>
            </w:pPr>
          </w:p>
          <w:p w14:paraId="1E49D633" w14:textId="5E09FB52" w:rsidR="00414B87" w:rsidRPr="00414B87" w:rsidRDefault="00414B87" w:rsidP="00414B87">
            <w:pPr>
              <w:spacing w:line="264" w:lineRule="auto"/>
              <w:ind w:firstLine="0"/>
              <w:rPr>
                <w:bCs/>
                <w:sz w:val="28"/>
                <w:szCs w:val="28"/>
              </w:rPr>
            </w:pPr>
            <w:r w:rsidRPr="00414B87">
              <w:rPr>
                <w:bCs/>
                <w:sz w:val="28"/>
                <w:szCs w:val="28"/>
              </w:rPr>
              <w:t>In the Matter of:</w:t>
            </w:r>
          </w:p>
          <w:p w14:paraId="11AB1BDA" w14:textId="77777777" w:rsidR="00414B87" w:rsidRPr="00414B87" w:rsidRDefault="00414B87" w:rsidP="00414B87">
            <w:pPr>
              <w:spacing w:line="264" w:lineRule="auto"/>
              <w:ind w:firstLine="0"/>
              <w:rPr>
                <w:bCs/>
                <w:sz w:val="28"/>
                <w:szCs w:val="28"/>
              </w:rPr>
            </w:pPr>
          </w:p>
          <w:p w14:paraId="6C582BF2" w14:textId="77777777" w:rsidR="00414B87" w:rsidRPr="00414B87" w:rsidRDefault="00414B87" w:rsidP="00414B87">
            <w:pPr>
              <w:spacing w:line="264" w:lineRule="auto"/>
              <w:ind w:firstLine="0"/>
              <w:rPr>
                <w:bCs/>
                <w:sz w:val="28"/>
                <w:szCs w:val="28"/>
              </w:rPr>
            </w:pPr>
          </w:p>
          <w:p w14:paraId="3720D945" w14:textId="4B90259C" w:rsidR="009F0E74" w:rsidRPr="00DB0BD5" w:rsidRDefault="00414B87" w:rsidP="00414B87">
            <w:pPr>
              <w:spacing w:line="264" w:lineRule="auto"/>
              <w:ind w:firstLine="0"/>
              <w:rPr>
                <w:b/>
                <w:bCs/>
                <w:sz w:val="28"/>
                <w:szCs w:val="28"/>
              </w:rPr>
            </w:pPr>
            <w:r w:rsidRPr="00DB0BD5">
              <w:rPr>
                <w:b/>
                <w:bCs/>
                <w:sz w:val="28"/>
                <w:szCs w:val="28"/>
              </w:rPr>
              <w:t xml:space="preserve">PETITION TO AMEND RULE </w:t>
            </w:r>
            <w:r w:rsidR="00B94813" w:rsidRPr="00DB0BD5">
              <w:rPr>
                <w:b/>
                <w:bCs/>
                <w:sz w:val="28"/>
                <w:szCs w:val="28"/>
              </w:rPr>
              <w:t>36</w:t>
            </w:r>
            <w:r w:rsidR="00CE33A5">
              <w:rPr>
                <w:b/>
                <w:bCs/>
                <w:sz w:val="28"/>
                <w:szCs w:val="28"/>
              </w:rPr>
              <w:t>(e)</w:t>
            </w:r>
            <w:r w:rsidRPr="00DB0BD5">
              <w:rPr>
                <w:b/>
                <w:bCs/>
                <w:sz w:val="28"/>
                <w:szCs w:val="28"/>
              </w:rPr>
              <w:t xml:space="preserve">, </w:t>
            </w:r>
            <w:r w:rsidR="00260A2D">
              <w:rPr>
                <w:b/>
                <w:bCs/>
                <w:sz w:val="28"/>
                <w:szCs w:val="28"/>
              </w:rPr>
              <w:t xml:space="preserve">ARIZONA </w:t>
            </w:r>
            <w:r w:rsidRPr="00DB0BD5">
              <w:rPr>
                <w:b/>
                <w:bCs/>
                <w:sz w:val="28"/>
                <w:szCs w:val="28"/>
              </w:rPr>
              <w:t xml:space="preserve">RULES OF THE SUPREME COURT </w:t>
            </w:r>
          </w:p>
          <w:p w14:paraId="5F845EA1" w14:textId="4F3F3608" w:rsidR="00F4756B" w:rsidRPr="0013271D" w:rsidRDefault="00F4756B" w:rsidP="00414B87">
            <w:pPr>
              <w:spacing w:line="264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500" w:type="pct"/>
            <w:tcBorders>
              <w:left w:val="nil"/>
            </w:tcBorders>
            <w:tcMar>
              <w:left w:w="115" w:type="dxa"/>
            </w:tcMar>
          </w:tcPr>
          <w:p w14:paraId="742F3789" w14:textId="02BDB3F4" w:rsidR="009F0E74" w:rsidRPr="0013271D" w:rsidRDefault="005574BF">
            <w:pPr>
              <w:pStyle w:val="CaseN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Supreme Court No. </w:t>
            </w:r>
            <w:r w:rsidR="00E9674D">
              <w:rPr>
                <w:sz w:val="28"/>
                <w:szCs w:val="28"/>
              </w:rPr>
              <w:t>26-0025</w:t>
            </w:r>
            <w:r w:rsidR="00FE2E3F" w:rsidRPr="0013271D">
              <w:rPr>
                <w:sz w:val="28"/>
                <w:szCs w:val="28"/>
              </w:rPr>
              <w:t xml:space="preserve"> </w:t>
            </w:r>
          </w:p>
          <w:sdt>
            <w:sdtPr>
              <w:rPr>
                <w:b/>
                <w:bCs/>
                <w:sz w:val="28"/>
                <w:szCs w:val="28"/>
              </w:rPr>
              <w:alias w:val="Enter pleading title:"/>
              <w:tag w:val=""/>
              <w:id w:val="1390306954"/>
              <w:placeholder>
                <w:docPart w:val="503515F0243546BAB34AE127EF60EFB3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appearance w15:val="hidden"/>
              <w:text w:multiLine="1"/>
            </w:sdtPr>
            <w:sdtContent>
              <w:p w14:paraId="52726826" w14:textId="16BDA1E6" w:rsidR="009F0E74" w:rsidRPr="0013271D" w:rsidRDefault="00315CD9" w:rsidP="0077251F">
                <w:pPr>
                  <w:pStyle w:val="Pleadingtitle"/>
                  <w:rPr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t xml:space="preserve">REPLY IN SUPPORT OF </w:t>
                </w:r>
                <w:r w:rsidR="00733EA8">
                  <w:rPr>
                    <w:b/>
                    <w:bCs/>
                    <w:sz w:val="28"/>
                    <w:szCs w:val="28"/>
                  </w:rPr>
                  <w:t>Petition</w:t>
                </w:r>
              </w:p>
            </w:sdtContent>
          </w:sdt>
        </w:tc>
      </w:tr>
    </w:tbl>
    <w:p w14:paraId="7AC10263" w14:textId="77777777" w:rsidR="009F0E74" w:rsidRPr="0013271D" w:rsidRDefault="009F0E74">
      <w:pPr>
        <w:pStyle w:val="NoSpacing"/>
        <w:rPr>
          <w:sz w:val="28"/>
          <w:szCs w:val="28"/>
        </w:rPr>
      </w:pPr>
    </w:p>
    <w:p w14:paraId="3CC9E554" w14:textId="7EE5F235" w:rsidR="007401D9" w:rsidRDefault="00CB32B3" w:rsidP="004C23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Petitioner</w:t>
      </w:r>
      <w:r w:rsidR="007976B8">
        <w:rPr>
          <w:sz w:val="28"/>
          <w:szCs w:val="28"/>
        </w:rPr>
        <w:t xml:space="preserve"> replies as follows to the Response to the Petition filed by the Arizona Supreme Court Committee on Character and Fitness (“Committee”)</w:t>
      </w:r>
      <w:r w:rsidR="00055356">
        <w:rPr>
          <w:sz w:val="28"/>
          <w:szCs w:val="28"/>
        </w:rPr>
        <w:t xml:space="preserve">. </w:t>
      </w:r>
      <w:r w:rsidR="00195695">
        <w:rPr>
          <w:sz w:val="28"/>
          <w:szCs w:val="28"/>
        </w:rPr>
        <w:t xml:space="preserve"> </w:t>
      </w:r>
    </w:p>
    <w:p w14:paraId="09F4230C" w14:textId="3B3FEC99" w:rsidR="007401D9" w:rsidRDefault="004C2374" w:rsidP="004C237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="007401D9" w:rsidRPr="004C2374">
        <w:rPr>
          <w:color w:val="000000"/>
          <w:sz w:val="28"/>
          <w:szCs w:val="28"/>
        </w:rPr>
        <w:t>Petition</w:t>
      </w:r>
      <w:r w:rsidRPr="004C2374">
        <w:rPr>
          <w:color w:val="000000"/>
          <w:sz w:val="28"/>
          <w:szCs w:val="28"/>
        </w:rPr>
        <w:t>er</w:t>
      </w:r>
      <w:r w:rsidR="007401D9" w:rsidRPr="004C2374">
        <w:rPr>
          <w:color w:val="000000"/>
          <w:sz w:val="28"/>
          <w:szCs w:val="28"/>
        </w:rPr>
        <w:t xml:space="preserve"> does not fail to recognize that </w:t>
      </w:r>
      <w:r w:rsidR="00604722" w:rsidRPr="004C2374">
        <w:rPr>
          <w:color w:val="000000"/>
          <w:sz w:val="28"/>
          <w:szCs w:val="28"/>
        </w:rPr>
        <w:t>that the Committee discloses the areas of inquiry in its Notices.</w:t>
      </w:r>
      <w:r w:rsidR="00D20CD3">
        <w:rPr>
          <w:color w:val="000000"/>
          <w:sz w:val="28"/>
          <w:szCs w:val="28"/>
        </w:rPr>
        <w:t xml:space="preserve">  </w:t>
      </w:r>
      <w:r w:rsidR="003C044C">
        <w:rPr>
          <w:color w:val="000000"/>
          <w:sz w:val="28"/>
          <w:szCs w:val="28"/>
        </w:rPr>
        <w:t xml:space="preserve">On behalf of </w:t>
      </w:r>
      <w:proofErr w:type="gramStart"/>
      <w:r w:rsidR="003C044C">
        <w:rPr>
          <w:color w:val="000000"/>
          <w:sz w:val="28"/>
          <w:szCs w:val="28"/>
        </w:rPr>
        <w:t xml:space="preserve">applicants generally, </w:t>
      </w:r>
      <w:r w:rsidR="00D20CD3">
        <w:rPr>
          <w:color w:val="000000"/>
          <w:sz w:val="28"/>
          <w:szCs w:val="28"/>
        </w:rPr>
        <w:t>Petitioner</w:t>
      </w:r>
      <w:proofErr w:type="gramEnd"/>
      <w:r w:rsidR="00D20CD3">
        <w:rPr>
          <w:color w:val="000000"/>
          <w:sz w:val="28"/>
          <w:szCs w:val="28"/>
        </w:rPr>
        <w:t xml:space="preserve"> appreciates the additional de</w:t>
      </w:r>
      <w:r w:rsidR="003C044C">
        <w:rPr>
          <w:color w:val="000000"/>
          <w:sz w:val="28"/>
          <w:szCs w:val="28"/>
        </w:rPr>
        <w:t xml:space="preserve">tail/description </w:t>
      </w:r>
      <w:r w:rsidR="005541CC">
        <w:rPr>
          <w:color w:val="000000"/>
          <w:sz w:val="28"/>
          <w:szCs w:val="28"/>
        </w:rPr>
        <w:t xml:space="preserve">provided in examples at page 4 of the Committee’s response.  </w:t>
      </w:r>
      <w:r w:rsidR="00BF5D54">
        <w:rPr>
          <w:color w:val="000000"/>
          <w:sz w:val="28"/>
          <w:szCs w:val="28"/>
        </w:rPr>
        <w:t>Petitioner is not sure she agree</w:t>
      </w:r>
      <w:r w:rsidR="008D0224">
        <w:rPr>
          <w:color w:val="000000"/>
          <w:sz w:val="28"/>
          <w:szCs w:val="28"/>
        </w:rPr>
        <w:t>s</w:t>
      </w:r>
      <w:r w:rsidR="00BF5D54">
        <w:rPr>
          <w:color w:val="000000"/>
          <w:sz w:val="28"/>
          <w:szCs w:val="28"/>
        </w:rPr>
        <w:t xml:space="preserve"> that such detailed notices are “typical.”  </w:t>
      </w:r>
      <w:r w:rsidR="00760FF5">
        <w:rPr>
          <w:color w:val="000000"/>
          <w:sz w:val="28"/>
          <w:szCs w:val="28"/>
        </w:rPr>
        <w:t>That may be the case more recently.</w:t>
      </w:r>
      <w:r w:rsidR="0016310E">
        <w:rPr>
          <w:color w:val="000000"/>
          <w:sz w:val="28"/>
          <w:szCs w:val="28"/>
        </w:rPr>
        <w:t xml:space="preserve">  In any case, it is good.</w:t>
      </w:r>
      <w:r w:rsidR="00760FF5">
        <w:rPr>
          <w:color w:val="000000"/>
          <w:sz w:val="28"/>
          <w:szCs w:val="28"/>
        </w:rPr>
        <w:t xml:space="preserve">  </w:t>
      </w:r>
    </w:p>
    <w:p w14:paraId="74474AED" w14:textId="1C9505B0" w:rsidR="00043078" w:rsidRDefault="005F00E8" w:rsidP="005A3E61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 xml:space="preserve">Petitioner does not fail to recognize differences between an informal inquiry and a formal hearing.  Petitioner disagrees that the distinction obviates any </w:t>
      </w:r>
      <w:r>
        <w:rPr>
          <w:color w:val="000000"/>
          <w:sz w:val="28"/>
          <w:szCs w:val="28"/>
        </w:rPr>
        <w:lastRenderedPageBreak/>
        <w:t xml:space="preserve">concern about due process.  If an applicant is </w:t>
      </w:r>
      <w:r w:rsidR="00A652E0">
        <w:rPr>
          <w:color w:val="000000"/>
          <w:sz w:val="28"/>
          <w:szCs w:val="28"/>
        </w:rPr>
        <w:t xml:space="preserve">subjected to a “gotcha” at an informal </w:t>
      </w:r>
      <w:r w:rsidR="0016310E">
        <w:rPr>
          <w:color w:val="000000"/>
          <w:sz w:val="28"/>
          <w:szCs w:val="28"/>
        </w:rPr>
        <w:t>inquiry</w:t>
      </w:r>
      <w:r w:rsidR="00240F9D">
        <w:rPr>
          <w:color w:val="000000"/>
          <w:sz w:val="28"/>
          <w:szCs w:val="28"/>
        </w:rPr>
        <w:t xml:space="preserve"> and</w:t>
      </w:r>
      <w:r w:rsidR="003259A1">
        <w:rPr>
          <w:color w:val="000000"/>
          <w:sz w:val="28"/>
          <w:szCs w:val="28"/>
        </w:rPr>
        <w:t xml:space="preserve">, </w:t>
      </w:r>
      <w:r w:rsidR="00B06A37">
        <w:rPr>
          <w:color w:val="000000"/>
          <w:sz w:val="28"/>
          <w:szCs w:val="28"/>
        </w:rPr>
        <w:t xml:space="preserve">upset by and </w:t>
      </w:r>
      <w:r w:rsidR="003259A1">
        <w:rPr>
          <w:color w:val="000000"/>
          <w:sz w:val="28"/>
          <w:szCs w:val="28"/>
        </w:rPr>
        <w:t>unprepared for that,</w:t>
      </w:r>
      <w:r w:rsidR="00B06A37">
        <w:rPr>
          <w:color w:val="000000"/>
          <w:sz w:val="28"/>
          <w:szCs w:val="28"/>
        </w:rPr>
        <w:t xml:space="preserve"> bungles</w:t>
      </w:r>
      <w:r w:rsidR="003259A1">
        <w:rPr>
          <w:color w:val="000000"/>
          <w:sz w:val="28"/>
          <w:szCs w:val="28"/>
        </w:rPr>
        <w:t xml:space="preserve"> his or her testimony and </w:t>
      </w:r>
      <w:r w:rsidR="002E7C12">
        <w:rPr>
          <w:color w:val="000000"/>
          <w:sz w:val="28"/>
          <w:szCs w:val="28"/>
        </w:rPr>
        <w:t xml:space="preserve">loses the informal, </w:t>
      </w:r>
      <w:r w:rsidR="002E7C12" w:rsidRPr="002B7373">
        <w:rPr>
          <w:color w:val="000000"/>
          <w:sz w:val="28"/>
          <w:szCs w:val="28"/>
          <w:u w:val="single"/>
        </w:rPr>
        <w:t xml:space="preserve">it is </w:t>
      </w:r>
      <w:r w:rsidR="000E0572" w:rsidRPr="002B7373">
        <w:rPr>
          <w:color w:val="000000"/>
          <w:sz w:val="28"/>
          <w:szCs w:val="28"/>
          <w:u w:val="single"/>
        </w:rPr>
        <w:t>not as if the testimony in the informal disappears</w:t>
      </w:r>
      <w:r w:rsidR="001E6EB3">
        <w:rPr>
          <w:color w:val="000000"/>
          <w:sz w:val="28"/>
          <w:szCs w:val="28"/>
        </w:rPr>
        <w:t xml:space="preserve">, whether it is recorded or not. </w:t>
      </w:r>
      <w:r w:rsidR="000E0572">
        <w:rPr>
          <w:color w:val="000000"/>
          <w:sz w:val="28"/>
          <w:szCs w:val="28"/>
        </w:rPr>
        <w:t xml:space="preserve"> </w:t>
      </w:r>
      <w:r w:rsidR="001F6668">
        <w:rPr>
          <w:color w:val="000000"/>
          <w:sz w:val="28"/>
          <w:szCs w:val="28"/>
        </w:rPr>
        <w:t>As Mark Harrison said in 2009</w:t>
      </w:r>
      <w:r w:rsidR="00CF00DE">
        <w:rPr>
          <w:color w:val="000000"/>
          <w:sz w:val="28"/>
          <w:szCs w:val="28"/>
        </w:rPr>
        <w:t>, denying the applicant notice of negative evidence</w:t>
      </w:r>
      <w:r w:rsidR="005A3E61">
        <w:rPr>
          <w:color w:val="000000"/>
          <w:sz w:val="28"/>
          <w:szCs w:val="28"/>
        </w:rPr>
        <w:t xml:space="preserve"> may adversely affect the applicant’s ability to properly prepare to respond to negative evidence.</w:t>
      </w:r>
    </w:p>
    <w:p w14:paraId="7B7CA0AD" w14:textId="3A801E55" w:rsidR="002B376B" w:rsidRDefault="000E0572" w:rsidP="004C237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 xml:space="preserve">Petitioner did not and does not suggest that the Committee “provide a full disclosure statement with documents for every informal </w:t>
      </w:r>
      <w:r w:rsidR="006D0EC1">
        <w:rPr>
          <w:color w:val="000000"/>
          <w:sz w:val="28"/>
          <w:szCs w:val="28"/>
        </w:rPr>
        <w:t xml:space="preserve">inquiry.” </w:t>
      </w:r>
      <w:r w:rsidR="0016310E">
        <w:rPr>
          <w:color w:val="000000"/>
          <w:sz w:val="28"/>
          <w:szCs w:val="28"/>
        </w:rPr>
        <w:t xml:space="preserve"> </w:t>
      </w:r>
      <w:r w:rsidR="00416EAA">
        <w:rPr>
          <w:color w:val="000000"/>
          <w:sz w:val="28"/>
          <w:szCs w:val="28"/>
        </w:rPr>
        <w:t>What is proposed now is what t</w:t>
      </w:r>
      <w:r w:rsidR="002B376B">
        <w:rPr>
          <w:color w:val="000000"/>
          <w:sz w:val="28"/>
          <w:szCs w:val="28"/>
        </w:rPr>
        <w:t xml:space="preserve">he rule </w:t>
      </w:r>
      <w:r w:rsidR="008251E2">
        <w:rPr>
          <w:color w:val="000000"/>
          <w:sz w:val="28"/>
          <w:szCs w:val="28"/>
        </w:rPr>
        <w:t xml:space="preserve">in the past </w:t>
      </w:r>
      <w:r w:rsidR="00416EAA">
        <w:rPr>
          <w:color w:val="000000"/>
          <w:sz w:val="28"/>
          <w:szCs w:val="28"/>
        </w:rPr>
        <w:t xml:space="preserve">already </w:t>
      </w:r>
      <w:r w:rsidR="008251E2">
        <w:rPr>
          <w:color w:val="000000"/>
          <w:sz w:val="28"/>
          <w:szCs w:val="28"/>
        </w:rPr>
        <w:t>said</w:t>
      </w:r>
      <w:r w:rsidR="002B376B">
        <w:rPr>
          <w:color w:val="000000"/>
          <w:sz w:val="28"/>
          <w:szCs w:val="28"/>
        </w:rPr>
        <w:t>:</w:t>
      </w:r>
    </w:p>
    <w:p w14:paraId="1360BFD2" w14:textId="6ADC7095" w:rsidR="002B376B" w:rsidRPr="00416EAA" w:rsidRDefault="008E5A06" w:rsidP="00264EF7">
      <w:pPr>
        <w:spacing w:line="240" w:lineRule="auto"/>
        <w:ind w:left="720" w:right="720" w:firstLine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“</w:t>
      </w:r>
      <w:r w:rsidR="0068209E" w:rsidRPr="00416EAA">
        <w:rPr>
          <w:b/>
          <w:bCs/>
          <w:sz w:val="28"/>
          <w:szCs w:val="28"/>
          <w:u w:val="single"/>
        </w:rPr>
        <w:t>Neither party needs to disclose copies of documents already provided during the application process.</w:t>
      </w:r>
      <w:r>
        <w:rPr>
          <w:b/>
          <w:bCs/>
          <w:sz w:val="28"/>
          <w:szCs w:val="28"/>
          <w:u w:val="single"/>
        </w:rPr>
        <w:t>”</w:t>
      </w:r>
    </w:p>
    <w:p w14:paraId="497FCFA8" w14:textId="77777777" w:rsidR="0068209E" w:rsidRDefault="0068209E" w:rsidP="00264EF7">
      <w:pPr>
        <w:spacing w:line="240" w:lineRule="auto"/>
        <w:ind w:firstLine="720"/>
        <w:jc w:val="both"/>
        <w:rPr>
          <w:color w:val="000000"/>
          <w:sz w:val="28"/>
          <w:szCs w:val="28"/>
        </w:rPr>
      </w:pPr>
    </w:p>
    <w:p w14:paraId="3E822A49" w14:textId="1FA8569D" w:rsidR="00264EF7" w:rsidRDefault="00416EAA" w:rsidP="00264EF7">
      <w:pPr>
        <w:spacing w:line="240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Rule </w:t>
      </w:r>
      <w:r w:rsidR="00264EF7">
        <w:rPr>
          <w:color w:val="000000"/>
          <w:sz w:val="28"/>
          <w:szCs w:val="28"/>
        </w:rPr>
        <w:t>36(e)</w:t>
      </w:r>
      <w:r>
        <w:rPr>
          <w:color w:val="000000"/>
          <w:sz w:val="28"/>
          <w:szCs w:val="28"/>
        </w:rPr>
        <w:t>(4), Ariz. R. Sup. Ct.</w:t>
      </w:r>
      <w:r w:rsidR="008E5A06">
        <w:rPr>
          <w:color w:val="000000"/>
          <w:sz w:val="28"/>
          <w:szCs w:val="28"/>
        </w:rPr>
        <w:t xml:space="preserve">, </w:t>
      </w:r>
      <w:r w:rsidR="008E5A06" w:rsidRPr="002660AD">
        <w:rPr>
          <w:color w:val="000000"/>
          <w:sz w:val="28"/>
          <w:szCs w:val="28"/>
          <w:u w:val="single"/>
        </w:rPr>
        <w:t>as it existed in 2013, and as is proposed here</w:t>
      </w:r>
      <w:r w:rsidR="008E5A06">
        <w:rPr>
          <w:color w:val="000000"/>
          <w:sz w:val="28"/>
          <w:szCs w:val="28"/>
        </w:rPr>
        <w:t>.</w:t>
      </w:r>
      <w:r w:rsidR="009D74E4">
        <w:rPr>
          <w:color w:val="000000"/>
          <w:sz w:val="28"/>
          <w:szCs w:val="28"/>
        </w:rPr>
        <w:t xml:space="preserve">  </w:t>
      </w:r>
      <w:r w:rsidR="00A069CA">
        <w:rPr>
          <w:color w:val="000000"/>
          <w:sz w:val="28"/>
          <w:szCs w:val="28"/>
        </w:rPr>
        <w:t xml:space="preserve">  </w:t>
      </w:r>
    </w:p>
    <w:p w14:paraId="27A902AE" w14:textId="77777777" w:rsidR="00416EAA" w:rsidRDefault="00416EAA" w:rsidP="00264EF7">
      <w:pPr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14:paraId="66BEAD69" w14:textId="32CD6C62" w:rsidR="00B84339" w:rsidRDefault="00A069CA" w:rsidP="00A069CA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That language was discussed at length </w:t>
      </w:r>
      <w:r w:rsidR="000B7F69">
        <w:rPr>
          <w:color w:val="000000"/>
          <w:sz w:val="28"/>
          <w:szCs w:val="28"/>
        </w:rPr>
        <w:t>in</w:t>
      </w:r>
      <w:r w:rsidR="00870FE9">
        <w:rPr>
          <w:color w:val="000000"/>
          <w:sz w:val="28"/>
          <w:szCs w:val="28"/>
        </w:rPr>
        <w:t xml:space="preserve"> 2010 or thereabouts</w:t>
      </w:r>
      <w:r w:rsidR="00EE7897">
        <w:rPr>
          <w:color w:val="000000"/>
          <w:sz w:val="28"/>
          <w:szCs w:val="28"/>
        </w:rPr>
        <w:t>, when the</w:t>
      </w:r>
      <w:r w:rsidR="0091540D">
        <w:rPr>
          <w:color w:val="000000"/>
          <w:sz w:val="28"/>
          <w:szCs w:val="28"/>
        </w:rPr>
        <w:t xml:space="preserve"> rule change was originally proposed</w:t>
      </w:r>
      <w:r w:rsidR="00870FE9">
        <w:rPr>
          <w:color w:val="000000"/>
          <w:sz w:val="28"/>
          <w:szCs w:val="28"/>
        </w:rPr>
        <w:t xml:space="preserve">.  </w:t>
      </w:r>
      <w:r w:rsidR="009A701F">
        <w:rPr>
          <w:color w:val="000000"/>
          <w:sz w:val="28"/>
          <w:szCs w:val="28"/>
        </w:rPr>
        <w:t xml:space="preserve">Nobody wanted to create burdensome and time-consuming work for the staff, the Committee, or the applicant.  </w:t>
      </w:r>
      <w:r w:rsidR="00870FE9">
        <w:rPr>
          <w:color w:val="000000"/>
          <w:sz w:val="28"/>
          <w:szCs w:val="28"/>
        </w:rPr>
        <w:t xml:space="preserve">The point is simply to </w:t>
      </w:r>
      <w:r w:rsidR="00B84339">
        <w:rPr>
          <w:color w:val="000000"/>
          <w:sz w:val="28"/>
          <w:szCs w:val="28"/>
        </w:rPr>
        <w:t xml:space="preserve">provide disclosure of any information the other side does </w:t>
      </w:r>
      <w:r w:rsidR="00B84339" w:rsidRPr="00C56057">
        <w:rPr>
          <w:color w:val="000000"/>
          <w:sz w:val="28"/>
          <w:szCs w:val="28"/>
          <w:u w:val="single"/>
        </w:rPr>
        <w:t xml:space="preserve">not </w:t>
      </w:r>
      <w:r w:rsidR="00C56057" w:rsidRPr="00C56057">
        <w:rPr>
          <w:color w:val="000000"/>
          <w:sz w:val="28"/>
          <w:szCs w:val="28"/>
          <w:u w:val="single"/>
        </w:rPr>
        <w:t xml:space="preserve">already </w:t>
      </w:r>
      <w:r w:rsidR="00B84339" w:rsidRPr="00C56057">
        <w:rPr>
          <w:color w:val="000000"/>
          <w:sz w:val="28"/>
          <w:szCs w:val="28"/>
          <w:u w:val="single"/>
        </w:rPr>
        <w:t>know about</w:t>
      </w:r>
      <w:r w:rsidR="00B84339">
        <w:rPr>
          <w:color w:val="000000"/>
          <w:sz w:val="28"/>
          <w:szCs w:val="28"/>
        </w:rPr>
        <w:t>.</w:t>
      </w:r>
      <w:r w:rsidR="00530129">
        <w:rPr>
          <w:color w:val="000000"/>
          <w:sz w:val="28"/>
          <w:szCs w:val="28"/>
        </w:rPr>
        <w:t xml:space="preserve">  </w:t>
      </w:r>
      <w:r w:rsidR="0091540D">
        <w:rPr>
          <w:color w:val="000000"/>
          <w:sz w:val="28"/>
          <w:szCs w:val="28"/>
        </w:rPr>
        <w:t xml:space="preserve">We expect that in civil cases and criminal cases and it is unclear why we should not expect that here.  </w:t>
      </w:r>
      <w:r w:rsidR="00530129">
        <w:rPr>
          <w:color w:val="000000"/>
          <w:sz w:val="28"/>
          <w:szCs w:val="28"/>
        </w:rPr>
        <w:t>Th</w:t>
      </w:r>
      <w:r w:rsidR="002660AD">
        <w:rPr>
          <w:color w:val="000000"/>
          <w:sz w:val="28"/>
          <w:szCs w:val="28"/>
        </w:rPr>
        <w:t>e same language remains</w:t>
      </w:r>
      <w:r w:rsidR="002660AD" w:rsidRPr="002660AD">
        <w:rPr>
          <w:color w:val="000000"/>
          <w:sz w:val="28"/>
          <w:szCs w:val="28"/>
        </w:rPr>
        <w:t xml:space="preserve"> in Rule 36(f)(4) now.  </w:t>
      </w:r>
    </w:p>
    <w:p w14:paraId="0AEBFC4C" w14:textId="050F5B74" w:rsidR="00D942DB" w:rsidRDefault="004C230A" w:rsidP="00A069CA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 formal disclosure statements</w:t>
      </w:r>
      <w:r w:rsidR="000E191C">
        <w:rPr>
          <w:color w:val="000000"/>
          <w:sz w:val="28"/>
          <w:szCs w:val="28"/>
        </w:rPr>
        <w:t xml:space="preserve"> and Bates stamping are creations of the Committee and/or its staff.  It was not always done that way and there is no </w:t>
      </w:r>
      <w:r w:rsidR="000E191C">
        <w:rPr>
          <w:color w:val="000000"/>
          <w:sz w:val="28"/>
          <w:szCs w:val="28"/>
        </w:rPr>
        <w:lastRenderedPageBreak/>
        <w:t xml:space="preserve">requirement that it </w:t>
      </w:r>
      <w:r w:rsidR="009203DA">
        <w:rPr>
          <w:color w:val="000000"/>
          <w:sz w:val="28"/>
          <w:szCs w:val="28"/>
        </w:rPr>
        <w:t>be</w:t>
      </w:r>
      <w:r w:rsidR="000E191C">
        <w:rPr>
          <w:color w:val="000000"/>
          <w:sz w:val="28"/>
          <w:szCs w:val="28"/>
        </w:rPr>
        <w:t xml:space="preserve"> done that way.  It does make things more manageable</w:t>
      </w:r>
      <w:r w:rsidR="00FA1CF3">
        <w:rPr>
          <w:color w:val="000000"/>
          <w:sz w:val="28"/>
          <w:szCs w:val="28"/>
        </w:rPr>
        <w:t xml:space="preserve"> in formal cases</w:t>
      </w:r>
      <w:r w:rsidR="000E191C">
        <w:rPr>
          <w:color w:val="000000"/>
          <w:sz w:val="28"/>
          <w:szCs w:val="28"/>
        </w:rPr>
        <w:t xml:space="preserve">, particularly </w:t>
      </w:r>
      <w:r w:rsidR="00957C98">
        <w:rPr>
          <w:color w:val="000000"/>
          <w:sz w:val="28"/>
          <w:szCs w:val="28"/>
        </w:rPr>
        <w:t>in cases with a lot of documents.</w:t>
      </w:r>
      <w:r w:rsidR="009203DA">
        <w:rPr>
          <w:color w:val="000000"/>
          <w:sz w:val="28"/>
          <w:szCs w:val="28"/>
        </w:rPr>
        <w:t xml:space="preserve">  </w:t>
      </w:r>
      <w:r w:rsidR="00264F1B">
        <w:rPr>
          <w:color w:val="000000"/>
          <w:sz w:val="28"/>
          <w:szCs w:val="28"/>
        </w:rPr>
        <w:t>But again, i</w:t>
      </w:r>
      <w:r w:rsidR="00142E9A">
        <w:rPr>
          <w:color w:val="000000"/>
          <w:sz w:val="28"/>
          <w:szCs w:val="28"/>
        </w:rPr>
        <w:t xml:space="preserve">t is not what the rule </w:t>
      </w:r>
      <w:r w:rsidR="00501B97">
        <w:rPr>
          <w:color w:val="000000"/>
          <w:sz w:val="28"/>
          <w:szCs w:val="28"/>
        </w:rPr>
        <w:t>says,</w:t>
      </w:r>
      <w:r w:rsidR="00142E9A">
        <w:rPr>
          <w:color w:val="000000"/>
          <w:sz w:val="28"/>
          <w:szCs w:val="28"/>
        </w:rPr>
        <w:t xml:space="preserve"> </w:t>
      </w:r>
      <w:r w:rsidR="00FA1CF3">
        <w:rPr>
          <w:color w:val="000000"/>
          <w:sz w:val="28"/>
          <w:szCs w:val="28"/>
        </w:rPr>
        <w:t xml:space="preserve">and it is </w:t>
      </w:r>
      <w:r w:rsidR="00501B97">
        <w:rPr>
          <w:color w:val="000000"/>
          <w:sz w:val="28"/>
          <w:szCs w:val="28"/>
        </w:rPr>
        <w:t>not</w:t>
      </w:r>
      <w:r w:rsidR="00142E9A">
        <w:rPr>
          <w:color w:val="000000"/>
          <w:sz w:val="28"/>
          <w:szCs w:val="28"/>
        </w:rPr>
        <w:t xml:space="preserve"> what is being asked here.  </w:t>
      </w:r>
      <w:r w:rsidR="00AB127C">
        <w:rPr>
          <w:color w:val="000000"/>
          <w:sz w:val="28"/>
          <w:szCs w:val="28"/>
        </w:rPr>
        <w:t>There is no need for staff to make copies of</w:t>
      </w:r>
      <w:r w:rsidR="003007DF">
        <w:rPr>
          <w:color w:val="000000"/>
          <w:sz w:val="28"/>
          <w:szCs w:val="28"/>
        </w:rPr>
        <w:t xml:space="preserve"> all the documents in the file—much of which came from the applicant in the first pla</w:t>
      </w:r>
      <w:r w:rsidR="004765DC">
        <w:rPr>
          <w:color w:val="000000"/>
          <w:sz w:val="28"/>
          <w:szCs w:val="28"/>
        </w:rPr>
        <w:t>ce</w:t>
      </w:r>
      <w:r w:rsidR="003007DF">
        <w:rPr>
          <w:color w:val="000000"/>
          <w:sz w:val="28"/>
          <w:szCs w:val="28"/>
        </w:rPr>
        <w:t xml:space="preserve">.  </w:t>
      </w:r>
      <w:r w:rsidR="00CC22F7">
        <w:rPr>
          <w:color w:val="000000"/>
          <w:sz w:val="28"/>
          <w:szCs w:val="28"/>
        </w:rPr>
        <w:t xml:space="preserve">Even if the Committee chooses to prepare all that for </w:t>
      </w:r>
      <w:r w:rsidR="00EA4672">
        <w:rPr>
          <w:color w:val="000000"/>
          <w:sz w:val="28"/>
          <w:szCs w:val="28"/>
        </w:rPr>
        <w:t>formal hearings,</w:t>
      </w:r>
      <w:r w:rsidR="00EA4672" w:rsidRPr="00EA4672">
        <w:rPr>
          <w:color w:val="000000"/>
          <w:sz w:val="28"/>
          <w:szCs w:val="28"/>
          <w:u w:val="single"/>
        </w:rPr>
        <w:t xml:space="preserve"> nothing about this rule change would make that necessary for informal inquiries</w:t>
      </w:r>
      <w:r w:rsidR="00EA4672">
        <w:rPr>
          <w:color w:val="000000"/>
          <w:sz w:val="28"/>
          <w:szCs w:val="28"/>
        </w:rPr>
        <w:t>.  I</w:t>
      </w:r>
      <w:r w:rsidR="00501B97">
        <w:rPr>
          <w:color w:val="000000"/>
          <w:sz w:val="28"/>
          <w:szCs w:val="28"/>
        </w:rPr>
        <w:t>nformal inquiries can remain informal</w:t>
      </w:r>
      <w:r w:rsidR="00CC22F7">
        <w:rPr>
          <w:color w:val="000000"/>
          <w:sz w:val="28"/>
          <w:szCs w:val="28"/>
        </w:rPr>
        <w:t>.  N</w:t>
      </w:r>
      <w:r w:rsidR="00D942DB">
        <w:rPr>
          <w:color w:val="000000"/>
          <w:sz w:val="28"/>
          <w:szCs w:val="28"/>
        </w:rPr>
        <w:t xml:space="preserve">o exhibits need to be marked or entered or any of that.  </w:t>
      </w:r>
    </w:p>
    <w:p w14:paraId="4B7B4A46" w14:textId="77777777" w:rsidR="00B164B4" w:rsidRDefault="003007DF" w:rsidP="00A069CA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</w:t>
      </w:r>
      <w:r w:rsidR="00142E9A">
        <w:rPr>
          <w:color w:val="000000"/>
          <w:sz w:val="28"/>
          <w:szCs w:val="28"/>
        </w:rPr>
        <w:t xml:space="preserve">n behalf of </w:t>
      </w:r>
      <w:proofErr w:type="gramStart"/>
      <w:r w:rsidR="00142E9A">
        <w:rPr>
          <w:color w:val="000000"/>
          <w:sz w:val="28"/>
          <w:szCs w:val="28"/>
        </w:rPr>
        <w:t xml:space="preserve">applicants generally, </w:t>
      </w:r>
      <w:r>
        <w:rPr>
          <w:color w:val="000000"/>
          <w:sz w:val="28"/>
          <w:szCs w:val="28"/>
        </w:rPr>
        <w:t>Petitioner</w:t>
      </w:r>
      <w:proofErr w:type="gramEnd"/>
      <w:r>
        <w:rPr>
          <w:color w:val="000000"/>
          <w:sz w:val="28"/>
          <w:szCs w:val="28"/>
        </w:rPr>
        <w:t xml:space="preserve"> </w:t>
      </w:r>
      <w:r w:rsidR="00142E9A">
        <w:rPr>
          <w:color w:val="000000"/>
          <w:sz w:val="28"/>
          <w:szCs w:val="28"/>
        </w:rPr>
        <w:t xml:space="preserve">simply asks that any negative evidence that the Committee </w:t>
      </w:r>
      <w:r w:rsidR="00AB127C">
        <w:rPr>
          <w:color w:val="000000"/>
          <w:sz w:val="28"/>
          <w:szCs w:val="28"/>
        </w:rPr>
        <w:t>received from sources other than applicant be disclosed to the applicant prior to the informal hearing.</w:t>
      </w:r>
      <w:r w:rsidR="00A66909">
        <w:rPr>
          <w:color w:val="000000"/>
          <w:sz w:val="28"/>
          <w:szCs w:val="28"/>
        </w:rPr>
        <w:t xml:space="preserve">  And if that is already happening—</w:t>
      </w:r>
      <w:r w:rsidR="00E42D42">
        <w:rPr>
          <w:color w:val="000000"/>
          <w:sz w:val="28"/>
          <w:szCs w:val="28"/>
        </w:rPr>
        <w:t>great.</w:t>
      </w:r>
      <w:r w:rsidR="00A66909">
        <w:rPr>
          <w:color w:val="000000"/>
          <w:sz w:val="28"/>
          <w:szCs w:val="28"/>
        </w:rPr>
        <w:t xml:space="preserve">  </w:t>
      </w:r>
      <w:r w:rsidR="007D6341">
        <w:rPr>
          <w:color w:val="000000"/>
          <w:sz w:val="28"/>
          <w:szCs w:val="28"/>
        </w:rPr>
        <w:t>In that case, t</w:t>
      </w:r>
      <w:r w:rsidR="002E08EF">
        <w:rPr>
          <w:color w:val="000000"/>
          <w:sz w:val="28"/>
          <w:szCs w:val="28"/>
        </w:rPr>
        <w:t xml:space="preserve">he rule </w:t>
      </w:r>
      <w:r w:rsidR="004A3C41">
        <w:rPr>
          <w:color w:val="000000"/>
          <w:sz w:val="28"/>
          <w:szCs w:val="28"/>
        </w:rPr>
        <w:t xml:space="preserve">change is merely going to </w:t>
      </w:r>
      <w:r w:rsidR="00531442">
        <w:rPr>
          <w:color w:val="000000"/>
          <w:sz w:val="28"/>
          <w:szCs w:val="28"/>
        </w:rPr>
        <w:t>codify it (again).</w:t>
      </w:r>
      <w:r w:rsidR="00957C98">
        <w:rPr>
          <w:color w:val="000000"/>
          <w:sz w:val="28"/>
          <w:szCs w:val="28"/>
        </w:rPr>
        <w:t xml:space="preserve"> </w:t>
      </w:r>
    </w:p>
    <w:p w14:paraId="522AE154" w14:textId="4441A016" w:rsidR="000E0572" w:rsidRPr="004C2374" w:rsidRDefault="00B164B4" w:rsidP="00A069CA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Finally, </w:t>
      </w:r>
      <w:r>
        <w:rPr>
          <w:sz w:val="28"/>
          <w:szCs w:val="28"/>
        </w:rPr>
        <w:t>i</w:t>
      </w:r>
      <w:r>
        <w:rPr>
          <w:sz w:val="28"/>
          <w:szCs w:val="28"/>
        </w:rPr>
        <w:t xml:space="preserve">n reviewing these materials, it occurs to Petitioner that a shorter time frame for the disclosure could alleviate any delay the Response expresses concern about creating.  The time frame could just as easily be 5 or 7 days, instead of 12 days. </w:t>
      </w:r>
      <w:r w:rsidR="00957C98">
        <w:rPr>
          <w:color w:val="000000"/>
          <w:sz w:val="28"/>
          <w:szCs w:val="28"/>
        </w:rPr>
        <w:t xml:space="preserve"> </w:t>
      </w:r>
      <w:r w:rsidR="006D0EC1">
        <w:rPr>
          <w:color w:val="000000"/>
          <w:sz w:val="28"/>
          <w:szCs w:val="28"/>
        </w:rPr>
        <w:t xml:space="preserve"> </w:t>
      </w:r>
    </w:p>
    <w:p w14:paraId="73770A19" w14:textId="25FBE3C2" w:rsidR="00A170AA" w:rsidRPr="00AC427D" w:rsidRDefault="00A170AA" w:rsidP="00A170AA">
      <w:pPr>
        <w:ind w:firstLine="0"/>
        <w:jc w:val="center"/>
        <w:rPr>
          <w:b/>
          <w:bCs/>
          <w:color w:val="000000"/>
          <w:sz w:val="28"/>
          <w:szCs w:val="28"/>
          <w:u w:val="single"/>
        </w:rPr>
      </w:pPr>
      <w:r w:rsidRPr="00AC427D">
        <w:rPr>
          <w:b/>
          <w:bCs/>
          <w:color w:val="000000"/>
          <w:sz w:val="28"/>
          <w:szCs w:val="28"/>
          <w:u w:val="single"/>
        </w:rPr>
        <w:t>CONCLUSION</w:t>
      </w:r>
    </w:p>
    <w:p w14:paraId="717DA589" w14:textId="7B61B327" w:rsidR="00E27109" w:rsidRDefault="003530D4" w:rsidP="00AC427D">
      <w:pPr>
        <w:pStyle w:val="Body"/>
        <w:widowControl w:val="0"/>
        <w:tabs>
          <w:tab w:val="left" w:pos="720"/>
        </w:tabs>
        <w:spacing w:line="480" w:lineRule="auto"/>
        <w:ind w:firstLine="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C52DE0">
        <w:rPr>
          <w:color w:val="000000"/>
          <w:sz w:val="28"/>
          <w:szCs w:val="28"/>
        </w:rPr>
        <w:t xml:space="preserve">Petitioner </w:t>
      </w:r>
      <w:r w:rsidR="00C52DE0" w:rsidRPr="006F63FD">
        <w:rPr>
          <w:sz w:val="28"/>
          <w:szCs w:val="28"/>
        </w:rPr>
        <w:t>respectfully request</w:t>
      </w:r>
      <w:r w:rsidR="00C52DE0">
        <w:rPr>
          <w:sz w:val="28"/>
          <w:szCs w:val="28"/>
        </w:rPr>
        <w:t>s</w:t>
      </w:r>
      <w:r w:rsidR="00C52DE0" w:rsidRPr="006F63FD">
        <w:rPr>
          <w:sz w:val="28"/>
          <w:szCs w:val="28"/>
        </w:rPr>
        <w:t xml:space="preserve"> </w:t>
      </w:r>
      <w:r w:rsidR="00C52DE0">
        <w:rPr>
          <w:sz w:val="28"/>
          <w:szCs w:val="28"/>
        </w:rPr>
        <w:t xml:space="preserve">amendment of Rule 36(e), Ariz. R. Sup. Ct., for the reasons stated here and in the original Petition.  </w:t>
      </w:r>
      <w:r w:rsidR="00733E8C">
        <w:rPr>
          <w:sz w:val="28"/>
          <w:szCs w:val="28"/>
        </w:rPr>
        <w:t xml:space="preserve"> </w:t>
      </w:r>
    </w:p>
    <w:p w14:paraId="5FF7374B" w14:textId="325B3E9C" w:rsidR="009C3595" w:rsidRPr="00AC427D" w:rsidRDefault="00733E8C" w:rsidP="00AC427D">
      <w:pPr>
        <w:pStyle w:val="Body"/>
        <w:widowControl w:val="0"/>
        <w:tabs>
          <w:tab w:val="left" w:pos="720"/>
        </w:tabs>
        <w:spacing w:line="480" w:lineRule="auto"/>
        <w:ind w:firstLine="0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4828D28" w14:textId="6886223C" w:rsidR="009F0E74" w:rsidRDefault="00486644" w:rsidP="00AC427D">
      <w:pPr>
        <w:pStyle w:val="Date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Respectfully submitted this </w:t>
      </w:r>
      <w:r w:rsidR="00B94813">
        <w:rPr>
          <w:sz w:val="28"/>
          <w:szCs w:val="28"/>
        </w:rPr>
        <w:t>_</w:t>
      </w:r>
      <w:r w:rsidR="007976B8">
        <w:rPr>
          <w:sz w:val="28"/>
          <w:szCs w:val="28"/>
        </w:rPr>
        <w:t>1rst</w:t>
      </w:r>
      <w:r w:rsidR="00B94813">
        <w:rPr>
          <w:sz w:val="28"/>
          <w:szCs w:val="28"/>
        </w:rPr>
        <w:t>__</w:t>
      </w:r>
      <w:r>
        <w:rPr>
          <w:sz w:val="28"/>
          <w:szCs w:val="28"/>
        </w:rPr>
        <w:t xml:space="preserve"> day</w:t>
      </w:r>
      <w:r w:rsidR="00AE557D" w:rsidRPr="0013271D">
        <w:rPr>
          <w:sz w:val="28"/>
          <w:szCs w:val="28"/>
        </w:rPr>
        <w:t xml:space="preserve"> </w:t>
      </w:r>
      <w:r w:rsidR="00B425C8">
        <w:rPr>
          <w:sz w:val="28"/>
          <w:szCs w:val="28"/>
        </w:rPr>
        <w:t xml:space="preserve">of </w:t>
      </w:r>
      <w:r w:rsidR="006C5C5D">
        <w:rPr>
          <w:sz w:val="28"/>
          <w:szCs w:val="28"/>
        </w:rPr>
        <w:t>Ju</w:t>
      </w:r>
      <w:r w:rsidR="007976B8">
        <w:rPr>
          <w:sz w:val="28"/>
          <w:szCs w:val="28"/>
        </w:rPr>
        <w:t>ne</w:t>
      </w:r>
      <w:r w:rsidR="00FE2E3F" w:rsidRPr="0013271D">
        <w:rPr>
          <w:sz w:val="28"/>
          <w:szCs w:val="28"/>
        </w:rPr>
        <w:t>,</w:t>
      </w:r>
      <w:r>
        <w:rPr>
          <w:sz w:val="28"/>
          <w:szCs w:val="28"/>
        </w:rPr>
        <w:t xml:space="preserve"> 202</w:t>
      </w:r>
      <w:r w:rsidR="007976B8">
        <w:rPr>
          <w:sz w:val="28"/>
          <w:szCs w:val="28"/>
        </w:rPr>
        <w:t>6</w:t>
      </w:r>
      <w:r w:rsidR="00FE2E3F" w:rsidRPr="0013271D">
        <w:rPr>
          <w:sz w:val="28"/>
          <w:szCs w:val="28"/>
        </w:rPr>
        <w:t>.</w:t>
      </w:r>
    </w:p>
    <w:p w14:paraId="582807FF" w14:textId="78B1AD0A" w:rsidR="000F46A9" w:rsidRDefault="00D542FD" w:rsidP="000F46A9"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8663A67" wp14:editId="5D755102">
            <wp:extent cx="2076450" cy="400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3C3F9C" w14:textId="77777777" w:rsidR="000F46A9" w:rsidRPr="000F46A9" w:rsidRDefault="000F46A9" w:rsidP="000F46A9"/>
    <w:tbl>
      <w:tblPr>
        <w:tblStyle w:val="TableGrid"/>
        <w:tblW w:w="2475" w:type="pct"/>
        <w:tblInd w:w="4637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620" w:firstRow="1" w:lastRow="0" w:firstColumn="0" w:lastColumn="0" w:noHBand="1" w:noVBand="1"/>
        <w:tblDescription w:val="Layout table for signature"/>
      </w:tblPr>
      <w:tblGrid>
        <w:gridCol w:w="4633"/>
      </w:tblGrid>
      <w:tr w:rsidR="00396944" w:rsidRPr="0013271D" w14:paraId="52711836" w14:textId="77777777" w:rsidTr="00895FB1">
        <w:tc>
          <w:tcPr>
            <w:tcW w:w="9350" w:type="dxa"/>
          </w:tcPr>
          <w:p w14:paraId="4F6E3842" w14:textId="2FF52AEA" w:rsidR="00396944" w:rsidRPr="0013271D" w:rsidRDefault="00486644" w:rsidP="006E2BD1">
            <w:pPr>
              <w:pStyle w:val="AttorneyNam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Denise M. Quinterri</w:t>
            </w:r>
          </w:p>
        </w:tc>
      </w:tr>
    </w:tbl>
    <w:p w14:paraId="28426F8D" w14:textId="77777777" w:rsidR="008B1B6F" w:rsidRDefault="008B1B6F" w:rsidP="008B1B6F">
      <w:pPr>
        <w:ind w:firstLine="0"/>
        <w:rPr>
          <w:sz w:val="28"/>
          <w:szCs w:val="28"/>
        </w:rPr>
      </w:pPr>
    </w:p>
    <w:p w14:paraId="392D3B2D" w14:textId="77777777" w:rsidR="007D5E03" w:rsidRPr="007D5E03" w:rsidRDefault="007D5E03" w:rsidP="007D5E03">
      <w:pPr>
        <w:spacing w:line="240" w:lineRule="auto"/>
        <w:ind w:firstLine="0"/>
        <w:rPr>
          <w:sz w:val="28"/>
          <w:szCs w:val="28"/>
        </w:rPr>
      </w:pPr>
      <w:r w:rsidRPr="007D5E03">
        <w:rPr>
          <w:b/>
          <w:bCs/>
          <w:sz w:val="28"/>
          <w:szCs w:val="28"/>
        </w:rPr>
        <w:t>ELECTRONICALLY</w:t>
      </w:r>
      <w:r w:rsidRPr="007D5E03">
        <w:rPr>
          <w:sz w:val="28"/>
          <w:szCs w:val="28"/>
        </w:rPr>
        <w:t xml:space="preserve"> filed </w:t>
      </w:r>
    </w:p>
    <w:p w14:paraId="1743F821" w14:textId="51ED3077" w:rsidR="007D5E03" w:rsidRPr="007D5E03" w:rsidRDefault="00A415D5" w:rsidP="007D5E0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o</w:t>
      </w:r>
      <w:r w:rsidR="00094FDF">
        <w:rPr>
          <w:sz w:val="28"/>
          <w:szCs w:val="28"/>
        </w:rPr>
        <w:t>n the Cou</w:t>
      </w:r>
      <w:r>
        <w:rPr>
          <w:sz w:val="28"/>
          <w:szCs w:val="28"/>
        </w:rPr>
        <w:t xml:space="preserve">rt Rules Forum of </w:t>
      </w:r>
      <w:r w:rsidR="007D5E03" w:rsidRPr="007D5E03">
        <w:rPr>
          <w:sz w:val="28"/>
          <w:szCs w:val="28"/>
        </w:rPr>
        <w:t>the Arizona Supreme Court</w:t>
      </w:r>
    </w:p>
    <w:p w14:paraId="32C4F444" w14:textId="4A6A5B90" w:rsidR="007D5E03" w:rsidRDefault="007D5E03" w:rsidP="007D5E03">
      <w:pPr>
        <w:spacing w:line="240" w:lineRule="auto"/>
        <w:ind w:firstLine="0"/>
        <w:rPr>
          <w:sz w:val="28"/>
          <w:szCs w:val="28"/>
        </w:rPr>
      </w:pPr>
      <w:r w:rsidRPr="007D5E03">
        <w:rPr>
          <w:sz w:val="28"/>
          <w:szCs w:val="28"/>
        </w:rPr>
        <w:t>this</w:t>
      </w:r>
      <w:r w:rsidR="00A415D5">
        <w:rPr>
          <w:sz w:val="28"/>
          <w:szCs w:val="28"/>
        </w:rPr>
        <w:t xml:space="preserve"> _</w:t>
      </w:r>
      <w:r w:rsidR="00F00779">
        <w:rPr>
          <w:sz w:val="28"/>
          <w:szCs w:val="28"/>
        </w:rPr>
        <w:t>1rst</w:t>
      </w:r>
      <w:r w:rsidR="00A415D5">
        <w:rPr>
          <w:sz w:val="28"/>
          <w:szCs w:val="28"/>
        </w:rPr>
        <w:t xml:space="preserve">_ day of </w:t>
      </w:r>
      <w:r w:rsidR="006C5C5D">
        <w:rPr>
          <w:sz w:val="28"/>
          <w:szCs w:val="28"/>
        </w:rPr>
        <w:t>Ju</w:t>
      </w:r>
      <w:r w:rsidR="00707CCC">
        <w:rPr>
          <w:sz w:val="28"/>
          <w:szCs w:val="28"/>
        </w:rPr>
        <w:t>ne</w:t>
      </w:r>
      <w:r w:rsidR="00A415D5">
        <w:rPr>
          <w:sz w:val="28"/>
          <w:szCs w:val="28"/>
        </w:rPr>
        <w:t>, 202</w:t>
      </w:r>
      <w:r w:rsidR="00707CCC">
        <w:rPr>
          <w:sz w:val="28"/>
          <w:szCs w:val="28"/>
        </w:rPr>
        <w:t>6</w:t>
      </w:r>
      <w:r w:rsidR="00A415D5">
        <w:rPr>
          <w:sz w:val="28"/>
          <w:szCs w:val="28"/>
        </w:rPr>
        <w:t>.</w:t>
      </w:r>
    </w:p>
    <w:p w14:paraId="7E12D144" w14:textId="77777777" w:rsidR="008B1B6F" w:rsidRDefault="008B1B6F" w:rsidP="008B1B6F">
      <w:pPr>
        <w:ind w:firstLine="0"/>
        <w:rPr>
          <w:sz w:val="28"/>
          <w:szCs w:val="28"/>
        </w:rPr>
      </w:pPr>
    </w:p>
    <w:p w14:paraId="2A12FF1F" w14:textId="45208E0D" w:rsidR="0056354B" w:rsidRPr="00B164B4" w:rsidRDefault="0056354B" w:rsidP="00B164B4">
      <w:pPr>
        <w:ind w:firstLine="0"/>
        <w:rPr>
          <w:sz w:val="28"/>
          <w:szCs w:val="28"/>
        </w:rPr>
      </w:pPr>
    </w:p>
    <w:sectPr w:rsidR="0056354B" w:rsidRPr="00B164B4">
      <w:headerReference w:type="default" r:id="rId12"/>
      <w:footerReference w:type="default" r:id="rId13"/>
      <w:pgSz w:w="12240" w:h="15840" w:code="1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BA276" w14:textId="77777777" w:rsidR="00D40C24" w:rsidRDefault="00D40C24">
      <w:r>
        <w:separator/>
      </w:r>
    </w:p>
    <w:p w14:paraId="29A433A7" w14:textId="77777777" w:rsidR="00D40C24" w:rsidRDefault="00D40C24"/>
  </w:endnote>
  <w:endnote w:type="continuationSeparator" w:id="0">
    <w:p w14:paraId="0E14EAA7" w14:textId="77777777" w:rsidR="00D40C24" w:rsidRDefault="00D40C24">
      <w:r>
        <w:continuationSeparator/>
      </w:r>
    </w:p>
    <w:p w14:paraId="537AD1CC" w14:textId="77777777" w:rsidR="00D40C24" w:rsidRDefault="00D40C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97251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76C0E4" w14:textId="793F39B4" w:rsidR="00F478AC" w:rsidRDefault="00F478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7830A2" w14:textId="77777777" w:rsidR="00F478AC" w:rsidRDefault="00F478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2411E" w14:textId="77777777" w:rsidR="00D40C24" w:rsidRDefault="00D40C24">
      <w:r>
        <w:separator/>
      </w:r>
    </w:p>
    <w:p w14:paraId="4F0920E5" w14:textId="77777777" w:rsidR="00D40C24" w:rsidRDefault="00D40C24"/>
  </w:footnote>
  <w:footnote w:type="continuationSeparator" w:id="0">
    <w:p w14:paraId="28BE282A" w14:textId="77777777" w:rsidR="00D40C24" w:rsidRDefault="00D40C24">
      <w:r>
        <w:continuationSeparator/>
      </w:r>
    </w:p>
    <w:p w14:paraId="22178EFA" w14:textId="77777777" w:rsidR="00D40C24" w:rsidRDefault="00D40C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BC3F" w14:textId="77777777" w:rsidR="009F0E74" w:rsidRDefault="00FE2E3F">
    <w:pPr>
      <w:rPr>
        <w:color w:val="FFFFFF" w:themeColor="background1"/>
      </w:rPr>
    </w:pPr>
    <w:r>
      <w:rPr>
        <w:noProof/>
        <w:color w:val="FFFFFF" w:themeColor="background1"/>
        <w:lang w:eastAsia="en-US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D50FD33" wp14:editId="570E875C">
              <wp:simplePos x="0" y="0"/>
              <wp:positionH relativeFrom="page">
                <wp:posOffset>822960</wp:posOffset>
              </wp:positionH>
              <wp:positionV relativeFrom="page">
                <wp:align>top</wp:align>
              </wp:positionV>
              <wp:extent cx="6025896" cy="10058400"/>
              <wp:effectExtent l="0" t="0" r="13335" b="19050"/>
              <wp:wrapNone/>
              <wp:docPr id="5" name="Group 5" descr="Left and right page border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5896" cy="10058400"/>
                        <a:chOff x="0" y="0"/>
                        <a:chExt cx="6029865" cy="10058400"/>
                      </a:xfrm>
                    </wpg:grpSpPr>
                    <wps:wsp>
                      <wps:cNvPr id="1" name="LeftBorder1"/>
                      <wps:cNvCnPr>
                        <a:cxnSpLocks noChangeShapeType="1"/>
                      </wps:cNvCnPr>
                      <wps:spPr bwMode="auto">
                        <a:xfrm>
                          <a:off x="51759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" name="LeftBorder2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ightBorder"/>
                      <wps:cNvCnPr>
                        <a:cxnSpLocks noChangeShapeType="1"/>
                      </wps:cNvCnPr>
                      <wps:spPr bwMode="auto">
                        <a:xfrm>
                          <a:off x="6029865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1448C1E" id="Group 5" o:spid="_x0000_s1026" alt="Left and right page borders" style="position:absolute;margin-left:64.8pt;margin-top:0;width:474.5pt;height:11in;z-index:-251658240;mso-position-horizontal-relative:page;mso-position-vertical:top;mso-position-vertical-relative:page;mso-width-relative:margin" coordsize="60298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">
              <v:line id="LeftBorder1" o:spid="_x0000_s1027" style="position:absolute;visibility:visible;mso-wrap-style:square" from="517,0" to="517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"/>
              <v:line id="LeftBorder2" o:spid="_x0000_s1028" style="position:absolute;visibility:visible;mso-wrap-style:square" from="0,0" to="0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<v:line id="RightBorder" o:spid="_x0000_s1029" style="position:absolute;visibility:visible;mso-wrap-style:square" from="60298,0" to="60298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w10:wrap anchorx="page" anchory="page"/>
            </v:group>
          </w:pict>
        </mc:Fallback>
      </mc:AlternateContent>
    </w:r>
    <w:r>
      <w:rPr>
        <w:noProof/>
        <w:color w:val="FFFFFF" w:themeColor="background1"/>
        <w:lang w:eastAsia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36BBBBF" wp14:editId="370E7ABC">
              <wp:simplePos x="0" y="0"/>
              <wp:positionH relativeFrom="page">
                <wp:posOffset>274320</wp:posOffset>
              </wp:positionH>
              <wp:positionV relativeFrom="page">
                <wp:posOffset>914400</wp:posOffset>
              </wp:positionV>
              <wp:extent cx="457200" cy="8138160"/>
              <wp:effectExtent l="0" t="0" r="0" b="0"/>
              <wp:wrapNone/>
              <wp:docPr id="4" name="LineNumbers" descr="Line numbers from 1 t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13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874ACD" w14:textId="77777777" w:rsidR="009F0E74" w:rsidRDefault="00FE2E3F">
                          <w:pPr>
                            <w:pStyle w:val="LineNumbers"/>
                          </w:pPr>
                          <w:r>
                            <w:t>1</w:t>
                          </w:r>
                        </w:p>
                        <w:p w14:paraId="7E4D5F67" w14:textId="77777777" w:rsidR="009F0E74" w:rsidRDefault="00FE2E3F">
                          <w:pPr>
                            <w:pStyle w:val="LineNumbers"/>
                          </w:pPr>
                          <w:r>
                            <w:t>2</w:t>
                          </w:r>
                        </w:p>
                        <w:p w14:paraId="7951F6D0" w14:textId="77777777" w:rsidR="009F0E74" w:rsidRDefault="00FE2E3F">
                          <w:pPr>
                            <w:pStyle w:val="LineNumbers"/>
                          </w:pPr>
                          <w:r>
                            <w:t>3</w:t>
                          </w:r>
                        </w:p>
                        <w:p w14:paraId="58768844" w14:textId="77777777" w:rsidR="009F0E74" w:rsidRDefault="00FE2E3F">
                          <w:pPr>
                            <w:pStyle w:val="LineNumbers"/>
                          </w:pPr>
                          <w:r>
                            <w:t>4</w:t>
                          </w:r>
                        </w:p>
                        <w:p w14:paraId="56567889" w14:textId="77777777" w:rsidR="009F0E74" w:rsidRDefault="00FE2E3F">
                          <w:pPr>
                            <w:pStyle w:val="LineNumbers"/>
                          </w:pPr>
                          <w:r>
                            <w:t>5</w:t>
                          </w:r>
                        </w:p>
                        <w:p w14:paraId="4E5B05D2" w14:textId="77777777" w:rsidR="009F0E74" w:rsidRDefault="00FE2E3F">
                          <w:pPr>
                            <w:pStyle w:val="LineNumbers"/>
                          </w:pPr>
                          <w:r>
                            <w:t>6</w:t>
                          </w:r>
                        </w:p>
                        <w:p w14:paraId="14FB3244" w14:textId="77777777" w:rsidR="009F0E74" w:rsidRDefault="00FE2E3F">
                          <w:pPr>
                            <w:pStyle w:val="LineNumbers"/>
                          </w:pPr>
                          <w:r>
                            <w:t>7</w:t>
                          </w:r>
                        </w:p>
                        <w:p w14:paraId="03C4208A" w14:textId="77777777" w:rsidR="009F0E74" w:rsidRDefault="00FE2E3F">
                          <w:pPr>
                            <w:pStyle w:val="LineNumbers"/>
                          </w:pPr>
                          <w:r>
                            <w:t>8</w:t>
                          </w:r>
                        </w:p>
                        <w:p w14:paraId="16210CB3" w14:textId="77777777" w:rsidR="009F0E74" w:rsidRDefault="00FE2E3F">
                          <w:pPr>
                            <w:pStyle w:val="LineNumbers"/>
                          </w:pPr>
                          <w:r>
                            <w:t>9</w:t>
                          </w:r>
                        </w:p>
                        <w:p w14:paraId="0CF0FC35" w14:textId="77777777" w:rsidR="009F0E74" w:rsidRDefault="00FE2E3F">
                          <w:pPr>
                            <w:pStyle w:val="LineNumbers"/>
                          </w:pPr>
                          <w:r>
                            <w:t>10</w:t>
                          </w:r>
                        </w:p>
                        <w:p w14:paraId="1408342E" w14:textId="77777777" w:rsidR="009F0E74" w:rsidRDefault="00FE2E3F">
                          <w:pPr>
                            <w:pStyle w:val="LineNumbers"/>
                          </w:pPr>
                          <w:r>
                            <w:t>11</w:t>
                          </w:r>
                        </w:p>
                        <w:p w14:paraId="19C681A9" w14:textId="77777777" w:rsidR="009F0E74" w:rsidRDefault="00FE2E3F">
                          <w:pPr>
                            <w:pStyle w:val="LineNumbers"/>
                          </w:pPr>
                          <w:r>
                            <w:t>12</w:t>
                          </w:r>
                        </w:p>
                        <w:p w14:paraId="6F68E5AA" w14:textId="77777777" w:rsidR="009F0E74" w:rsidRDefault="00FE2E3F">
                          <w:pPr>
                            <w:pStyle w:val="LineNumbers"/>
                          </w:pPr>
                          <w:r>
                            <w:t>13</w:t>
                          </w:r>
                        </w:p>
                        <w:p w14:paraId="263FB095" w14:textId="77777777" w:rsidR="009F0E74" w:rsidRDefault="00FE2E3F">
                          <w:pPr>
                            <w:pStyle w:val="LineNumbers"/>
                          </w:pPr>
                          <w:r>
                            <w:t>14</w:t>
                          </w:r>
                        </w:p>
                        <w:p w14:paraId="7466077D" w14:textId="77777777" w:rsidR="009F0E74" w:rsidRDefault="00FE2E3F">
                          <w:pPr>
                            <w:pStyle w:val="LineNumbers"/>
                          </w:pPr>
                          <w:r>
                            <w:t>15</w:t>
                          </w:r>
                        </w:p>
                        <w:p w14:paraId="093A2B91" w14:textId="77777777" w:rsidR="009F0E74" w:rsidRDefault="00FE2E3F">
                          <w:pPr>
                            <w:pStyle w:val="LineNumbers"/>
                          </w:pPr>
                          <w:r>
                            <w:t>16</w:t>
                          </w:r>
                        </w:p>
                        <w:p w14:paraId="17A6158C" w14:textId="77777777" w:rsidR="009F0E74" w:rsidRDefault="00FE2E3F">
                          <w:pPr>
                            <w:pStyle w:val="LineNumbers"/>
                          </w:pPr>
                          <w:r>
                            <w:t>17</w:t>
                          </w:r>
                        </w:p>
                        <w:p w14:paraId="5995545B" w14:textId="77777777" w:rsidR="009F0E74" w:rsidRDefault="00FE2E3F">
                          <w:pPr>
                            <w:pStyle w:val="LineNumbers"/>
                          </w:pPr>
                          <w:r>
                            <w:t>18</w:t>
                          </w:r>
                        </w:p>
                        <w:p w14:paraId="50D1FF40" w14:textId="77777777" w:rsidR="009F0E74" w:rsidRDefault="00FE2E3F">
                          <w:pPr>
                            <w:pStyle w:val="LineNumbers"/>
                          </w:pPr>
                          <w:r>
                            <w:t>19</w:t>
                          </w:r>
                        </w:p>
                        <w:p w14:paraId="233A0C13" w14:textId="77777777" w:rsidR="009F0E74" w:rsidRDefault="00FE2E3F">
                          <w:pPr>
                            <w:pStyle w:val="LineNumbers"/>
                          </w:pPr>
                          <w:r>
                            <w:t>20</w:t>
                          </w:r>
                        </w:p>
                        <w:p w14:paraId="04EDF5DE" w14:textId="77777777" w:rsidR="009F0E74" w:rsidRDefault="00FE2E3F">
                          <w:pPr>
                            <w:pStyle w:val="LineNumbers"/>
                          </w:pPr>
                          <w:r>
                            <w:t>21</w:t>
                          </w:r>
                        </w:p>
                        <w:p w14:paraId="37FE0BA2" w14:textId="77777777" w:rsidR="009F0E74" w:rsidRDefault="00FE2E3F">
                          <w:pPr>
                            <w:pStyle w:val="LineNumbers"/>
                          </w:pPr>
                          <w:r>
                            <w:t>22</w:t>
                          </w:r>
                        </w:p>
                        <w:p w14:paraId="2811125B" w14:textId="77777777" w:rsidR="009F0E74" w:rsidRDefault="00FE2E3F">
                          <w:pPr>
                            <w:pStyle w:val="LineNumbers"/>
                          </w:pPr>
                          <w:r>
                            <w:t>23</w:t>
                          </w:r>
                        </w:p>
                        <w:p w14:paraId="31F9F1FE" w14:textId="77777777" w:rsidR="009F0E74" w:rsidRDefault="00FE2E3F">
                          <w:pPr>
                            <w:pStyle w:val="LineNumbers"/>
                          </w:pPr>
                          <w:r>
                            <w:t>24</w:t>
                          </w:r>
                        </w:p>
                        <w:p w14:paraId="5CC57B4F" w14:textId="77777777" w:rsidR="009F0E74" w:rsidRDefault="00FE2E3F">
                          <w:pPr>
                            <w:pStyle w:val="LineNumbers"/>
                          </w:pPr>
                          <w:r>
                            <w:t>25</w:t>
                          </w:r>
                        </w:p>
                        <w:p w14:paraId="1F185DF8" w14:textId="77777777" w:rsidR="009F0E74" w:rsidRDefault="00FE2E3F">
                          <w:pPr>
                            <w:pStyle w:val="LineNumbers"/>
                          </w:pPr>
                          <w:r>
                            <w:t>26</w:t>
                          </w:r>
                        </w:p>
                        <w:p w14:paraId="04D9A586" w14:textId="77777777" w:rsidR="009F0E74" w:rsidRDefault="00FE2E3F">
                          <w:pPr>
                            <w:pStyle w:val="LineNumbers"/>
                          </w:pPr>
                          <w:r>
                            <w:t>27</w:t>
                          </w:r>
                        </w:p>
                        <w:p w14:paraId="2CAFC286" w14:textId="77777777" w:rsidR="009F0E74" w:rsidRDefault="00FE2E3F">
                          <w:pPr>
                            <w:pStyle w:val="LineNumbers"/>
                          </w:pPr>
                          <w:r>
                            <w:t>28</w:t>
                          </w:r>
                        </w:p>
                        <w:p w14:paraId="6DC65509" w14:textId="77777777" w:rsidR="009F0E74" w:rsidRDefault="009F0E74">
                          <w:pPr>
                            <w:pStyle w:val="LineNumbers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6BBBBF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alt="Line numbers from 1 to 28" style="position:absolute;left:0;text-align:left;margin-left:21.6pt;margin-top:1in;width:36pt;height:6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" stroked="f">
              <v:textbox inset="0,0,0,0">
                <w:txbxContent>
                  <w:p w14:paraId="41874ACD" w14:textId="77777777" w:rsidR="009F0E74" w:rsidRDefault="00FE2E3F">
                    <w:pPr>
                      <w:pStyle w:val="LineNumbers"/>
                    </w:pPr>
                    <w:r>
                      <w:t>1</w:t>
                    </w:r>
                  </w:p>
                  <w:p w14:paraId="7E4D5F67" w14:textId="77777777" w:rsidR="009F0E74" w:rsidRDefault="00FE2E3F">
                    <w:pPr>
                      <w:pStyle w:val="LineNumbers"/>
                    </w:pPr>
                    <w:r>
                      <w:t>2</w:t>
                    </w:r>
                  </w:p>
                  <w:p w14:paraId="7951F6D0" w14:textId="77777777" w:rsidR="009F0E74" w:rsidRDefault="00FE2E3F">
                    <w:pPr>
                      <w:pStyle w:val="LineNumbers"/>
                    </w:pPr>
                    <w:r>
                      <w:t>3</w:t>
                    </w:r>
                  </w:p>
                  <w:p w14:paraId="58768844" w14:textId="77777777" w:rsidR="009F0E74" w:rsidRDefault="00FE2E3F">
                    <w:pPr>
                      <w:pStyle w:val="LineNumbers"/>
                    </w:pPr>
                    <w:r>
                      <w:t>4</w:t>
                    </w:r>
                  </w:p>
                  <w:p w14:paraId="56567889" w14:textId="77777777" w:rsidR="009F0E74" w:rsidRDefault="00FE2E3F">
                    <w:pPr>
                      <w:pStyle w:val="LineNumbers"/>
                    </w:pPr>
                    <w:r>
                      <w:t>5</w:t>
                    </w:r>
                  </w:p>
                  <w:p w14:paraId="4E5B05D2" w14:textId="77777777" w:rsidR="009F0E74" w:rsidRDefault="00FE2E3F">
                    <w:pPr>
                      <w:pStyle w:val="LineNumbers"/>
                    </w:pPr>
                    <w:r>
                      <w:t>6</w:t>
                    </w:r>
                  </w:p>
                  <w:p w14:paraId="14FB3244" w14:textId="77777777" w:rsidR="009F0E74" w:rsidRDefault="00FE2E3F">
                    <w:pPr>
                      <w:pStyle w:val="LineNumbers"/>
                    </w:pPr>
                    <w:r>
                      <w:t>7</w:t>
                    </w:r>
                  </w:p>
                  <w:p w14:paraId="03C4208A" w14:textId="77777777" w:rsidR="009F0E74" w:rsidRDefault="00FE2E3F">
                    <w:pPr>
                      <w:pStyle w:val="LineNumbers"/>
                    </w:pPr>
                    <w:r>
                      <w:t>8</w:t>
                    </w:r>
                  </w:p>
                  <w:p w14:paraId="16210CB3" w14:textId="77777777" w:rsidR="009F0E74" w:rsidRDefault="00FE2E3F">
                    <w:pPr>
                      <w:pStyle w:val="LineNumbers"/>
                    </w:pPr>
                    <w:r>
                      <w:t>9</w:t>
                    </w:r>
                  </w:p>
                  <w:p w14:paraId="0CF0FC35" w14:textId="77777777" w:rsidR="009F0E74" w:rsidRDefault="00FE2E3F">
                    <w:pPr>
                      <w:pStyle w:val="LineNumbers"/>
                    </w:pPr>
                    <w:r>
                      <w:t>10</w:t>
                    </w:r>
                  </w:p>
                  <w:p w14:paraId="1408342E" w14:textId="77777777" w:rsidR="009F0E74" w:rsidRDefault="00FE2E3F">
                    <w:pPr>
                      <w:pStyle w:val="LineNumbers"/>
                    </w:pPr>
                    <w:r>
                      <w:t>11</w:t>
                    </w:r>
                  </w:p>
                  <w:p w14:paraId="19C681A9" w14:textId="77777777" w:rsidR="009F0E74" w:rsidRDefault="00FE2E3F">
                    <w:pPr>
                      <w:pStyle w:val="LineNumbers"/>
                    </w:pPr>
                    <w:r>
                      <w:t>12</w:t>
                    </w:r>
                  </w:p>
                  <w:p w14:paraId="6F68E5AA" w14:textId="77777777" w:rsidR="009F0E74" w:rsidRDefault="00FE2E3F">
                    <w:pPr>
                      <w:pStyle w:val="LineNumbers"/>
                    </w:pPr>
                    <w:r>
                      <w:t>13</w:t>
                    </w:r>
                  </w:p>
                  <w:p w14:paraId="263FB095" w14:textId="77777777" w:rsidR="009F0E74" w:rsidRDefault="00FE2E3F">
                    <w:pPr>
                      <w:pStyle w:val="LineNumbers"/>
                    </w:pPr>
                    <w:r>
                      <w:t>14</w:t>
                    </w:r>
                  </w:p>
                  <w:p w14:paraId="7466077D" w14:textId="77777777" w:rsidR="009F0E74" w:rsidRDefault="00FE2E3F">
                    <w:pPr>
                      <w:pStyle w:val="LineNumbers"/>
                    </w:pPr>
                    <w:r>
                      <w:t>15</w:t>
                    </w:r>
                  </w:p>
                  <w:p w14:paraId="093A2B91" w14:textId="77777777" w:rsidR="009F0E74" w:rsidRDefault="00FE2E3F">
                    <w:pPr>
                      <w:pStyle w:val="LineNumbers"/>
                    </w:pPr>
                    <w:r>
                      <w:t>16</w:t>
                    </w:r>
                  </w:p>
                  <w:p w14:paraId="17A6158C" w14:textId="77777777" w:rsidR="009F0E74" w:rsidRDefault="00FE2E3F">
                    <w:pPr>
                      <w:pStyle w:val="LineNumbers"/>
                    </w:pPr>
                    <w:r>
                      <w:t>17</w:t>
                    </w:r>
                  </w:p>
                  <w:p w14:paraId="5995545B" w14:textId="77777777" w:rsidR="009F0E74" w:rsidRDefault="00FE2E3F">
                    <w:pPr>
                      <w:pStyle w:val="LineNumbers"/>
                    </w:pPr>
                    <w:r>
                      <w:t>18</w:t>
                    </w:r>
                  </w:p>
                  <w:p w14:paraId="50D1FF40" w14:textId="77777777" w:rsidR="009F0E74" w:rsidRDefault="00FE2E3F">
                    <w:pPr>
                      <w:pStyle w:val="LineNumbers"/>
                    </w:pPr>
                    <w:r>
                      <w:t>19</w:t>
                    </w:r>
                  </w:p>
                  <w:p w14:paraId="233A0C13" w14:textId="77777777" w:rsidR="009F0E74" w:rsidRDefault="00FE2E3F">
                    <w:pPr>
                      <w:pStyle w:val="LineNumbers"/>
                    </w:pPr>
                    <w:r>
                      <w:t>20</w:t>
                    </w:r>
                  </w:p>
                  <w:p w14:paraId="04EDF5DE" w14:textId="77777777" w:rsidR="009F0E74" w:rsidRDefault="00FE2E3F">
                    <w:pPr>
                      <w:pStyle w:val="LineNumbers"/>
                    </w:pPr>
                    <w:r>
                      <w:t>21</w:t>
                    </w:r>
                  </w:p>
                  <w:p w14:paraId="37FE0BA2" w14:textId="77777777" w:rsidR="009F0E74" w:rsidRDefault="00FE2E3F">
                    <w:pPr>
                      <w:pStyle w:val="LineNumbers"/>
                    </w:pPr>
                    <w:r>
                      <w:t>22</w:t>
                    </w:r>
                  </w:p>
                  <w:p w14:paraId="2811125B" w14:textId="77777777" w:rsidR="009F0E74" w:rsidRDefault="00FE2E3F">
                    <w:pPr>
                      <w:pStyle w:val="LineNumbers"/>
                    </w:pPr>
                    <w:r>
                      <w:t>23</w:t>
                    </w:r>
                  </w:p>
                  <w:p w14:paraId="31F9F1FE" w14:textId="77777777" w:rsidR="009F0E74" w:rsidRDefault="00FE2E3F">
                    <w:pPr>
                      <w:pStyle w:val="LineNumbers"/>
                    </w:pPr>
                    <w:r>
                      <w:t>24</w:t>
                    </w:r>
                  </w:p>
                  <w:p w14:paraId="5CC57B4F" w14:textId="77777777" w:rsidR="009F0E74" w:rsidRDefault="00FE2E3F">
                    <w:pPr>
                      <w:pStyle w:val="LineNumbers"/>
                    </w:pPr>
                    <w:r>
                      <w:t>25</w:t>
                    </w:r>
                  </w:p>
                  <w:p w14:paraId="1F185DF8" w14:textId="77777777" w:rsidR="009F0E74" w:rsidRDefault="00FE2E3F">
                    <w:pPr>
                      <w:pStyle w:val="LineNumbers"/>
                    </w:pPr>
                    <w:r>
                      <w:t>26</w:t>
                    </w:r>
                  </w:p>
                  <w:p w14:paraId="04D9A586" w14:textId="77777777" w:rsidR="009F0E74" w:rsidRDefault="00FE2E3F">
                    <w:pPr>
                      <w:pStyle w:val="LineNumbers"/>
                    </w:pPr>
                    <w:r>
                      <w:t>27</w:t>
                    </w:r>
                  </w:p>
                  <w:p w14:paraId="2CAFC286" w14:textId="77777777" w:rsidR="009F0E74" w:rsidRDefault="00FE2E3F">
                    <w:pPr>
                      <w:pStyle w:val="LineNumbers"/>
                    </w:pPr>
                    <w:r>
                      <w:t>28</w:t>
                    </w:r>
                  </w:p>
                  <w:p w14:paraId="6DC65509" w14:textId="77777777" w:rsidR="009F0E74" w:rsidRDefault="009F0E74">
                    <w:pPr>
                      <w:pStyle w:val="LineNumber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BC0E0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748C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3842F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6E4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CCAED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B2DC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5AA0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72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72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C6B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8309D"/>
    <w:multiLevelType w:val="hybridMultilevel"/>
    <w:tmpl w:val="848422DA"/>
    <w:lvl w:ilvl="0" w:tplc="5846F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62A19"/>
    <w:multiLevelType w:val="hybridMultilevel"/>
    <w:tmpl w:val="7682E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135D7"/>
    <w:multiLevelType w:val="hybridMultilevel"/>
    <w:tmpl w:val="D8EE9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509F2"/>
    <w:multiLevelType w:val="hybridMultilevel"/>
    <w:tmpl w:val="D9B48B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C4B50"/>
    <w:multiLevelType w:val="hybridMultilevel"/>
    <w:tmpl w:val="8F4E08CA"/>
    <w:lvl w:ilvl="0" w:tplc="E294FEC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422F52"/>
    <w:multiLevelType w:val="hybridMultilevel"/>
    <w:tmpl w:val="22AEED9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6F304D"/>
    <w:multiLevelType w:val="hybridMultilevel"/>
    <w:tmpl w:val="E534A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880095">
    <w:abstractNumId w:val="9"/>
  </w:num>
  <w:num w:numId="2" w16cid:durableId="1973830227">
    <w:abstractNumId w:val="7"/>
  </w:num>
  <w:num w:numId="3" w16cid:durableId="807436248">
    <w:abstractNumId w:val="6"/>
  </w:num>
  <w:num w:numId="4" w16cid:durableId="1293319422">
    <w:abstractNumId w:val="5"/>
  </w:num>
  <w:num w:numId="5" w16cid:durableId="1264535261">
    <w:abstractNumId w:val="4"/>
  </w:num>
  <w:num w:numId="6" w16cid:durableId="953514308">
    <w:abstractNumId w:val="8"/>
  </w:num>
  <w:num w:numId="7" w16cid:durableId="410154058">
    <w:abstractNumId w:val="3"/>
  </w:num>
  <w:num w:numId="8" w16cid:durableId="2052923413">
    <w:abstractNumId w:val="2"/>
  </w:num>
  <w:num w:numId="9" w16cid:durableId="1204827933">
    <w:abstractNumId w:val="1"/>
  </w:num>
  <w:num w:numId="10" w16cid:durableId="492839120">
    <w:abstractNumId w:val="0"/>
  </w:num>
  <w:num w:numId="11" w16cid:durableId="1277715201">
    <w:abstractNumId w:val="14"/>
  </w:num>
  <w:num w:numId="12" w16cid:durableId="573324245">
    <w:abstractNumId w:val="10"/>
  </w:num>
  <w:num w:numId="13" w16cid:durableId="584388334">
    <w:abstractNumId w:val="12"/>
  </w:num>
  <w:num w:numId="14" w16cid:durableId="326398396">
    <w:abstractNumId w:val="15"/>
  </w:num>
  <w:num w:numId="15" w16cid:durableId="1823811812">
    <w:abstractNumId w:val="13"/>
  </w:num>
  <w:num w:numId="16" w16cid:durableId="1156343459">
    <w:abstractNumId w:val="11"/>
  </w:num>
  <w:num w:numId="17" w16cid:durableId="19729739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71D"/>
    <w:rsid w:val="00004BF8"/>
    <w:rsid w:val="00006C3A"/>
    <w:rsid w:val="000128E1"/>
    <w:rsid w:val="00023182"/>
    <w:rsid w:val="00025E02"/>
    <w:rsid w:val="000279AB"/>
    <w:rsid w:val="00031DD7"/>
    <w:rsid w:val="00032CBA"/>
    <w:rsid w:val="00032CF1"/>
    <w:rsid w:val="00043078"/>
    <w:rsid w:val="00046E5C"/>
    <w:rsid w:val="000528DC"/>
    <w:rsid w:val="000537C6"/>
    <w:rsid w:val="00055356"/>
    <w:rsid w:val="000722D0"/>
    <w:rsid w:val="00082349"/>
    <w:rsid w:val="00094FDF"/>
    <w:rsid w:val="000A0AAA"/>
    <w:rsid w:val="000A2655"/>
    <w:rsid w:val="000A4030"/>
    <w:rsid w:val="000B17EF"/>
    <w:rsid w:val="000B67D2"/>
    <w:rsid w:val="000B7F69"/>
    <w:rsid w:val="000C0B96"/>
    <w:rsid w:val="000C3749"/>
    <w:rsid w:val="000C3FB2"/>
    <w:rsid w:val="000C50F1"/>
    <w:rsid w:val="000D10C3"/>
    <w:rsid w:val="000D1CF4"/>
    <w:rsid w:val="000E0572"/>
    <w:rsid w:val="000E191C"/>
    <w:rsid w:val="000E72F6"/>
    <w:rsid w:val="000F2C70"/>
    <w:rsid w:val="000F46A9"/>
    <w:rsid w:val="0010279B"/>
    <w:rsid w:val="00107549"/>
    <w:rsid w:val="0011213D"/>
    <w:rsid w:val="0012000B"/>
    <w:rsid w:val="001239F4"/>
    <w:rsid w:val="00124159"/>
    <w:rsid w:val="00124AAB"/>
    <w:rsid w:val="00132520"/>
    <w:rsid w:val="0013271D"/>
    <w:rsid w:val="00142E9A"/>
    <w:rsid w:val="00150A22"/>
    <w:rsid w:val="0016310E"/>
    <w:rsid w:val="001652D0"/>
    <w:rsid w:val="001800FD"/>
    <w:rsid w:val="00182FD1"/>
    <w:rsid w:val="00185F18"/>
    <w:rsid w:val="00192313"/>
    <w:rsid w:val="00195695"/>
    <w:rsid w:val="00197C13"/>
    <w:rsid w:val="001A0DDF"/>
    <w:rsid w:val="001B10D5"/>
    <w:rsid w:val="001B1726"/>
    <w:rsid w:val="001C341E"/>
    <w:rsid w:val="001D05CE"/>
    <w:rsid w:val="001D62EE"/>
    <w:rsid w:val="001E0280"/>
    <w:rsid w:val="001E6EB3"/>
    <w:rsid w:val="001F1233"/>
    <w:rsid w:val="001F6668"/>
    <w:rsid w:val="001F6980"/>
    <w:rsid w:val="001F7D3B"/>
    <w:rsid w:val="0022340C"/>
    <w:rsid w:val="0022369F"/>
    <w:rsid w:val="002275A0"/>
    <w:rsid w:val="00231407"/>
    <w:rsid w:val="00231D9C"/>
    <w:rsid w:val="00240F9D"/>
    <w:rsid w:val="002462BF"/>
    <w:rsid w:val="00247670"/>
    <w:rsid w:val="00260A2D"/>
    <w:rsid w:val="00261195"/>
    <w:rsid w:val="00262222"/>
    <w:rsid w:val="00264EF7"/>
    <w:rsid w:val="00264F1B"/>
    <w:rsid w:val="002659FD"/>
    <w:rsid w:val="002660AD"/>
    <w:rsid w:val="002720E8"/>
    <w:rsid w:val="002739EB"/>
    <w:rsid w:val="00276EBD"/>
    <w:rsid w:val="00293BDA"/>
    <w:rsid w:val="002A0A6B"/>
    <w:rsid w:val="002B376B"/>
    <w:rsid w:val="002B3DD4"/>
    <w:rsid w:val="002B464A"/>
    <w:rsid w:val="002B7373"/>
    <w:rsid w:val="002C0B69"/>
    <w:rsid w:val="002C0DD6"/>
    <w:rsid w:val="002C4561"/>
    <w:rsid w:val="002C5810"/>
    <w:rsid w:val="002D3B2E"/>
    <w:rsid w:val="002D65FF"/>
    <w:rsid w:val="002E08EF"/>
    <w:rsid w:val="002E307B"/>
    <w:rsid w:val="002E3EAC"/>
    <w:rsid w:val="002E3FA5"/>
    <w:rsid w:val="002E693A"/>
    <w:rsid w:val="002E7C12"/>
    <w:rsid w:val="002E7C2E"/>
    <w:rsid w:val="002F1DBA"/>
    <w:rsid w:val="002F7AD4"/>
    <w:rsid w:val="003007DF"/>
    <w:rsid w:val="0030233D"/>
    <w:rsid w:val="003033E3"/>
    <w:rsid w:val="00303A64"/>
    <w:rsid w:val="0030491B"/>
    <w:rsid w:val="00306A11"/>
    <w:rsid w:val="00307E4A"/>
    <w:rsid w:val="00315CD9"/>
    <w:rsid w:val="00317CDC"/>
    <w:rsid w:val="0032534D"/>
    <w:rsid w:val="003259A1"/>
    <w:rsid w:val="00330108"/>
    <w:rsid w:val="00336F38"/>
    <w:rsid w:val="00344D21"/>
    <w:rsid w:val="003454BF"/>
    <w:rsid w:val="003512FC"/>
    <w:rsid w:val="003530D4"/>
    <w:rsid w:val="003600FC"/>
    <w:rsid w:val="00363036"/>
    <w:rsid w:val="0036726E"/>
    <w:rsid w:val="0037080F"/>
    <w:rsid w:val="00370FB1"/>
    <w:rsid w:val="0038061E"/>
    <w:rsid w:val="00391B48"/>
    <w:rsid w:val="00394BCC"/>
    <w:rsid w:val="00396944"/>
    <w:rsid w:val="003A2162"/>
    <w:rsid w:val="003A65EA"/>
    <w:rsid w:val="003C044C"/>
    <w:rsid w:val="003C11CC"/>
    <w:rsid w:val="003C32A3"/>
    <w:rsid w:val="003C7762"/>
    <w:rsid w:val="003D154D"/>
    <w:rsid w:val="003E14C5"/>
    <w:rsid w:val="003E2189"/>
    <w:rsid w:val="003E4B56"/>
    <w:rsid w:val="003E7DB9"/>
    <w:rsid w:val="003F04FC"/>
    <w:rsid w:val="003F750A"/>
    <w:rsid w:val="0040003E"/>
    <w:rsid w:val="004054B1"/>
    <w:rsid w:val="00413B27"/>
    <w:rsid w:val="00413DBB"/>
    <w:rsid w:val="00414B87"/>
    <w:rsid w:val="00416EAA"/>
    <w:rsid w:val="004230D4"/>
    <w:rsid w:val="00423CD3"/>
    <w:rsid w:val="00425BB1"/>
    <w:rsid w:val="004335C0"/>
    <w:rsid w:val="00441EBC"/>
    <w:rsid w:val="00443D50"/>
    <w:rsid w:val="004458A2"/>
    <w:rsid w:val="0045466F"/>
    <w:rsid w:val="004605F6"/>
    <w:rsid w:val="00473778"/>
    <w:rsid w:val="00474407"/>
    <w:rsid w:val="004765DC"/>
    <w:rsid w:val="00476E03"/>
    <w:rsid w:val="00486644"/>
    <w:rsid w:val="00494E68"/>
    <w:rsid w:val="004A3C41"/>
    <w:rsid w:val="004A6FDE"/>
    <w:rsid w:val="004A7DFB"/>
    <w:rsid w:val="004B6863"/>
    <w:rsid w:val="004C230A"/>
    <w:rsid w:val="004C2374"/>
    <w:rsid w:val="004C5F4D"/>
    <w:rsid w:val="004D7578"/>
    <w:rsid w:val="004E1A98"/>
    <w:rsid w:val="004E2CE3"/>
    <w:rsid w:val="004E6C9F"/>
    <w:rsid w:val="004F5948"/>
    <w:rsid w:val="005014FE"/>
    <w:rsid w:val="00501B97"/>
    <w:rsid w:val="00504D78"/>
    <w:rsid w:val="00513E63"/>
    <w:rsid w:val="00514A41"/>
    <w:rsid w:val="00521575"/>
    <w:rsid w:val="00523E1C"/>
    <w:rsid w:val="005248D8"/>
    <w:rsid w:val="00530129"/>
    <w:rsid w:val="00531442"/>
    <w:rsid w:val="00531766"/>
    <w:rsid w:val="005325D0"/>
    <w:rsid w:val="005355AC"/>
    <w:rsid w:val="0054303D"/>
    <w:rsid w:val="00550C6E"/>
    <w:rsid w:val="005541CC"/>
    <w:rsid w:val="005555C7"/>
    <w:rsid w:val="005574BF"/>
    <w:rsid w:val="0056354B"/>
    <w:rsid w:val="00564797"/>
    <w:rsid w:val="005702AB"/>
    <w:rsid w:val="00574CE6"/>
    <w:rsid w:val="0059393E"/>
    <w:rsid w:val="005A3E61"/>
    <w:rsid w:val="005A591F"/>
    <w:rsid w:val="005A6A68"/>
    <w:rsid w:val="005C0247"/>
    <w:rsid w:val="005C650E"/>
    <w:rsid w:val="005E65EA"/>
    <w:rsid w:val="005F00E8"/>
    <w:rsid w:val="005F2F20"/>
    <w:rsid w:val="005F71F2"/>
    <w:rsid w:val="005F72D9"/>
    <w:rsid w:val="00604205"/>
    <w:rsid w:val="00604722"/>
    <w:rsid w:val="00617CDE"/>
    <w:rsid w:val="00623424"/>
    <w:rsid w:val="00625169"/>
    <w:rsid w:val="00627B8F"/>
    <w:rsid w:val="0063283D"/>
    <w:rsid w:val="00642D64"/>
    <w:rsid w:val="00642F66"/>
    <w:rsid w:val="0064314A"/>
    <w:rsid w:val="0064700D"/>
    <w:rsid w:val="00650708"/>
    <w:rsid w:val="00652494"/>
    <w:rsid w:val="006548E0"/>
    <w:rsid w:val="00661641"/>
    <w:rsid w:val="00663196"/>
    <w:rsid w:val="006648CB"/>
    <w:rsid w:val="006746B5"/>
    <w:rsid w:val="00680605"/>
    <w:rsid w:val="0068209E"/>
    <w:rsid w:val="0068635A"/>
    <w:rsid w:val="00692CA5"/>
    <w:rsid w:val="00693F87"/>
    <w:rsid w:val="006A2B4C"/>
    <w:rsid w:val="006B0CC8"/>
    <w:rsid w:val="006B1DFC"/>
    <w:rsid w:val="006C5C5D"/>
    <w:rsid w:val="006D0EC1"/>
    <w:rsid w:val="006D354C"/>
    <w:rsid w:val="006D5556"/>
    <w:rsid w:val="006D6A3F"/>
    <w:rsid w:val="006E2BD1"/>
    <w:rsid w:val="006E6EF2"/>
    <w:rsid w:val="006F274D"/>
    <w:rsid w:val="00706D53"/>
    <w:rsid w:val="00707CCC"/>
    <w:rsid w:val="0071462B"/>
    <w:rsid w:val="007266FD"/>
    <w:rsid w:val="007303D8"/>
    <w:rsid w:val="00733E8C"/>
    <w:rsid w:val="00733EA8"/>
    <w:rsid w:val="007357F6"/>
    <w:rsid w:val="00736374"/>
    <w:rsid w:val="007401D9"/>
    <w:rsid w:val="00745E38"/>
    <w:rsid w:val="00756C1F"/>
    <w:rsid w:val="0076002A"/>
    <w:rsid w:val="00760FF5"/>
    <w:rsid w:val="0077251F"/>
    <w:rsid w:val="00773D11"/>
    <w:rsid w:val="00785D01"/>
    <w:rsid w:val="0078648F"/>
    <w:rsid w:val="00791F86"/>
    <w:rsid w:val="0079438F"/>
    <w:rsid w:val="00796D4B"/>
    <w:rsid w:val="007976B8"/>
    <w:rsid w:val="007A5B6C"/>
    <w:rsid w:val="007B34EB"/>
    <w:rsid w:val="007B7E18"/>
    <w:rsid w:val="007C7259"/>
    <w:rsid w:val="007D5E03"/>
    <w:rsid w:val="007D6341"/>
    <w:rsid w:val="007E2CE2"/>
    <w:rsid w:val="007F4AC5"/>
    <w:rsid w:val="0080154C"/>
    <w:rsid w:val="008177E5"/>
    <w:rsid w:val="00820F38"/>
    <w:rsid w:val="0082119A"/>
    <w:rsid w:val="008232C7"/>
    <w:rsid w:val="008251E2"/>
    <w:rsid w:val="00826363"/>
    <w:rsid w:val="00833F65"/>
    <w:rsid w:val="00834D4C"/>
    <w:rsid w:val="00834F44"/>
    <w:rsid w:val="0083608B"/>
    <w:rsid w:val="008445C8"/>
    <w:rsid w:val="00845B49"/>
    <w:rsid w:val="00850E57"/>
    <w:rsid w:val="00860160"/>
    <w:rsid w:val="00865E7B"/>
    <w:rsid w:val="00867A66"/>
    <w:rsid w:val="00870FE9"/>
    <w:rsid w:val="008739CF"/>
    <w:rsid w:val="00873DE7"/>
    <w:rsid w:val="00881EB7"/>
    <w:rsid w:val="008832AD"/>
    <w:rsid w:val="00893ECA"/>
    <w:rsid w:val="00895FB1"/>
    <w:rsid w:val="008A736B"/>
    <w:rsid w:val="008B057D"/>
    <w:rsid w:val="008B0BB5"/>
    <w:rsid w:val="008B1B6F"/>
    <w:rsid w:val="008C1149"/>
    <w:rsid w:val="008C20DE"/>
    <w:rsid w:val="008C5774"/>
    <w:rsid w:val="008C7CC4"/>
    <w:rsid w:val="008D0224"/>
    <w:rsid w:val="008D2103"/>
    <w:rsid w:val="008D3AEB"/>
    <w:rsid w:val="008D3DE5"/>
    <w:rsid w:val="008D58E8"/>
    <w:rsid w:val="008D65F4"/>
    <w:rsid w:val="008E00A6"/>
    <w:rsid w:val="008E096E"/>
    <w:rsid w:val="008E28FD"/>
    <w:rsid w:val="008E5A06"/>
    <w:rsid w:val="008F2957"/>
    <w:rsid w:val="008F2E52"/>
    <w:rsid w:val="00902781"/>
    <w:rsid w:val="00912A5A"/>
    <w:rsid w:val="0091540D"/>
    <w:rsid w:val="009203DA"/>
    <w:rsid w:val="00922B46"/>
    <w:rsid w:val="00922FC3"/>
    <w:rsid w:val="00923EDC"/>
    <w:rsid w:val="0092669A"/>
    <w:rsid w:val="0093739A"/>
    <w:rsid w:val="009405C6"/>
    <w:rsid w:val="009411EC"/>
    <w:rsid w:val="009525E2"/>
    <w:rsid w:val="00956668"/>
    <w:rsid w:val="00957C98"/>
    <w:rsid w:val="00967CA8"/>
    <w:rsid w:val="00970CF7"/>
    <w:rsid w:val="009712F8"/>
    <w:rsid w:val="009912E1"/>
    <w:rsid w:val="009918DE"/>
    <w:rsid w:val="00994168"/>
    <w:rsid w:val="009942C4"/>
    <w:rsid w:val="00997A8F"/>
    <w:rsid w:val="00997C56"/>
    <w:rsid w:val="009A3850"/>
    <w:rsid w:val="009A4C90"/>
    <w:rsid w:val="009A6F53"/>
    <w:rsid w:val="009A701F"/>
    <w:rsid w:val="009B0CC7"/>
    <w:rsid w:val="009B5579"/>
    <w:rsid w:val="009B5E7E"/>
    <w:rsid w:val="009B7AEE"/>
    <w:rsid w:val="009C220A"/>
    <w:rsid w:val="009C3595"/>
    <w:rsid w:val="009C4D64"/>
    <w:rsid w:val="009C6CDD"/>
    <w:rsid w:val="009C7FE3"/>
    <w:rsid w:val="009D2B34"/>
    <w:rsid w:val="009D74E4"/>
    <w:rsid w:val="009E55D3"/>
    <w:rsid w:val="009E78CA"/>
    <w:rsid w:val="009F0E74"/>
    <w:rsid w:val="009F1964"/>
    <w:rsid w:val="009F208A"/>
    <w:rsid w:val="00A0429A"/>
    <w:rsid w:val="00A06531"/>
    <w:rsid w:val="00A069CA"/>
    <w:rsid w:val="00A07896"/>
    <w:rsid w:val="00A135F5"/>
    <w:rsid w:val="00A170AA"/>
    <w:rsid w:val="00A2037B"/>
    <w:rsid w:val="00A22EAF"/>
    <w:rsid w:val="00A25DDD"/>
    <w:rsid w:val="00A310A5"/>
    <w:rsid w:val="00A336A2"/>
    <w:rsid w:val="00A40764"/>
    <w:rsid w:val="00A41506"/>
    <w:rsid w:val="00A415D5"/>
    <w:rsid w:val="00A4240C"/>
    <w:rsid w:val="00A439E4"/>
    <w:rsid w:val="00A445E1"/>
    <w:rsid w:val="00A50746"/>
    <w:rsid w:val="00A53F85"/>
    <w:rsid w:val="00A556A9"/>
    <w:rsid w:val="00A57925"/>
    <w:rsid w:val="00A62C43"/>
    <w:rsid w:val="00A636F3"/>
    <w:rsid w:val="00A652E0"/>
    <w:rsid w:val="00A66909"/>
    <w:rsid w:val="00A82765"/>
    <w:rsid w:val="00A869A0"/>
    <w:rsid w:val="00A875F2"/>
    <w:rsid w:val="00A90E8B"/>
    <w:rsid w:val="00A933FF"/>
    <w:rsid w:val="00A935B7"/>
    <w:rsid w:val="00A93962"/>
    <w:rsid w:val="00A9467F"/>
    <w:rsid w:val="00AA1632"/>
    <w:rsid w:val="00AA5170"/>
    <w:rsid w:val="00AB0E85"/>
    <w:rsid w:val="00AB127C"/>
    <w:rsid w:val="00AB285C"/>
    <w:rsid w:val="00AC085F"/>
    <w:rsid w:val="00AC25AB"/>
    <w:rsid w:val="00AC427D"/>
    <w:rsid w:val="00AD0FBE"/>
    <w:rsid w:val="00AD24E9"/>
    <w:rsid w:val="00AD4392"/>
    <w:rsid w:val="00AD54DA"/>
    <w:rsid w:val="00AE172E"/>
    <w:rsid w:val="00AE2481"/>
    <w:rsid w:val="00AE4B6C"/>
    <w:rsid w:val="00AE557D"/>
    <w:rsid w:val="00AE579E"/>
    <w:rsid w:val="00AE7A5F"/>
    <w:rsid w:val="00AF40A6"/>
    <w:rsid w:val="00B0548A"/>
    <w:rsid w:val="00B0560A"/>
    <w:rsid w:val="00B0621F"/>
    <w:rsid w:val="00B06A37"/>
    <w:rsid w:val="00B11302"/>
    <w:rsid w:val="00B164B4"/>
    <w:rsid w:val="00B2389D"/>
    <w:rsid w:val="00B24609"/>
    <w:rsid w:val="00B271A3"/>
    <w:rsid w:val="00B35364"/>
    <w:rsid w:val="00B37030"/>
    <w:rsid w:val="00B425C8"/>
    <w:rsid w:val="00B42F3B"/>
    <w:rsid w:val="00B50E02"/>
    <w:rsid w:val="00B5586F"/>
    <w:rsid w:val="00B60458"/>
    <w:rsid w:val="00B64A81"/>
    <w:rsid w:val="00B64E1D"/>
    <w:rsid w:val="00B7499F"/>
    <w:rsid w:val="00B74C0C"/>
    <w:rsid w:val="00B75045"/>
    <w:rsid w:val="00B76F9E"/>
    <w:rsid w:val="00B84339"/>
    <w:rsid w:val="00B901FE"/>
    <w:rsid w:val="00B903FE"/>
    <w:rsid w:val="00B94813"/>
    <w:rsid w:val="00BA74C3"/>
    <w:rsid w:val="00BC1ED7"/>
    <w:rsid w:val="00BC4AE2"/>
    <w:rsid w:val="00BC4E0C"/>
    <w:rsid w:val="00BC66CD"/>
    <w:rsid w:val="00BD184A"/>
    <w:rsid w:val="00BE0FD1"/>
    <w:rsid w:val="00BE1CFA"/>
    <w:rsid w:val="00BF43DA"/>
    <w:rsid w:val="00BF5D54"/>
    <w:rsid w:val="00C01D1B"/>
    <w:rsid w:val="00C044E1"/>
    <w:rsid w:val="00C125BA"/>
    <w:rsid w:val="00C31D8F"/>
    <w:rsid w:val="00C37B73"/>
    <w:rsid w:val="00C40896"/>
    <w:rsid w:val="00C4311B"/>
    <w:rsid w:val="00C43FB3"/>
    <w:rsid w:val="00C4402B"/>
    <w:rsid w:val="00C52DE0"/>
    <w:rsid w:val="00C56057"/>
    <w:rsid w:val="00C5644F"/>
    <w:rsid w:val="00C61BC3"/>
    <w:rsid w:val="00C645F0"/>
    <w:rsid w:val="00C7113E"/>
    <w:rsid w:val="00C76000"/>
    <w:rsid w:val="00C83639"/>
    <w:rsid w:val="00C8684C"/>
    <w:rsid w:val="00C97CAC"/>
    <w:rsid w:val="00CA3208"/>
    <w:rsid w:val="00CB0503"/>
    <w:rsid w:val="00CB078D"/>
    <w:rsid w:val="00CB1747"/>
    <w:rsid w:val="00CB2A7D"/>
    <w:rsid w:val="00CB32B3"/>
    <w:rsid w:val="00CC0704"/>
    <w:rsid w:val="00CC0B71"/>
    <w:rsid w:val="00CC22F7"/>
    <w:rsid w:val="00CC5A67"/>
    <w:rsid w:val="00CC7FF8"/>
    <w:rsid w:val="00CD1EAF"/>
    <w:rsid w:val="00CE33A5"/>
    <w:rsid w:val="00CE42C9"/>
    <w:rsid w:val="00CF00DE"/>
    <w:rsid w:val="00CF026A"/>
    <w:rsid w:val="00CF2700"/>
    <w:rsid w:val="00CF3F85"/>
    <w:rsid w:val="00CF616E"/>
    <w:rsid w:val="00D0193B"/>
    <w:rsid w:val="00D01AA5"/>
    <w:rsid w:val="00D02B19"/>
    <w:rsid w:val="00D10082"/>
    <w:rsid w:val="00D17D63"/>
    <w:rsid w:val="00D20CD3"/>
    <w:rsid w:val="00D226AC"/>
    <w:rsid w:val="00D2637C"/>
    <w:rsid w:val="00D40C24"/>
    <w:rsid w:val="00D4115C"/>
    <w:rsid w:val="00D44BF8"/>
    <w:rsid w:val="00D472AF"/>
    <w:rsid w:val="00D542FD"/>
    <w:rsid w:val="00D55594"/>
    <w:rsid w:val="00D637B1"/>
    <w:rsid w:val="00D63C80"/>
    <w:rsid w:val="00D70FF1"/>
    <w:rsid w:val="00D77718"/>
    <w:rsid w:val="00D82A84"/>
    <w:rsid w:val="00D85766"/>
    <w:rsid w:val="00D92957"/>
    <w:rsid w:val="00D92BC3"/>
    <w:rsid w:val="00D942DB"/>
    <w:rsid w:val="00D96BA1"/>
    <w:rsid w:val="00DA21E4"/>
    <w:rsid w:val="00DB0BD5"/>
    <w:rsid w:val="00DB2AB5"/>
    <w:rsid w:val="00DB3D0F"/>
    <w:rsid w:val="00DB71FB"/>
    <w:rsid w:val="00DC5725"/>
    <w:rsid w:val="00DD08E6"/>
    <w:rsid w:val="00DF402C"/>
    <w:rsid w:val="00DF4C6A"/>
    <w:rsid w:val="00E03087"/>
    <w:rsid w:val="00E05935"/>
    <w:rsid w:val="00E12C3E"/>
    <w:rsid w:val="00E25F6A"/>
    <w:rsid w:val="00E27109"/>
    <w:rsid w:val="00E306C6"/>
    <w:rsid w:val="00E31457"/>
    <w:rsid w:val="00E3210B"/>
    <w:rsid w:val="00E34745"/>
    <w:rsid w:val="00E42D42"/>
    <w:rsid w:val="00E44538"/>
    <w:rsid w:val="00E4660E"/>
    <w:rsid w:val="00E47C60"/>
    <w:rsid w:val="00E50B61"/>
    <w:rsid w:val="00E5566C"/>
    <w:rsid w:val="00E60415"/>
    <w:rsid w:val="00E645CA"/>
    <w:rsid w:val="00E75C1B"/>
    <w:rsid w:val="00E803FB"/>
    <w:rsid w:val="00E80A61"/>
    <w:rsid w:val="00E837CB"/>
    <w:rsid w:val="00E961AA"/>
    <w:rsid w:val="00E962E1"/>
    <w:rsid w:val="00E9674D"/>
    <w:rsid w:val="00E973A7"/>
    <w:rsid w:val="00E97CF4"/>
    <w:rsid w:val="00E97CF9"/>
    <w:rsid w:val="00EA3203"/>
    <w:rsid w:val="00EA3238"/>
    <w:rsid w:val="00EA4672"/>
    <w:rsid w:val="00EA7E91"/>
    <w:rsid w:val="00EB1235"/>
    <w:rsid w:val="00EC58DD"/>
    <w:rsid w:val="00ED0A80"/>
    <w:rsid w:val="00EE15D7"/>
    <w:rsid w:val="00EE1EC3"/>
    <w:rsid w:val="00EE5E18"/>
    <w:rsid w:val="00EE7897"/>
    <w:rsid w:val="00EF5324"/>
    <w:rsid w:val="00F00779"/>
    <w:rsid w:val="00F00981"/>
    <w:rsid w:val="00F04E4F"/>
    <w:rsid w:val="00F069EF"/>
    <w:rsid w:val="00F101BD"/>
    <w:rsid w:val="00F12AC6"/>
    <w:rsid w:val="00F20D21"/>
    <w:rsid w:val="00F2183C"/>
    <w:rsid w:val="00F230A1"/>
    <w:rsid w:val="00F3177A"/>
    <w:rsid w:val="00F367F2"/>
    <w:rsid w:val="00F374FA"/>
    <w:rsid w:val="00F41E7E"/>
    <w:rsid w:val="00F4756B"/>
    <w:rsid w:val="00F478AC"/>
    <w:rsid w:val="00F552D1"/>
    <w:rsid w:val="00F62912"/>
    <w:rsid w:val="00F6569B"/>
    <w:rsid w:val="00F66859"/>
    <w:rsid w:val="00F67304"/>
    <w:rsid w:val="00F7240B"/>
    <w:rsid w:val="00F73252"/>
    <w:rsid w:val="00F7343F"/>
    <w:rsid w:val="00F74AA8"/>
    <w:rsid w:val="00F84264"/>
    <w:rsid w:val="00F8556C"/>
    <w:rsid w:val="00F879A9"/>
    <w:rsid w:val="00F90E99"/>
    <w:rsid w:val="00F90F83"/>
    <w:rsid w:val="00FA10B0"/>
    <w:rsid w:val="00FA1CF3"/>
    <w:rsid w:val="00FA22C1"/>
    <w:rsid w:val="00FA360C"/>
    <w:rsid w:val="00FA6242"/>
    <w:rsid w:val="00FB13B7"/>
    <w:rsid w:val="00FC6336"/>
    <w:rsid w:val="00FC6DBA"/>
    <w:rsid w:val="00FD0146"/>
    <w:rsid w:val="00FD0917"/>
    <w:rsid w:val="00FD120C"/>
    <w:rsid w:val="00FD6733"/>
    <w:rsid w:val="00FE2E3F"/>
    <w:rsid w:val="00FE5289"/>
    <w:rsid w:val="00FE5981"/>
    <w:rsid w:val="00FF2FD6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B21DFD"/>
  <w15:chartTrackingRefBased/>
  <w15:docId w15:val="{48B0263D-09E8-424D-B37F-B192C93F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480" w:lineRule="auto"/>
        <w:ind w:firstLine="14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196"/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keepNext/>
      <w:keepLines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F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1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1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147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FB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FB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FB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1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spacing w:line="240" w:lineRule="auto"/>
      <w:ind w:firstLine="0"/>
    </w:pPr>
    <w:rPr>
      <w:caps/>
    </w:rPr>
  </w:style>
  <w:style w:type="character" w:customStyle="1" w:styleId="FooterChar">
    <w:name w:val="Footer Char"/>
    <w:basedOn w:val="DefaultParagraphFont"/>
    <w:link w:val="Footer"/>
    <w:uiPriority w:val="99"/>
    <w:rPr>
      <w:cap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ies">
    <w:name w:val="Parties"/>
    <w:basedOn w:val="Normal"/>
    <w:link w:val="PartiesChar"/>
    <w:uiPriority w:val="1"/>
    <w:qFormat/>
    <w:pPr>
      <w:spacing w:after="200" w:line="240" w:lineRule="auto"/>
      <w:ind w:firstLine="0"/>
    </w:pPr>
    <w:rPr>
      <w:rFonts w:asciiTheme="majorHAnsi" w:eastAsiaTheme="majorEastAsia" w:hAnsiTheme="majorHAnsi" w:cstheme="majorBidi"/>
      <w:caps/>
    </w:rPr>
  </w:style>
  <w:style w:type="paragraph" w:customStyle="1" w:styleId="Pleadingtitle">
    <w:name w:val="Pleading title"/>
    <w:basedOn w:val="Normal"/>
    <w:link w:val="PleadingtitleChar"/>
    <w:uiPriority w:val="1"/>
    <w:qFormat/>
    <w:pPr>
      <w:spacing w:line="240" w:lineRule="auto"/>
      <w:ind w:firstLine="0"/>
    </w:pPr>
    <w:rPr>
      <w:caps/>
    </w:rPr>
  </w:style>
  <w:style w:type="character" w:customStyle="1" w:styleId="PleadingtitleChar">
    <w:name w:val="Pleading title Char"/>
    <w:basedOn w:val="DefaultParagraphFont"/>
    <w:link w:val="Pleadingtitle"/>
    <w:uiPriority w:val="1"/>
    <w:rPr>
      <w:caps/>
    </w:rPr>
  </w:style>
  <w:style w:type="character" w:customStyle="1" w:styleId="PartiesChar">
    <w:name w:val="Parties Char"/>
    <w:basedOn w:val="DefaultParagraphFont"/>
    <w:link w:val="Parties"/>
    <w:uiPriority w:val="1"/>
    <w:rPr>
      <w:rFonts w:asciiTheme="majorHAnsi" w:eastAsiaTheme="majorEastAsia" w:hAnsiTheme="majorHAnsi" w:cstheme="majorBidi"/>
      <w: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urtName">
    <w:name w:val="Court Name"/>
    <w:basedOn w:val="Normal"/>
    <w:link w:val="CourtNameChar"/>
    <w:uiPriority w:val="1"/>
    <w:qFormat/>
    <w:pPr>
      <w:spacing w:before="240"/>
      <w:ind w:firstLine="0"/>
      <w:contextualSpacing/>
      <w:jc w:val="center"/>
    </w:pPr>
    <w:rPr>
      <w:caps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eastAsiaTheme="majorEastAsia" w:hAnsiTheme="majorHAnsi" w:cstheme="majorBidi"/>
      <w:sz w:val="32"/>
      <w:szCs w:val="32"/>
    </w:rPr>
  </w:style>
  <w:style w:type="paragraph" w:customStyle="1" w:styleId="AttorneyName">
    <w:name w:val="Attorney Name"/>
    <w:basedOn w:val="Normal"/>
    <w:link w:val="AttorneyNameChar"/>
    <w:qFormat/>
    <w:rsid w:val="00396944"/>
    <w:pPr>
      <w:spacing w:line="240" w:lineRule="auto"/>
      <w:ind w:firstLine="0"/>
      <w:contextualSpacing/>
    </w:pPr>
  </w:style>
  <w:style w:type="paragraph" w:customStyle="1" w:styleId="LineNumbers">
    <w:name w:val="Line Numbers"/>
    <w:basedOn w:val="Normal"/>
    <w:uiPriority w:val="1"/>
    <w:qFormat/>
    <w:pPr>
      <w:ind w:firstLine="0"/>
      <w:jc w:val="right"/>
    </w:pPr>
  </w:style>
  <w:style w:type="paragraph" w:customStyle="1" w:styleId="CaseNo">
    <w:name w:val="Case No."/>
    <w:basedOn w:val="Normal"/>
    <w:link w:val="CaseNoChar"/>
    <w:uiPriority w:val="1"/>
    <w:qFormat/>
    <w:pPr>
      <w:spacing w:after="640" w:line="240" w:lineRule="auto"/>
      <w:ind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sz w:val="26"/>
      <w:szCs w:val="26"/>
    </w:rPr>
  </w:style>
  <w:style w:type="character" w:customStyle="1" w:styleId="AttorneyNameChar">
    <w:name w:val="Attorney Name Char"/>
    <w:basedOn w:val="DefaultParagraphFont"/>
    <w:link w:val="AttorneyName"/>
    <w:uiPriority w:val="1"/>
    <w:rsid w:val="00396944"/>
  </w:style>
  <w:style w:type="character" w:customStyle="1" w:styleId="CourtNameChar">
    <w:name w:val="Court Name Char"/>
    <w:basedOn w:val="DefaultParagraphFont"/>
    <w:link w:val="CourtName"/>
    <w:uiPriority w:val="1"/>
    <w:rPr>
      <w:caps/>
    </w:rPr>
  </w:style>
  <w:style w:type="character" w:customStyle="1" w:styleId="CaseNoChar">
    <w:name w:val="Case No. Char"/>
    <w:basedOn w:val="DefaultParagraphFont"/>
    <w:link w:val="CaseNo"/>
    <w:uiPriority w:val="1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sz w:val="20"/>
      <w:szCs w:val="20"/>
    </w:rPr>
  </w:style>
  <w:style w:type="paragraph" w:styleId="NoSpacing">
    <w:name w:val="No Spacing"/>
    <w:uiPriority w:val="1"/>
    <w:unhideWhenUsed/>
    <w:qFormat/>
    <w:pPr>
      <w:widowControl w:val="0"/>
      <w:spacing w:line="240" w:lineRule="auto"/>
      <w:ind w:firstLine="0"/>
    </w:pPr>
    <w:rPr>
      <w:rFonts w:eastAsia="Times New Roman" w:cs="Times New Roman"/>
    </w:rPr>
  </w:style>
  <w:style w:type="paragraph" w:styleId="Date">
    <w:name w:val="Date"/>
    <w:basedOn w:val="Normal"/>
    <w:next w:val="Normal"/>
    <w:link w:val="DateChar"/>
    <w:uiPriority w:val="1"/>
    <w:unhideWhenUsed/>
    <w:qFormat/>
    <w:rsid w:val="003A65EA"/>
    <w:pPr>
      <w:spacing w:after="540"/>
    </w:pPr>
  </w:style>
  <w:style w:type="character" w:customStyle="1" w:styleId="DateChar">
    <w:name w:val="Date Char"/>
    <w:basedOn w:val="DefaultParagraphFont"/>
    <w:link w:val="Date"/>
    <w:uiPriority w:val="1"/>
    <w:rsid w:val="003A65EA"/>
  </w:style>
  <w:style w:type="character" w:customStyle="1" w:styleId="Heading4Char">
    <w:name w:val="Heading 4 Char"/>
    <w:basedOn w:val="DefaultParagraphFont"/>
    <w:link w:val="Heading4"/>
    <w:uiPriority w:val="9"/>
    <w:semiHidden/>
    <w:rsid w:val="00663196"/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196"/>
    <w:rPr>
      <w:rFonts w:asciiTheme="majorHAnsi" w:eastAsiaTheme="majorEastAsia" w:hAnsiTheme="majorHAnsi" w:cstheme="majorBidi"/>
      <w:color w:val="31479E" w:themeColor="accent1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1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63196"/>
    <w:rPr>
      <w:i/>
      <w:iCs/>
      <w:color w:val="31479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63196"/>
    <w:pPr>
      <w:pBdr>
        <w:top w:val="single" w:sz="4" w:space="10" w:color="31479E" w:themeColor="accent1" w:themeShade="BF"/>
        <w:bottom w:val="single" w:sz="4" w:space="10" w:color="31479E" w:themeColor="accent1" w:themeShade="BF"/>
      </w:pBdr>
      <w:spacing w:before="360" w:after="360"/>
      <w:ind w:left="864" w:right="864"/>
      <w:jc w:val="center"/>
    </w:pPr>
    <w:rPr>
      <w:i/>
      <w:iCs/>
      <w:color w:val="31479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3196"/>
    <w:rPr>
      <w:i/>
      <w:iCs/>
      <w:color w:val="31479E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63196"/>
    <w:rPr>
      <w:b/>
      <w:bCs/>
      <w:caps w:val="0"/>
      <w:smallCaps/>
      <w:color w:val="31479E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663196"/>
    <w:pPr>
      <w:pBdr>
        <w:top w:val="single" w:sz="2" w:space="10" w:color="31479E" w:themeColor="accent1" w:themeShade="BF"/>
        <w:left w:val="single" w:sz="2" w:space="10" w:color="31479E" w:themeColor="accent1" w:themeShade="BF"/>
        <w:bottom w:val="single" w:sz="2" w:space="10" w:color="31479E" w:themeColor="accent1" w:themeShade="BF"/>
        <w:right w:val="single" w:sz="2" w:space="10" w:color="31479E" w:themeColor="accent1" w:themeShade="BF"/>
      </w:pBdr>
      <w:ind w:left="1152" w:right="1152"/>
    </w:pPr>
    <w:rPr>
      <w:i/>
      <w:iCs/>
      <w:color w:val="31479E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663196"/>
    <w:rPr>
      <w:color w:val="0B769D" w:themeColor="accent2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663196"/>
    <w:rPr>
      <w:color w:val="23735D" w:themeColor="accent4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3196"/>
    <w:rPr>
      <w:color w:val="595959" w:themeColor="text1" w:themeTint="A6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895FB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5FB1"/>
    <w:pPr>
      <w:spacing w:after="200" w:line="240" w:lineRule="auto"/>
    </w:pPr>
    <w:rPr>
      <w:i/>
      <w:iCs/>
      <w:color w:val="212745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895FB1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FB1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FB1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FB1"/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F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895F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95FB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95FB1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9"/>
    <w:semiHidden/>
    <w:unhideWhenUsed/>
    <w:rsid w:val="00895FB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95FB1"/>
    <w:pPr>
      <w:numPr>
        <w:ilvl w:val="1"/>
      </w:numPr>
      <w:spacing w:after="160"/>
      <w:ind w:firstLine="144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95FB1"/>
    <w:rPr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95FB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95FB1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895F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9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5FB1"/>
    <w:pPr>
      <w:spacing w:before="240"/>
      <w:outlineLvl w:val="9"/>
    </w:pPr>
    <w:rPr>
      <w:color w:val="31479E" w:themeColor="accent1" w:themeShade="BF"/>
    </w:rPr>
  </w:style>
  <w:style w:type="paragraph" w:customStyle="1" w:styleId="Court">
    <w:name w:val="Court"/>
    <w:basedOn w:val="Normal"/>
    <w:rsid w:val="000C50F1"/>
    <w:pPr>
      <w:widowControl w:val="0"/>
      <w:spacing w:after="240" w:line="480" w:lineRule="exact"/>
      <w:ind w:firstLine="0"/>
      <w:jc w:val="center"/>
    </w:pPr>
    <w:rPr>
      <w:rFonts w:ascii="Times New Roman" w:eastAsia="Times New Roman" w:hAnsi="Times New Roman" w:cs="Times New Roman"/>
      <w:caps/>
      <w:sz w:val="26"/>
      <w:szCs w:val="2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08E6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08E6"/>
  </w:style>
  <w:style w:type="character" w:styleId="FootnoteReference">
    <w:name w:val="footnote reference"/>
    <w:basedOn w:val="DefaultParagraphFont"/>
    <w:uiPriority w:val="99"/>
    <w:semiHidden/>
    <w:unhideWhenUsed/>
    <w:rsid w:val="00DD08E6"/>
    <w:rPr>
      <w:vertAlign w:val="superscript"/>
    </w:rPr>
  </w:style>
  <w:style w:type="paragraph" w:customStyle="1" w:styleId="Body">
    <w:name w:val="Body"/>
    <w:basedOn w:val="Normal"/>
    <w:rsid w:val="009B5579"/>
    <w:pPr>
      <w:spacing w:line="480" w:lineRule="exact"/>
    </w:pPr>
    <w:rPr>
      <w:rFonts w:ascii="Times New Roman" w:eastAsia="Times New Roman" w:hAnsi="Times New Roman" w:cs="Times New Roman"/>
      <w:sz w:val="26"/>
      <w:lang w:eastAsia="en-US"/>
    </w:rPr>
  </w:style>
  <w:style w:type="paragraph" w:customStyle="1" w:styleId="Default">
    <w:name w:val="Default"/>
    <w:rsid w:val="00FF2FD6"/>
    <w:pPr>
      <w:autoSpaceDE w:val="0"/>
      <w:autoSpaceDN w:val="0"/>
      <w:adjustRightInd w:val="0"/>
      <w:spacing w:line="240" w:lineRule="auto"/>
      <w:ind w:firstLine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quin\AppData\Roaming\Microsoft\Templates\Legal%20pleading%20paper%20(28%20line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3515F0243546BAB34AE127EF60E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14942-FF04-4405-BEA4-1DAE4AB3632D}"/>
      </w:docPartPr>
      <w:docPartBody>
        <w:p w:rsidR="00FD79A4" w:rsidRDefault="00CB14DF">
          <w:pPr>
            <w:pStyle w:val="503515F0243546BAB34AE127EF60EFB3"/>
          </w:pPr>
          <w:r>
            <w:t>Pleading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A4"/>
    <w:rsid w:val="00197C13"/>
    <w:rsid w:val="004261B5"/>
    <w:rsid w:val="004D7578"/>
    <w:rsid w:val="005A6A68"/>
    <w:rsid w:val="008C62E9"/>
    <w:rsid w:val="009509A5"/>
    <w:rsid w:val="00976D55"/>
    <w:rsid w:val="00A95301"/>
    <w:rsid w:val="00BA6812"/>
    <w:rsid w:val="00CB14DF"/>
    <w:rsid w:val="00E542A2"/>
    <w:rsid w:val="00EE15D7"/>
    <w:rsid w:val="00FD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3515F0243546BAB34AE127EF60EFB3">
    <w:name w:val="503515F0243546BAB34AE127EF60EF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lphabet letters flash cards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96B883108A948B27E6D9F0BCB0C04" ma:contentTypeVersion="10" ma:contentTypeDescription="Create a new document." ma:contentTypeScope="" ma:versionID="9cd2179c4adabd672be3f1083f198ece">
  <xsd:schema xmlns:xsd="http://www.w3.org/2001/XMLSchema" xmlns:xs="http://www.w3.org/2001/XMLSchema" xmlns:p="http://schemas.microsoft.com/office/2006/metadata/properties" xmlns:ns3="d9224c93-3a5a-4172-adfa-eb34769c09de" targetNamespace="http://schemas.microsoft.com/office/2006/metadata/properties" ma:root="true" ma:fieldsID="4ff953b2f0c21438ea306fb24dd51814" ns3:_="">
    <xsd:import namespace="d9224c93-3a5a-4172-adfa-eb34769c09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24c93-3a5a-4172-adfa-eb34769c0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CC708-01FC-4595-935A-5ED03E8FB6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5D1A91-5CA3-4E92-8367-95277F365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24c93-3a5a-4172-adfa-eb34769c0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00BD30-5CCE-4F85-9F87-0D88972BDA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7A9B43-AE4F-44C3-B1F3-7D10ABA1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Legal pleading paper (28 lines).dotx</Template>
  <TotalTime>4892</TotalTime>
  <Pages>4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REPLY IN SUPPORT OF Petition</dc:title>
  <dc:creator>Denise Quinterri</dc:creator>
  <cp:lastModifiedBy>dmq@azethicslaw.com</cp:lastModifiedBy>
  <cp:revision>93</cp:revision>
  <dcterms:created xsi:type="dcterms:W3CDTF">2026-05-29T02:49:00Z</dcterms:created>
  <dcterms:modified xsi:type="dcterms:W3CDTF">2026-06-02T05:35:00Z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0x01010055E96B883108A948B27E6D9F0BCB0C04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