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187980E6" w14:textId="77777777" w:rsidR="0054324B" w:rsidRPr="00BC3B7D" w:rsidRDefault="0054324B" w:rsidP="0054324B">
            <w:pPr>
              <w:pStyle w:val="FirmInformation"/>
              <w:spacing w:line="240" w:lineRule="auto"/>
              <w:rPr>
                <w:sz w:val="28"/>
                <w:szCs w:val="28"/>
                <w:lang w:val="pt-BR"/>
              </w:rPr>
            </w:pPr>
            <w:bookmarkStart w:id="0" w:name="_zzmpFIXED_CounselTable"/>
            <w:r w:rsidRPr="00BC3B7D">
              <w:rPr>
                <w:sz w:val="28"/>
                <w:szCs w:val="28"/>
                <w:lang w:val="pt-BR"/>
              </w:rPr>
              <w:t>Jessica J. Fotinos, Bar No. 019777</w:t>
            </w:r>
          </w:p>
          <w:p w14:paraId="0852BC0B" w14:textId="77777777" w:rsidR="0054324B" w:rsidRPr="001B0910" w:rsidRDefault="0054324B" w:rsidP="0054324B">
            <w:pPr>
              <w:pStyle w:val="FirmInformation"/>
              <w:spacing w:line="240" w:lineRule="auto"/>
              <w:rPr>
                <w:sz w:val="28"/>
                <w:szCs w:val="28"/>
              </w:rPr>
            </w:pPr>
            <w:r w:rsidRPr="001B0910">
              <w:rPr>
                <w:sz w:val="28"/>
                <w:szCs w:val="28"/>
              </w:rPr>
              <w:t>General Counsel</w:t>
            </w:r>
          </w:p>
          <w:p w14:paraId="6904A638" w14:textId="77777777" w:rsidR="0054324B" w:rsidRPr="001B0910" w:rsidRDefault="0054324B" w:rsidP="0054324B">
            <w:pPr>
              <w:pStyle w:val="FirmInformation"/>
              <w:spacing w:line="240" w:lineRule="auto"/>
              <w:rPr>
                <w:sz w:val="28"/>
                <w:szCs w:val="28"/>
              </w:rPr>
            </w:pPr>
            <w:r w:rsidRPr="001B0910">
              <w:rPr>
                <w:sz w:val="28"/>
                <w:szCs w:val="28"/>
              </w:rPr>
              <w:t>State Bar of Arizona</w:t>
            </w:r>
          </w:p>
          <w:p w14:paraId="7269A355" w14:textId="77777777" w:rsidR="0054324B" w:rsidRPr="001B0910" w:rsidRDefault="0054324B" w:rsidP="0054324B">
            <w:pPr>
              <w:pStyle w:val="FirmInformation"/>
              <w:spacing w:line="240" w:lineRule="auto"/>
              <w:rPr>
                <w:sz w:val="28"/>
                <w:szCs w:val="28"/>
              </w:rPr>
            </w:pPr>
            <w:r w:rsidRPr="001B0910">
              <w:rPr>
                <w:sz w:val="28"/>
                <w:szCs w:val="28"/>
              </w:rPr>
              <w:t>4201 N. 24th Street, Suite 100</w:t>
            </w:r>
          </w:p>
          <w:p w14:paraId="59ABF0C8" w14:textId="77777777" w:rsidR="0054324B" w:rsidRPr="001B0910" w:rsidRDefault="0054324B" w:rsidP="0054324B">
            <w:pPr>
              <w:pStyle w:val="FirmInformation"/>
              <w:spacing w:line="240" w:lineRule="auto"/>
              <w:rPr>
                <w:sz w:val="28"/>
                <w:szCs w:val="28"/>
              </w:rPr>
            </w:pPr>
            <w:r w:rsidRPr="001B0910">
              <w:rPr>
                <w:sz w:val="28"/>
                <w:szCs w:val="28"/>
              </w:rPr>
              <w:t>Phoenix, AZ  85016-6288</w:t>
            </w:r>
          </w:p>
          <w:p w14:paraId="7B3DBC20" w14:textId="34412111" w:rsidR="006F63FD" w:rsidRPr="00735659" w:rsidRDefault="0054324B" w:rsidP="0054324B">
            <w:pPr>
              <w:pStyle w:val="FirmInformation"/>
              <w:spacing w:line="240" w:lineRule="auto"/>
              <w:rPr>
                <w:sz w:val="28"/>
                <w:szCs w:val="28"/>
              </w:rPr>
            </w:pPr>
            <w:r w:rsidRPr="001B0910">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408D7B0F" w:rsidR="00357F4D" w:rsidRPr="0054324B" w:rsidRDefault="00E67511" w:rsidP="0054324B">
            <w:pPr>
              <w:pStyle w:val="Caption"/>
              <w:spacing w:before="240" w:line="260" w:lineRule="exact"/>
              <w:rPr>
                <w:b/>
                <w:sz w:val="28"/>
                <w:szCs w:val="28"/>
              </w:rPr>
            </w:pPr>
            <w:r w:rsidRPr="00732169">
              <w:rPr>
                <w:b/>
                <w:sz w:val="28"/>
                <w:szCs w:val="28"/>
              </w:rPr>
              <w:t xml:space="preserve">PETITION TO </w:t>
            </w:r>
            <w:r w:rsidR="00703D31">
              <w:rPr>
                <w:b/>
                <w:sz w:val="28"/>
                <w:szCs w:val="28"/>
              </w:rPr>
              <w:t>ADOPT ARIZONA RULES FOR COURT-ORDERED MENTAL HEALTH PROCEEDINGS</w:t>
            </w:r>
            <w:r w:rsidR="0054324B">
              <w:rPr>
                <w:b/>
                <w:sz w:val="28"/>
                <w:szCs w:val="28"/>
              </w:rPr>
              <w:br/>
            </w:r>
          </w:p>
        </w:tc>
        <w:tc>
          <w:tcPr>
            <w:tcW w:w="4524" w:type="dxa"/>
            <w:tcBorders>
              <w:top w:val="nil"/>
              <w:left w:val="single" w:sz="4" w:space="0" w:color="auto"/>
            </w:tcBorders>
          </w:tcPr>
          <w:p w14:paraId="35CED5CB" w14:textId="238D91FB"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703D31">
              <w:rPr>
                <w:sz w:val="28"/>
                <w:szCs w:val="28"/>
              </w:rPr>
              <w:t>25-0059</w:t>
            </w:r>
          </w:p>
          <w:p w14:paraId="5AEC962D" w14:textId="476211C4" w:rsidR="00357F4D" w:rsidRPr="0054324B" w:rsidRDefault="0054324B" w:rsidP="000F7A7F">
            <w:pPr>
              <w:pStyle w:val="Caption"/>
              <w:tabs>
                <w:tab w:val="left" w:pos="1238"/>
              </w:tabs>
              <w:spacing w:line="260" w:lineRule="exact"/>
              <w:ind w:right="115"/>
              <w:jc w:val="center"/>
              <w:rPr>
                <w:b/>
                <w:sz w:val="28"/>
                <w:szCs w:val="28"/>
              </w:rPr>
            </w:pPr>
            <w:r w:rsidRPr="0054324B">
              <w:rPr>
                <w:b/>
                <w:sz w:val="28"/>
                <w:szCs w:val="28"/>
              </w:rPr>
              <w:t>STATE BAR OF ARIZONA COMMENT</w:t>
            </w:r>
          </w:p>
          <w:p w14:paraId="414A167D" w14:textId="77777777" w:rsidR="00357F4D" w:rsidRPr="0054324B"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3541195D" w14:textId="10E3D4F4" w:rsidR="001F591C" w:rsidRDefault="0008003D" w:rsidP="00703D31">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w:t>
      </w:r>
      <w:r w:rsidR="00703D31">
        <w:rPr>
          <w:sz w:val="28"/>
          <w:szCs w:val="28"/>
        </w:rPr>
        <w:t>(1)</w:t>
      </w:r>
      <w:r w:rsidRPr="007B7449">
        <w:rPr>
          <w:sz w:val="28"/>
          <w:szCs w:val="28"/>
        </w:rPr>
        <w:t xml:space="preserve"> of the Arizona Rules of Supreme Court, the State Bar of Arizona (the “State Bar”) hereby </w:t>
      </w:r>
      <w:r w:rsidR="00A4249C">
        <w:rPr>
          <w:sz w:val="28"/>
          <w:szCs w:val="28"/>
        </w:rPr>
        <w:t xml:space="preserve">submits the following as its </w:t>
      </w:r>
      <w:r w:rsidR="00AA1B4A">
        <w:rPr>
          <w:sz w:val="28"/>
          <w:szCs w:val="28"/>
        </w:rPr>
        <w:t>C</w:t>
      </w:r>
      <w:r w:rsidR="00A4249C">
        <w:rPr>
          <w:sz w:val="28"/>
          <w:szCs w:val="28"/>
        </w:rPr>
        <w:t xml:space="preserve">omment to the above-captioned Petition. </w:t>
      </w:r>
      <w:r w:rsidR="00954A5E">
        <w:rPr>
          <w:sz w:val="28"/>
          <w:szCs w:val="28"/>
        </w:rPr>
        <w:t xml:space="preserve"> </w:t>
      </w:r>
      <w:r>
        <w:rPr>
          <w:sz w:val="28"/>
          <w:szCs w:val="28"/>
        </w:rPr>
        <w:t xml:space="preserve"> </w:t>
      </w:r>
      <w:r w:rsidR="00C03E0F" w:rsidRPr="006F63FD">
        <w:rPr>
          <w:sz w:val="28"/>
          <w:szCs w:val="28"/>
        </w:rPr>
        <w:t xml:space="preserve"> </w:t>
      </w:r>
    </w:p>
    <w:p w14:paraId="03C8C234" w14:textId="6D68B8B2" w:rsidR="00B11F32" w:rsidRPr="00B11F32" w:rsidRDefault="00B11F32" w:rsidP="00703D31">
      <w:pPr>
        <w:pStyle w:val="Body"/>
        <w:widowControl w:val="0"/>
        <w:spacing w:line="480" w:lineRule="auto"/>
        <w:ind w:firstLine="720"/>
        <w:jc w:val="both"/>
        <w:rPr>
          <w:b/>
          <w:bCs/>
          <w:sz w:val="28"/>
          <w:szCs w:val="28"/>
        </w:rPr>
      </w:pPr>
      <w:r>
        <w:rPr>
          <w:sz w:val="28"/>
          <w:szCs w:val="28"/>
        </w:rPr>
        <w:tab/>
      </w:r>
      <w:r>
        <w:rPr>
          <w:sz w:val="28"/>
          <w:szCs w:val="28"/>
        </w:rPr>
        <w:tab/>
      </w:r>
      <w:r>
        <w:rPr>
          <w:sz w:val="28"/>
          <w:szCs w:val="28"/>
        </w:rPr>
        <w:tab/>
      </w:r>
      <w:r>
        <w:rPr>
          <w:sz w:val="28"/>
          <w:szCs w:val="28"/>
        </w:rPr>
        <w:tab/>
      </w:r>
      <w:r>
        <w:rPr>
          <w:b/>
          <w:bCs/>
          <w:sz w:val="28"/>
          <w:szCs w:val="28"/>
        </w:rPr>
        <w:t>INTRODUCTION</w:t>
      </w:r>
    </w:p>
    <w:p w14:paraId="1E2A2F79" w14:textId="6EF5D2C0" w:rsidR="00703D31" w:rsidRPr="00703D31" w:rsidRDefault="00B11F32" w:rsidP="00703D31">
      <w:pPr>
        <w:pStyle w:val="Body"/>
        <w:tabs>
          <w:tab w:val="left" w:pos="720"/>
        </w:tabs>
        <w:spacing w:line="480" w:lineRule="auto"/>
        <w:ind w:firstLine="0"/>
        <w:jc w:val="both"/>
        <w:rPr>
          <w:b/>
          <w:bCs/>
          <w:sz w:val="28"/>
          <w:szCs w:val="28"/>
        </w:rPr>
      </w:pPr>
      <w:r>
        <w:rPr>
          <w:b/>
          <w:bCs/>
          <w:sz w:val="28"/>
          <w:szCs w:val="28"/>
        </w:rPr>
        <w:tab/>
      </w:r>
      <w:r w:rsidR="00703D31" w:rsidRPr="00703D31">
        <w:rPr>
          <w:sz w:val="28"/>
          <w:szCs w:val="28"/>
        </w:rPr>
        <w:t xml:space="preserve">The State Bar applauds the work of this Court’s Task Force on the Arizona Rules for Court-Ordered Mental Health Proceedings. As the Petition notes, mental health cases have been the fastest-growing case type statewide for more than a decade, yet these proliferating cases lack dedicated procedural rules. Instead, practitioners and courts have had to awkwardly attempt to </w:t>
      </w:r>
      <w:proofErr w:type="gramStart"/>
      <w:r w:rsidR="00703D31" w:rsidRPr="00703D31">
        <w:rPr>
          <w:sz w:val="28"/>
          <w:szCs w:val="28"/>
        </w:rPr>
        <w:t>adapt</w:t>
      </w:r>
      <w:proofErr w:type="gramEnd"/>
      <w:r w:rsidR="00703D31" w:rsidRPr="00703D31">
        <w:rPr>
          <w:sz w:val="28"/>
          <w:szCs w:val="28"/>
        </w:rPr>
        <w:t xml:space="preserve"> the civil rules, which have proven a poor fit for these specialized proceedings. </w:t>
      </w:r>
      <w:r w:rsidR="00703D31" w:rsidRPr="00703D31">
        <w:rPr>
          <w:i/>
          <w:iCs/>
          <w:sz w:val="28"/>
          <w:szCs w:val="28"/>
        </w:rPr>
        <w:t>See</w:t>
      </w:r>
      <w:r w:rsidR="00703D31" w:rsidRPr="00703D31">
        <w:rPr>
          <w:sz w:val="28"/>
          <w:szCs w:val="28"/>
        </w:rPr>
        <w:t xml:space="preserve"> </w:t>
      </w:r>
      <w:proofErr w:type="spellStart"/>
      <w:r w:rsidR="00703D31" w:rsidRPr="00703D31">
        <w:rPr>
          <w:sz w:val="28"/>
          <w:szCs w:val="28"/>
        </w:rPr>
        <w:t>Pet’n</w:t>
      </w:r>
      <w:proofErr w:type="spellEnd"/>
      <w:r w:rsidR="00703D31" w:rsidRPr="00703D31">
        <w:rPr>
          <w:sz w:val="28"/>
          <w:szCs w:val="28"/>
        </w:rPr>
        <w:t xml:space="preserve">, at 2. A </w:t>
      </w:r>
      <w:r w:rsidR="00703D31" w:rsidRPr="00703D31">
        <w:rPr>
          <w:sz w:val="28"/>
          <w:szCs w:val="28"/>
        </w:rPr>
        <w:lastRenderedPageBreak/>
        <w:t>handful of other jurisdictions in the United States have adopted comprehensive, standalone procedural rules for court-ordered mental health cases.</w:t>
      </w:r>
      <w:r w:rsidR="00703D31" w:rsidRPr="00703D31">
        <w:rPr>
          <w:sz w:val="28"/>
          <w:szCs w:val="28"/>
          <w:vertAlign w:val="superscript"/>
        </w:rPr>
        <w:footnoteReference w:id="1"/>
      </w:r>
      <w:r w:rsidR="00703D31" w:rsidRPr="00703D31">
        <w:rPr>
          <w:sz w:val="28"/>
          <w:szCs w:val="28"/>
        </w:rPr>
        <w:t xml:space="preserve"> Arizona—known for innovative procedural solutions—should join them.</w:t>
      </w:r>
    </w:p>
    <w:p w14:paraId="536C06B4" w14:textId="77777777" w:rsidR="00703D31" w:rsidRPr="00703D31" w:rsidRDefault="00703D31" w:rsidP="00703D31">
      <w:pPr>
        <w:pStyle w:val="Body"/>
        <w:tabs>
          <w:tab w:val="left" w:pos="720"/>
        </w:tabs>
        <w:spacing w:line="480" w:lineRule="auto"/>
        <w:jc w:val="both"/>
        <w:rPr>
          <w:b/>
          <w:bCs/>
          <w:sz w:val="28"/>
          <w:szCs w:val="28"/>
        </w:rPr>
      </w:pPr>
      <w:r w:rsidRPr="00703D31">
        <w:rPr>
          <w:b/>
          <w:bCs/>
          <w:sz w:val="28"/>
          <w:szCs w:val="28"/>
        </w:rPr>
        <w:t>SUMMARY OF STATE BAR COMMENT REVISIONS</w:t>
      </w:r>
    </w:p>
    <w:p w14:paraId="724A07BF" w14:textId="67A2EF82" w:rsidR="00703D31" w:rsidRPr="00703D31" w:rsidRDefault="00B11F32" w:rsidP="00703D31">
      <w:pPr>
        <w:pStyle w:val="Body"/>
        <w:tabs>
          <w:tab w:val="left" w:pos="720"/>
        </w:tabs>
        <w:spacing w:line="480" w:lineRule="auto"/>
        <w:ind w:firstLine="0"/>
        <w:jc w:val="both"/>
        <w:rPr>
          <w:b/>
          <w:bCs/>
          <w:sz w:val="28"/>
          <w:szCs w:val="28"/>
        </w:rPr>
      </w:pPr>
      <w:r>
        <w:rPr>
          <w:sz w:val="28"/>
          <w:szCs w:val="28"/>
        </w:rPr>
        <w:tab/>
      </w:r>
      <w:r w:rsidR="00703D31" w:rsidRPr="00703D31">
        <w:rPr>
          <w:sz w:val="28"/>
          <w:szCs w:val="28"/>
        </w:rPr>
        <w:t>The State Bar suggests the following edits to the work of the Task Force; it took care to suggest only those edits the State Bar views as necessary for due process and clarity of the proposed rules.</w:t>
      </w:r>
    </w:p>
    <w:p w14:paraId="1D181ADB" w14:textId="574D7724" w:rsidR="00703D31" w:rsidRPr="00703D31" w:rsidRDefault="00B11F32" w:rsidP="00703D31">
      <w:pPr>
        <w:pStyle w:val="Body"/>
        <w:tabs>
          <w:tab w:val="left" w:pos="720"/>
        </w:tabs>
        <w:spacing w:line="480" w:lineRule="auto"/>
        <w:ind w:firstLine="0"/>
        <w:jc w:val="both"/>
        <w:rPr>
          <w:b/>
          <w:bCs/>
          <w:sz w:val="28"/>
          <w:szCs w:val="28"/>
        </w:rPr>
      </w:pPr>
      <w:r>
        <w:rPr>
          <w:b/>
          <w:bCs/>
          <w:sz w:val="28"/>
          <w:szCs w:val="28"/>
        </w:rPr>
        <w:tab/>
      </w:r>
      <w:r w:rsidR="00703D31" w:rsidRPr="00703D31">
        <w:rPr>
          <w:b/>
          <w:bCs/>
          <w:sz w:val="28"/>
          <w:szCs w:val="28"/>
        </w:rPr>
        <w:t>Rule 103(b)(11):</w:t>
      </w:r>
      <w:r w:rsidR="00703D31" w:rsidRPr="00703D31">
        <w:rPr>
          <w:sz w:val="28"/>
          <w:szCs w:val="28"/>
        </w:rPr>
        <w:t xml:space="preserve"> The definition of “reasonable means” should be expanded to include “reasonably calculated” language regarding notice, </w:t>
      </w:r>
      <w:proofErr w:type="gramStart"/>
      <w:r w:rsidR="00703D31" w:rsidRPr="00703D31">
        <w:rPr>
          <w:sz w:val="28"/>
          <w:szCs w:val="28"/>
        </w:rPr>
        <w:t>similar to</w:t>
      </w:r>
      <w:proofErr w:type="gramEnd"/>
      <w:r w:rsidR="00703D31" w:rsidRPr="00703D31">
        <w:rPr>
          <w:sz w:val="28"/>
          <w:szCs w:val="28"/>
        </w:rPr>
        <w:t xml:space="preserve"> Rule 202(d), to ensure full due process of law. For the same reason and for clarity, the catch-all language “or other expedited or routine delivery services” should be cabined to read “any type of courier or delivery service.”</w:t>
      </w:r>
    </w:p>
    <w:p w14:paraId="40CB0FC3" w14:textId="1F685780" w:rsidR="00703D31" w:rsidRPr="00703D31" w:rsidRDefault="00B11F32" w:rsidP="00703D31">
      <w:pPr>
        <w:pStyle w:val="Body"/>
        <w:tabs>
          <w:tab w:val="left" w:pos="720"/>
        </w:tabs>
        <w:spacing w:line="480" w:lineRule="auto"/>
        <w:ind w:firstLine="0"/>
        <w:jc w:val="both"/>
        <w:rPr>
          <w:b/>
          <w:bCs/>
          <w:sz w:val="28"/>
          <w:szCs w:val="28"/>
        </w:rPr>
      </w:pPr>
      <w:r>
        <w:rPr>
          <w:b/>
          <w:bCs/>
          <w:sz w:val="28"/>
          <w:szCs w:val="28"/>
        </w:rPr>
        <w:tab/>
      </w:r>
      <w:r w:rsidR="00703D31" w:rsidRPr="00703D31">
        <w:rPr>
          <w:b/>
          <w:bCs/>
          <w:sz w:val="28"/>
          <w:szCs w:val="28"/>
        </w:rPr>
        <w:t>Rule 104(c):</w:t>
      </w:r>
      <w:r w:rsidR="00703D31" w:rsidRPr="00703D31">
        <w:rPr>
          <w:sz w:val="28"/>
          <w:szCs w:val="28"/>
        </w:rPr>
        <w:t xml:space="preserve"> The State Bar acknowledges that Petitioner has noted the importance of harmonizing this rule with Arizona Rule of the Supreme Court </w:t>
      </w:r>
      <w:r w:rsidR="00703D31" w:rsidRPr="00703D31">
        <w:rPr>
          <w:sz w:val="28"/>
          <w:szCs w:val="28"/>
        </w:rPr>
        <w:lastRenderedPageBreak/>
        <w:t xml:space="preserve">123(d)(6) in the Appendix D filed with the Petition, but the State Bar suggests an express cross-reference to this Court’s rule and the removal of the reference to Civil Rule 5.4(h). That civil rule has to do with orders unsealing court records whereas this Court’s Rule 123(d)(6) provides that records in these cases are </w:t>
      </w:r>
      <w:r w:rsidR="00BA18E2">
        <w:rPr>
          <w:sz w:val="28"/>
          <w:szCs w:val="28"/>
        </w:rPr>
        <w:t>restricted from</w:t>
      </w:r>
      <w:r w:rsidR="00703D31" w:rsidRPr="00703D31">
        <w:rPr>
          <w:sz w:val="28"/>
          <w:szCs w:val="28"/>
        </w:rPr>
        <w:t xml:space="preserve"> public view (“closed to public access or inspection” is the language used in Rule 123(d)(6)(A)) as a baseline consideration and further enumerates a list of those who may have access, that baseline notwithstanding. Depending on how the Court’s Task Force </w:t>
      </w:r>
      <w:r w:rsidR="00AA1B4A">
        <w:rPr>
          <w:sz w:val="28"/>
          <w:szCs w:val="28"/>
        </w:rPr>
        <w:t xml:space="preserve">on the Rules of the Supreme Court </w:t>
      </w:r>
      <w:r w:rsidR="00121470" w:rsidRPr="00121470">
        <w:rPr>
          <w:sz w:val="28"/>
          <w:szCs w:val="28"/>
        </w:rPr>
        <w:t>e</w:t>
      </w:r>
      <w:r w:rsidR="00121470" w:rsidRPr="00102B3D">
        <w:rPr>
          <w:color w:val="14303D"/>
          <w:sz w:val="28"/>
          <w:szCs w:val="28"/>
          <w:shd w:val="clear" w:color="auto" w:fill="FFFFFF"/>
        </w:rPr>
        <w:t>stablished by Administrative Order No. </w:t>
      </w:r>
      <w:r w:rsidR="00121470" w:rsidRPr="00102B3D">
        <w:rPr>
          <w:sz w:val="28"/>
          <w:szCs w:val="28"/>
        </w:rPr>
        <w:fldChar w:fldCharType="begin"/>
      </w:r>
      <w:r w:rsidR="00121470" w:rsidRPr="00102B3D">
        <w:rPr>
          <w:sz w:val="28"/>
          <w:szCs w:val="28"/>
        </w:rPr>
        <w:instrText>HYPERLINK "https://www.azcourts.gov/Portals/0/22/admorder/Orders25/2025-89.pdf?ver=KST3CqEbwLiKG4KY2oLwzA%3d%3d" \t "_blank"</w:instrText>
      </w:r>
      <w:r w:rsidR="00121470" w:rsidRPr="00102B3D">
        <w:rPr>
          <w:sz w:val="28"/>
          <w:szCs w:val="28"/>
        </w:rPr>
      </w:r>
      <w:r w:rsidR="00121470" w:rsidRPr="00102B3D">
        <w:rPr>
          <w:sz w:val="28"/>
          <w:szCs w:val="28"/>
        </w:rPr>
        <w:fldChar w:fldCharType="separate"/>
      </w:r>
      <w:r w:rsidR="00121470" w:rsidRPr="00102B3D">
        <w:rPr>
          <w:color w:val="222222"/>
          <w:sz w:val="28"/>
          <w:szCs w:val="28"/>
          <w:u w:val="single"/>
          <w:bdr w:val="none" w:sz="0" w:space="0" w:color="auto" w:frame="1"/>
          <w:shd w:val="clear" w:color="auto" w:fill="FFFFFF"/>
        </w:rPr>
        <w:t>2025-89</w:t>
      </w:r>
      <w:r w:rsidR="00121470" w:rsidRPr="00102B3D">
        <w:rPr>
          <w:sz w:val="28"/>
          <w:szCs w:val="28"/>
        </w:rPr>
        <w:fldChar w:fldCharType="end"/>
      </w:r>
      <w:r w:rsidR="00703D31" w:rsidRPr="00703D31">
        <w:rPr>
          <w:sz w:val="28"/>
          <w:szCs w:val="28"/>
        </w:rPr>
        <w:t>revises Rule 123(d)(6), a reference to Civil Rule 5.4(h) may cause more confusion than clarity.</w:t>
      </w:r>
    </w:p>
    <w:p w14:paraId="49287B43" w14:textId="4FB841ED" w:rsidR="00703D31" w:rsidRPr="00703D31" w:rsidRDefault="00B11F32" w:rsidP="00703D31">
      <w:pPr>
        <w:pStyle w:val="Body"/>
        <w:tabs>
          <w:tab w:val="left" w:pos="720"/>
        </w:tabs>
        <w:spacing w:line="480" w:lineRule="auto"/>
        <w:ind w:firstLine="0"/>
        <w:jc w:val="both"/>
        <w:rPr>
          <w:b/>
          <w:bCs/>
          <w:sz w:val="28"/>
          <w:szCs w:val="28"/>
        </w:rPr>
      </w:pPr>
      <w:r>
        <w:rPr>
          <w:b/>
          <w:bCs/>
          <w:sz w:val="28"/>
          <w:szCs w:val="28"/>
        </w:rPr>
        <w:tab/>
      </w:r>
      <w:r w:rsidR="00703D31" w:rsidRPr="00703D31">
        <w:rPr>
          <w:b/>
          <w:bCs/>
          <w:sz w:val="28"/>
          <w:szCs w:val="28"/>
        </w:rPr>
        <w:t xml:space="preserve">Rule 107(c): </w:t>
      </w:r>
      <w:r w:rsidR="00703D31" w:rsidRPr="00703D31">
        <w:rPr>
          <w:sz w:val="28"/>
          <w:szCs w:val="28"/>
        </w:rPr>
        <w:t xml:space="preserve">The State Bar suggests changing the phrase “those hours” to “any hours” in this computation rule, for clarity. The State Bar also notes that the Court may wish to consider adopting computation rules more akin to Fed. R. Civ. P. 6 (also known as “a day is a day” rules) for further clarity. The Task Force already did much of this work by defining “business day” in Rule 107(a)(1). The State Bar proposes to complete this </w:t>
      </w:r>
      <w:r w:rsidR="00121470">
        <w:rPr>
          <w:sz w:val="28"/>
          <w:szCs w:val="28"/>
        </w:rPr>
        <w:t xml:space="preserve">work </w:t>
      </w:r>
      <w:r w:rsidR="00703D31" w:rsidRPr="00703D31">
        <w:rPr>
          <w:sz w:val="28"/>
          <w:szCs w:val="28"/>
        </w:rPr>
        <w:t xml:space="preserve">by adding a definition of “calendar day” in Rule 107(a)(3), to delete Rule 107(b)(3) regarding </w:t>
      </w:r>
      <w:r w:rsidR="00121470">
        <w:rPr>
          <w:sz w:val="28"/>
          <w:szCs w:val="28"/>
        </w:rPr>
        <w:t>“</w:t>
      </w:r>
      <w:r w:rsidR="00703D31" w:rsidRPr="00703D31">
        <w:rPr>
          <w:sz w:val="28"/>
          <w:szCs w:val="28"/>
        </w:rPr>
        <w:t>time periods less than seven days,</w:t>
      </w:r>
      <w:r w:rsidR="00121470">
        <w:rPr>
          <w:sz w:val="28"/>
          <w:szCs w:val="28"/>
        </w:rPr>
        <w:t>”</w:t>
      </w:r>
      <w:r w:rsidR="00703D31" w:rsidRPr="00703D31">
        <w:rPr>
          <w:sz w:val="28"/>
          <w:szCs w:val="28"/>
        </w:rPr>
        <w:t xml:space="preserve"> and then to define deadlines throughout the ruleset in terms of business days and calendar days. The State Bar’s proposed language in the Appendix generally defines </w:t>
      </w:r>
      <w:r w:rsidR="00703D31" w:rsidRPr="00703D31">
        <w:rPr>
          <w:sz w:val="28"/>
          <w:szCs w:val="28"/>
        </w:rPr>
        <w:lastRenderedPageBreak/>
        <w:t>time periods of seven days or less in terms of business days, but defers to the Task Force’s specification, where specified.</w:t>
      </w:r>
    </w:p>
    <w:p w14:paraId="310DA7DC" w14:textId="6C015478" w:rsidR="00703D31" w:rsidRPr="00703D31" w:rsidRDefault="00B11F32" w:rsidP="00703D31">
      <w:pPr>
        <w:pStyle w:val="Body"/>
        <w:tabs>
          <w:tab w:val="left" w:pos="720"/>
        </w:tabs>
        <w:spacing w:line="480" w:lineRule="auto"/>
        <w:ind w:firstLine="0"/>
        <w:jc w:val="both"/>
        <w:rPr>
          <w:b/>
          <w:bCs/>
          <w:sz w:val="28"/>
          <w:szCs w:val="28"/>
        </w:rPr>
      </w:pPr>
      <w:r>
        <w:rPr>
          <w:b/>
          <w:bCs/>
          <w:sz w:val="28"/>
          <w:szCs w:val="28"/>
        </w:rPr>
        <w:tab/>
      </w:r>
      <w:r w:rsidR="00703D31" w:rsidRPr="00703D31">
        <w:rPr>
          <w:b/>
          <w:bCs/>
          <w:sz w:val="28"/>
          <w:szCs w:val="28"/>
        </w:rPr>
        <w:t>Rule 110(a):</w:t>
      </w:r>
      <w:r w:rsidR="00703D31" w:rsidRPr="00703D31">
        <w:rPr>
          <w:sz w:val="28"/>
          <w:szCs w:val="28"/>
        </w:rPr>
        <w:t xml:space="preserve"> This rule part should be eliminated, as Rule 102(a) already provides that the Arizona Rules of Evidence apply in these proceedings, except in limited circumstances, and it is unclear what work this rule part does that is not done by those rules of evidence. Further, if intended to be a unified evidentiary standard—which is a standard not generally deployed in proceedings where the rules of evidence apply—this rule part does not match the unified evidentiary standard set forth in rules like Arizona Rule of Protective Order Procedure 36(a) and Arizona Rule of Tax Court Practice 26.</w:t>
      </w:r>
    </w:p>
    <w:p w14:paraId="73ED79B0" w14:textId="0A126846" w:rsidR="00703D31" w:rsidRPr="00703D31" w:rsidRDefault="00703D31" w:rsidP="00B11F32">
      <w:pPr>
        <w:pStyle w:val="Body"/>
        <w:widowControl w:val="0"/>
        <w:spacing w:line="480" w:lineRule="auto"/>
        <w:ind w:firstLine="720"/>
        <w:jc w:val="both"/>
        <w:rPr>
          <w:sz w:val="28"/>
          <w:szCs w:val="28"/>
        </w:rPr>
      </w:pPr>
      <w:r w:rsidRPr="00703D31">
        <w:rPr>
          <w:b/>
          <w:bCs/>
          <w:sz w:val="28"/>
          <w:szCs w:val="28"/>
        </w:rPr>
        <w:t>Rule 110(d):</w:t>
      </w:r>
      <w:r w:rsidRPr="00703D31">
        <w:rPr>
          <w:sz w:val="28"/>
          <w:szCs w:val="28"/>
        </w:rPr>
        <w:t xml:space="preserve"> If the above edit is adopted, what will then be Rule 110(d) (“Judicial Notice”) should be modified to add an express reference to Arizona Rule of Evidence 201 (“Judicial Notice of Adjudicative Facts”) and to encourage a best practice popularized by this Court’s Advisory Committee on Evidence Retention—taking judicial notice of evidence previously admitted in the same case—to avoid the proliferation of duplicate exhibits admitted repeatedly.</w:t>
      </w:r>
    </w:p>
    <w:p w14:paraId="78623BD0" w14:textId="7F36EF76" w:rsidR="00703D31" w:rsidRPr="00703D31" w:rsidRDefault="00703D31" w:rsidP="00B11F32">
      <w:pPr>
        <w:pStyle w:val="Body"/>
        <w:widowControl w:val="0"/>
        <w:spacing w:line="480" w:lineRule="auto"/>
        <w:ind w:firstLine="720"/>
        <w:jc w:val="both"/>
        <w:rPr>
          <w:sz w:val="28"/>
          <w:szCs w:val="28"/>
        </w:rPr>
      </w:pPr>
      <w:r w:rsidRPr="00703D31">
        <w:rPr>
          <w:b/>
          <w:bCs/>
          <w:sz w:val="28"/>
          <w:szCs w:val="28"/>
        </w:rPr>
        <w:t>Rule 110(e):</w:t>
      </w:r>
      <w:r w:rsidRPr="00703D31">
        <w:rPr>
          <w:sz w:val="28"/>
          <w:szCs w:val="28"/>
        </w:rPr>
        <w:t xml:space="preserve"> Also due to the work of this Court’s Advisory Committee on Evidence Retention, which led to changes adopted in nearly all sets of rules, effective on a permanent basis January 1, 2026 (</w:t>
      </w:r>
      <w:r w:rsidRPr="00703D31">
        <w:rPr>
          <w:i/>
          <w:iCs/>
          <w:sz w:val="28"/>
          <w:szCs w:val="28"/>
        </w:rPr>
        <w:t>see</w:t>
      </w:r>
      <w:r w:rsidRPr="00703D31">
        <w:rPr>
          <w:sz w:val="28"/>
          <w:szCs w:val="28"/>
        </w:rPr>
        <w:t xml:space="preserve"> Order on R-25-0044, filed November 26, 2025), a similar provision on Retention and Disposition of Evidence and Illustrative </w:t>
      </w:r>
      <w:r w:rsidRPr="00703D31">
        <w:rPr>
          <w:sz w:val="28"/>
          <w:szCs w:val="28"/>
        </w:rPr>
        <w:lastRenderedPageBreak/>
        <w:t>Aids should be built into these rules from the start. Arizona Rule of Probate Procedure 12.1 was used as a basis for this suggested edit.</w:t>
      </w:r>
    </w:p>
    <w:p w14:paraId="6B9D8389" w14:textId="798D7E3F" w:rsidR="00703D31" w:rsidRPr="00703D31" w:rsidRDefault="00703D31" w:rsidP="00B11F32">
      <w:pPr>
        <w:pStyle w:val="Body"/>
        <w:widowControl w:val="0"/>
        <w:spacing w:line="480" w:lineRule="auto"/>
        <w:ind w:firstLine="720"/>
        <w:jc w:val="both"/>
        <w:rPr>
          <w:sz w:val="28"/>
          <w:szCs w:val="28"/>
        </w:rPr>
      </w:pPr>
      <w:r w:rsidRPr="00703D31">
        <w:rPr>
          <w:b/>
          <w:bCs/>
          <w:sz w:val="28"/>
          <w:szCs w:val="28"/>
        </w:rPr>
        <w:t xml:space="preserve">Rule 206(a) and </w:t>
      </w:r>
      <w:r w:rsidRPr="00703D31">
        <w:rPr>
          <w:b/>
          <w:bCs/>
          <w:i/>
          <w:iCs/>
          <w:sz w:val="28"/>
          <w:szCs w:val="28"/>
        </w:rPr>
        <w:t>passim</w:t>
      </w:r>
      <w:r w:rsidRPr="00703D31">
        <w:rPr>
          <w:b/>
          <w:bCs/>
          <w:sz w:val="28"/>
          <w:szCs w:val="28"/>
        </w:rPr>
        <w:t xml:space="preserve">: </w:t>
      </w:r>
      <w:r w:rsidRPr="00703D31">
        <w:rPr>
          <w:sz w:val="28"/>
          <w:szCs w:val="28"/>
        </w:rPr>
        <w:t>Wherever the digit 2 was used in these rules, beginning in this rule, the State Bar suggests changing it to the word “two,” as principles of rules’ style dictate that “one” and “two” be used in place of “1” and “2.”</w:t>
      </w:r>
    </w:p>
    <w:p w14:paraId="14CC0B0B" w14:textId="6AC5FA69" w:rsidR="00703D31" w:rsidRPr="00703D31" w:rsidRDefault="00703D31" w:rsidP="00B11F32">
      <w:pPr>
        <w:pStyle w:val="Body"/>
        <w:widowControl w:val="0"/>
        <w:spacing w:line="480" w:lineRule="auto"/>
        <w:ind w:firstLine="720"/>
        <w:jc w:val="both"/>
        <w:rPr>
          <w:sz w:val="28"/>
          <w:szCs w:val="28"/>
        </w:rPr>
      </w:pPr>
      <w:r w:rsidRPr="00703D31">
        <w:rPr>
          <w:b/>
          <w:bCs/>
          <w:sz w:val="28"/>
          <w:szCs w:val="28"/>
        </w:rPr>
        <w:t>Rule 209:</w:t>
      </w:r>
      <w:r w:rsidRPr="00703D31">
        <w:rPr>
          <w:sz w:val="28"/>
          <w:szCs w:val="28"/>
        </w:rPr>
        <w:t xml:space="preserve"> A comma should be added after “short” in Rule 209(a), and Rule 209(c)(4) should be modified to avoid unfair sanctions on patients—who may not be </w:t>
      </w:r>
      <w:r w:rsidR="00121470" w:rsidRPr="00703D31">
        <w:rPr>
          <w:sz w:val="28"/>
          <w:szCs w:val="28"/>
        </w:rPr>
        <w:t>able</w:t>
      </w:r>
      <w:r w:rsidRPr="00703D31">
        <w:rPr>
          <w:sz w:val="28"/>
          <w:szCs w:val="28"/>
        </w:rPr>
        <w:t xml:space="preserve"> to meet the rule’s disclosure requirements, particularly on the expedited basis required in these proceedings.</w:t>
      </w:r>
    </w:p>
    <w:p w14:paraId="72D06A9A" w14:textId="1422C814" w:rsidR="00703D31" w:rsidRPr="00703D31" w:rsidRDefault="00703D31" w:rsidP="00B11F32">
      <w:pPr>
        <w:pStyle w:val="Body"/>
        <w:widowControl w:val="0"/>
        <w:spacing w:line="480" w:lineRule="auto"/>
        <w:ind w:firstLine="720"/>
        <w:jc w:val="both"/>
        <w:rPr>
          <w:sz w:val="28"/>
          <w:szCs w:val="28"/>
        </w:rPr>
      </w:pPr>
      <w:r w:rsidRPr="00703D31">
        <w:rPr>
          <w:b/>
          <w:bCs/>
          <w:sz w:val="28"/>
          <w:szCs w:val="28"/>
        </w:rPr>
        <w:t>Rule 409(d)(3):</w:t>
      </w:r>
      <w:r w:rsidRPr="00703D31">
        <w:rPr>
          <w:sz w:val="28"/>
          <w:szCs w:val="28"/>
        </w:rPr>
        <w:t xml:space="preserve"> This rule should be clarified in a couple of respects to avoid vagueness as to the concept of “two courts.” Specificity as to </w:t>
      </w:r>
      <w:r w:rsidR="00121470">
        <w:rPr>
          <w:sz w:val="28"/>
          <w:szCs w:val="28"/>
        </w:rPr>
        <w:t>“</w:t>
      </w:r>
      <w:r w:rsidRPr="00703D31">
        <w:rPr>
          <w:sz w:val="28"/>
          <w:szCs w:val="28"/>
        </w:rPr>
        <w:t>original court</w:t>
      </w:r>
      <w:r w:rsidR="00121470">
        <w:rPr>
          <w:sz w:val="28"/>
          <w:szCs w:val="28"/>
        </w:rPr>
        <w:t>”</w:t>
      </w:r>
      <w:r w:rsidRPr="00703D31">
        <w:rPr>
          <w:sz w:val="28"/>
          <w:szCs w:val="28"/>
        </w:rPr>
        <w:t xml:space="preserve"> and </w:t>
      </w:r>
      <w:r w:rsidR="00121470">
        <w:rPr>
          <w:sz w:val="28"/>
          <w:szCs w:val="28"/>
        </w:rPr>
        <w:t>“</w:t>
      </w:r>
      <w:r w:rsidRPr="00703D31">
        <w:rPr>
          <w:sz w:val="28"/>
          <w:szCs w:val="28"/>
        </w:rPr>
        <w:t>residing court</w:t>
      </w:r>
      <w:r w:rsidR="00121470">
        <w:rPr>
          <w:sz w:val="28"/>
          <w:szCs w:val="28"/>
        </w:rPr>
        <w:t>”</w:t>
      </w:r>
      <w:r w:rsidRPr="00703D31">
        <w:rPr>
          <w:sz w:val="28"/>
          <w:szCs w:val="28"/>
        </w:rPr>
        <w:t xml:space="preserve"> would assist in interpretation and application.</w:t>
      </w:r>
    </w:p>
    <w:p w14:paraId="58897642" w14:textId="6FA31471" w:rsidR="007D0A3C" w:rsidRPr="00703D31" w:rsidRDefault="007D0A3C" w:rsidP="007D0A3C">
      <w:pPr>
        <w:pStyle w:val="Body"/>
        <w:widowControl w:val="0"/>
        <w:spacing w:line="480" w:lineRule="auto"/>
        <w:ind w:firstLine="720"/>
        <w:jc w:val="both"/>
        <w:rPr>
          <w:sz w:val="28"/>
          <w:szCs w:val="28"/>
        </w:rPr>
      </w:pPr>
      <w:r w:rsidRPr="00703D31">
        <w:rPr>
          <w:b/>
          <w:bCs/>
          <w:sz w:val="28"/>
          <w:szCs w:val="28"/>
        </w:rPr>
        <w:t>Rule 410(</w:t>
      </w:r>
      <w:r>
        <w:rPr>
          <w:b/>
          <w:bCs/>
          <w:sz w:val="28"/>
          <w:szCs w:val="28"/>
        </w:rPr>
        <w:t>d)</w:t>
      </w:r>
      <w:r w:rsidRPr="00703D31">
        <w:rPr>
          <w:b/>
          <w:bCs/>
          <w:sz w:val="28"/>
          <w:szCs w:val="28"/>
        </w:rPr>
        <w:t>:</w:t>
      </w:r>
      <w:r w:rsidRPr="00703D31">
        <w:rPr>
          <w:sz w:val="28"/>
          <w:szCs w:val="28"/>
        </w:rPr>
        <w:t xml:space="preserve"> Rule 410 governs a request by a patient or a person acting on behalf of a patient to request the patient’s release from court-ordered treatment. Rule 410</w:t>
      </w:r>
      <w:r>
        <w:rPr>
          <w:sz w:val="28"/>
          <w:szCs w:val="28"/>
        </w:rPr>
        <w:t>(d)</w:t>
      </w:r>
      <w:r w:rsidRPr="00703D31">
        <w:rPr>
          <w:sz w:val="28"/>
          <w:szCs w:val="28"/>
        </w:rPr>
        <w:t xml:space="preserve">provides that the burden of person shall be in the patient or person acting on behalf of the patient to show, by clear and convincing evidence, that the patient is entitled to release. This standard is not based on a statute. There is a current proposal in the Legislature to adopt the opposite standard—that the facility show by clear and </w:t>
      </w:r>
      <w:r w:rsidRPr="00703D31">
        <w:rPr>
          <w:sz w:val="28"/>
          <w:szCs w:val="28"/>
        </w:rPr>
        <w:lastRenderedPageBreak/>
        <w:t>convincing evidence that the patient should not be released.</w:t>
      </w:r>
      <w:r w:rsidRPr="00703D31">
        <w:rPr>
          <w:sz w:val="28"/>
          <w:szCs w:val="28"/>
          <w:vertAlign w:val="superscript"/>
        </w:rPr>
        <w:footnoteReference w:id="2"/>
      </w:r>
      <w:r w:rsidRPr="00703D31">
        <w:rPr>
          <w:sz w:val="28"/>
          <w:szCs w:val="28"/>
        </w:rPr>
        <w:t xml:space="preserve"> Unless that legislation is adopted, the State Bar believes that the burden of proof should be on the patient or the person acting on behalf of the patient as that person is the one requesting relief.  However, the State Bar believes that a lesser standard, “by a preponderance of the evidence” is more appropriate than a “clear and convincing</w:t>
      </w:r>
      <w:r>
        <w:rPr>
          <w:sz w:val="28"/>
          <w:szCs w:val="28"/>
        </w:rPr>
        <w:t>”</w:t>
      </w:r>
      <w:r w:rsidRPr="00703D31">
        <w:rPr>
          <w:sz w:val="28"/>
          <w:szCs w:val="28"/>
        </w:rPr>
        <w:t xml:space="preserve"> </w:t>
      </w:r>
      <w:r>
        <w:rPr>
          <w:sz w:val="28"/>
          <w:szCs w:val="28"/>
        </w:rPr>
        <w:t xml:space="preserve">evidentiary </w:t>
      </w:r>
      <w:r w:rsidRPr="00703D31">
        <w:rPr>
          <w:sz w:val="28"/>
          <w:szCs w:val="28"/>
        </w:rPr>
        <w:t xml:space="preserve">requirement.  </w:t>
      </w:r>
    </w:p>
    <w:p w14:paraId="40968C55" w14:textId="362B79C4" w:rsidR="00703D31" w:rsidRPr="00703D31" w:rsidRDefault="00703D31" w:rsidP="00B11F32">
      <w:pPr>
        <w:pStyle w:val="Body"/>
        <w:widowControl w:val="0"/>
        <w:spacing w:line="480" w:lineRule="auto"/>
        <w:ind w:firstLine="720"/>
        <w:jc w:val="both"/>
        <w:rPr>
          <w:sz w:val="28"/>
          <w:szCs w:val="28"/>
        </w:rPr>
      </w:pPr>
      <w:r w:rsidRPr="00703D31">
        <w:rPr>
          <w:b/>
          <w:bCs/>
          <w:sz w:val="28"/>
          <w:szCs w:val="28"/>
        </w:rPr>
        <w:t>Rule 502(a)</w:t>
      </w:r>
      <w:r w:rsidRPr="00703D31">
        <w:rPr>
          <w:sz w:val="28"/>
          <w:szCs w:val="28"/>
        </w:rPr>
        <w:t>: The State Bar proposes narrowing this rule with the modifying language inserted</w:t>
      </w:r>
      <w:r w:rsidR="00121470">
        <w:rPr>
          <w:sz w:val="28"/>
          <w:szCs w:val="28"/>
        </w:rPr>
        <w:t>.</w:t>
      </w:r>
      <w:r w:rsidRPr="00703D31">
        <w:rPr>
          <w:sz w:val="28"/>
          <w:szCs w:val="28"/>
        </w:rPr>
        <w:t xml:space="preserve"> </w:t>
      </w:r>
      <w:r w:rsidR="00121470">
        <w:rPr>
          <w:sz w:val="28"/>
          <w:szCs w:val="28"/>
        </w:rPr>
        <w:t xml:space="preserve">The State Bar also recommends </w:t>
      </w:r>
      <w:r w:rsidRPr="00703D31">
        <w:rPr>
          <w:sz w:val="28"/>
          <w:szCs w:val="28"/>
        </w:rPr>
        <w:t xml:space="preserve">that the Court may wish to build in </w:t>
      </w:r>
      <w:proofErr w:type="gramStart"/>
      <w:r w:rsidRPr="00703D31">
        <w:rPr>
          <w:sz w:val="28"/>
          <w:szCs w:val="28"/>
        </w:rPr>
        <w:t>a time period</w:t>
      </w:r>
      <w:proofErr w:type="gramEnd"/>
      <w:r w:rsidRPr="00703D31">
        <w:rPr>
          <w:sz w:val="28"/>
          <w:szCs w:val="28"/>
        </w:rPr>
        <w:t xml:space="preserve"> akin to a Civil Rule 55 default safe harbor, to avoid the potential harsh result of continued court-ordered treatment as a </w:t>
      </w:r>
      <w:r w:rsidR="00121470">
        <w:rPr>
          <w:sz w:val="28"/>
          <w:szCs w:val="28"/>
        </w:rPr>
        <w:t>“</w:t>
      </w:r>
      <w:r w:rsidRPr="00703D31">
        <w:rPr>
          <w:sz w:val="28"/>
          <w:szCs w:val="28"/>
        </w:rPr>
        <w:t>sanction</w:t>
      </w:r>
      <w:r w:rsidR="00121470">
        <w:rPr>
          <w:sz w:val="28"/>
          <w:szCs w:val="28"/>
        </w:rPr>
        <w:t>”</w:t>
      </w:r>
      <w:r w:rsidRPr="00703D31">
        <w:rPr>
          <w:sz w:val="28"/>
          <w:szCs w:val="28"/>
        </w:rPr>
        <w:t xml:space="preserve"> for non-respons</w:t>
      </w:r>
      <w:r w:rsidR="00121470">
        <w:rPr>
          <w:sz w:val="28"/>
          <w:szCs w:val="28"/>
        </w:rPr>
        <w:t>iveness</w:t>
      </w:r>
      <w:r w:rsidRPr="00703D31">
        <w:rPr>
          <w:sz w:val="28"/>
          <w:szCs w:val="28"/>
        </w:rPr>
        <w:t>.</w:t>
      </w:r>
    </w:p>
    <w:p w14:paraId="6A92726A" w14:textId="63AC3F77" w:rsidR="00703D31" w:rsidRPr="00703D31" w:rsidRDefault="00703D31" w:rsidP="00B11F32">
      <w:pPr>
        <w:pStyle w:val="Body"/>
        <w:widowControl w:val="0"/>
        <w:spacing w:line="480" w:lineRule="auto"/>
        <w:ind w:firstLine="720"/>
        <w:jc w:val="both"/>
        <w:rPr>
          <w:sz w:val="28"/>
          <w:szCs w:val="28"/>
        </w:rPr>
      </w:pPr>
      <w:r w:rsidRPr="00703D31">
        <w:rPr>
          <w:b/>
          <w:bCs/>
          <w:sz w:val="28"/>
          <w:szCs w:val="28"/>
        </w:rPr>
        <w:t>Rule 503(c):</w:t>
      </w:r>
      <w:r w:rsidRPr="00703D31">
        <w:rPr>
          <w:sz w:val="28"/>
          <w:szCs w:val="28"/>
        </w:rPr>
        <w:t xml:space="preserve"> The State Bar suggests modifying this rule to include language from Civil Rule 11 for guidance as to the exercise of the court’s discretion when sanctioning.</w:t>
      </w:r>
    </w:p>
    <w:p w14:paraId="0F3C4F09" w14:textId="620B93A4" w:rsidR="00703D31" w:rsidRPr="00703D31" w:rsidRDefault="00703D31" w:rsidP="00B11F32">
      <w:pPr>
        <w:pStyle w:val="Body"/>
        <w:widowControl w:val="0"/>
        <w:spacing w:line="480" w:lineRule="auto"/>
        <w:ind w:firstLine="720"/>
        <w:jc w:val="both"/>
        <w:rPr>
          <w:sz w:val="28"/>
          <w:szCs w:val="28"/>
        </w:rPr>
      </w:pPr>
      <w:r w:rsidRPr="00703D31">
        <w:rPr>
          <w:b/>
          <w:bCs/>
          <w:sz w:val="28"/>
          <w:szCs w:val="28"/>
        </w:rPr>
        <w:t>Rule 601:</w:t>
      </w:r>
      <w:r w:rsidRPr="00703D31">
        <w:rPr>
          <w:sz w:val="28"/>
          <w:szCs w:val="28"/>
        </w:rPr>
        <w:t xml:space="preserve"> The State Bar suggests adding a Comment to this rule noting the statutory process for restoration of the right to possess a firearm.</w:t>
      </w:r>
    </w:p>
    <w:p w14:paraId="17B0CFC8" w14:textId="712BEB7E" w:rsidR="00703D31" w:rsidRPr="00703D31" w:rsidRDefault="00703D31" w:rsidP="00B11F32">
      <w:pPr>
        <w:pStyle w:val="Body"/>
        <w:widowControl w:val="0"/>
        <w:spacing w:line="480" w:lineRule="auto"/>
        <w:ind w:firstLine="720"/>
        <w:jc w:val="both"/>
        <w:rPr>
          <w:sz w:val="28"/>
          <w:szCs w:val="28"/>
        </w:rPr>
      </w:pPr>
      <w:r w:rsidRPr="00703D31">
        <w:rPr>
          <w:b/>
          <w:bCs/>
          <w:sz w:val="28"/>
          <w:szCs w:val="28"/>
        </w:rPr>
        <w:t>Rule 602:</w:t>
      </w:r>
      <w:r w:rsidRPr="00703D31">
        <w:rPr>
          <w:sz w:val="28"/>
          <w:szCs w:val="28"/>
        </w:rPr>
        <w:t xml:space="preserve"> This rule should be edited slightly for clarity, and the State Bar also </w:t>
      </w:r>
      <w:r w:rsidRPr="00703D31">
        <w:rPr>
          <w:sz w:val="28"/>
          <w:szCs w:val="28"/>
        </w:rPr>
        <w:lastRenderedPageBreak/>
        <w:t xml:space="preserve">suggests a Comment referencing </w:t>
      </w:r>
      <w:r w:rsidRPr="00703D31">
        <w:rPr>
          <w:i/>
          <w:iCs/>
          <w:sz w:val="28"/>
          <w:szCs w:val="28"/>
        </w:rPr>
        <w:t>nunc pro tunc</w:t>
      </w:r>
      <w:r w:rsidRPr="00703D31">
        <w:rPr>
          <w:sz w:val="28"/>
          <w:szCs w:val="28"/>
        </w:rPr>
        <w:t xml:space="preserve"> orders. </w:t>
      </w:r>
    </w:p>
    <w:p w14:paraId="6688A170" w14:textId="77777777" w:rsidR="00703D31" w:rsidRPr="00703D31" w:rsidRDefault="00703D31" w:rsidP="00B11F32">
      <w:pPr>
        <w:pStyle w:val="Body"/>
        <w:widowControl w:val="0"/>
        <w:spacing w:line="480" w:lineRule="auto"/>
        <w:ind w:left="2160"/>
        <w:jc w:val="both"/>
        <w:rPr>
          <w:b/>
          <w:bCs/>
          <w:sz w:val="28"/>
          <w:szCs w:val="28"/>
        </w:rPr>
      </w:pPr>
      <w:r w:rsidRPr="00703D31">
        <w:rPr>
          <w:b/>
          <w:bCs/>
          <w:sz w:val="28"/>
          <w:szCs w:val="28"/>
        </w:rPr>
        <w:t>CONCLUSION</w:t>
      </w:r>
    </w:p>
    <w:p w14:paraId="2CFE2031" w14:textId="63CAC0E8" w:rsidR="00B11F32" w:rsidRDefault="00B11F32" w:rsidP="00B11F32">
      <w:pPr>
        <w:pStyle w:val="Body"/>
        <w:widowControl w:val="0"/>
        <w:tabs>
          <w:tab w:val="left" w:pos="720"/>
        </w:tabs>
        <w:spacing w:line="480" w:lineRule="auto"/>
        <w:ind w:firstLine="0"/>
        <w:jc w:val="both"/>
        <w:rPr>
          <w:sz w:val="28"/>
          <w:szCs w:val="28"/>
        </w:rPr>
      </w:pPr>
      <w:r>
        <w:rPr>
          <w:sz w:val="28"/>
          <w:szCs w:val="28"/>
        </w:rPr>
        <w:tab/>
      </w:r>
      <w:r w:rsidRPr="00B11F32">
        <w:rPr>
          <w:sz w:val="28"/>
          <w:szCs w:val="28"/>
        </w:rPr>
        <w:t>The State Bar fully supports the Petition’s objective of adopting a comprehensive procedural framework governing court-ordered mental health proceedings. With the revisions noted herein,</w:t>
      </w:r>
      <w:r w:rsidR="00851FB9">
        <w:rPr>
          <w:sz w:val="28"/>
          <w:szCs w:val="28"/>
        </w:rPr>
        <w:t xml:space="preserve"> as shown in the attached blackline (Appendix A) and clean (Appendix B) appendices,</w:t>
      </w:r>
      <w:r w:rsidRPr="00B11F32">
        <w:rPr>
          <w:sz w:val="28"/>
          <w:szCs w:val="28"/>
        </w:rPr>
        <w:t xml:space="preserve"> the State Bar urges this Court to join jurisdictions such as the District of Columbia, Iowa, Michigan, and Minnesota in adopting dedicated rules tailored to the management of these emergent and highly sensitive proceedings.</w:t>
      </w:r>
      <w:r w:rsidR="0054324B" w:rsidRPr="001B0910">
        <w:rPr>
          <w:sz w:val="28"/>
          <w:szCs w:val="28"/>
        </w:rPr>
        <w:t xml:space="preserve">       </w:t>
      </w:r>
    </w:p>
    <w:p w14:paraId="2CFFD800" w14:textId="77C628AE" w:rsidR="0054324B" w:rsidRPr="001B0910" w:rsidRDefault="00B11F32" w:rsidP="00B11F32">
      <w:pPr>
        <w:pStyle w:val="Body"/>
        <w:widowControl w:val="0"/>
        <w:tabs>
          <w:tab w:val="left" w:pos="720"/>
        </w:tabs>
        <w:spacing w:line="480" w:lineRule="auto"/>
        <w:ind w:firstLine="0"/>
        <w:jc w:val="both"/>
        <w:rPr>
          <w:sz w:val="28"/>
          <w:szCs w:val="28"/>
        </w:rPr>
      </w:pPr>
      <w:r>
        <w:rPr>
          <w:sz w:val="28"/>
          <w:szCs w:val="28"/>
        </w:rPr>
        <w:tab/>
      </w:r>
      <w:r>
        <w:rPr>
          <w:sz w:val="28"/>
          <w:szCs w:val="28"/>
        </w:rPr>
        <w:tab/>
      </w:r>
      <w:r>
        <w:rPr>
          <w:sz w:val="28"/>
          <w:szCs w:val="28"/>
        </w:rPr>
        <w:tab/>
      </w:r>
      <w:r w:rsidR="0054324B" w:rsidRPr="001B0910">
        <w:rPr>
          <w:sz w:val="28"/>
          <w:szCs w:val="28"/>
        </w:rPr>
        <w:t xml:space="preserve">RESPECTFULLY SUBMITTED this </w:t>
      </w:r>
      <w:r w:rsidR="0054324B" w:rsidRPr="007728BD">
        <w:rPr>
          <w:sz w:val="28"/>
          <w:szCs w:val="28"/>
          <w:u w:val="single"/>
        </w:rPr>
        <w:t>1</w:t>
      </w:r>
      <w:r w:rsidR="0054324B" w:rsidRPr="007728BD">
        <w:rPr>
          <w:sz w:val="28"/>
          <w:szCs w:val="28"/>
          <w:u w:val="single"/>
          <w:vertAlign w:val="superscript"/>
        </w:rPr>
        <w:t>st</w:t>
      </w:r>
      <w:r w:rsidR="0054324B">
        <w:rPr>
          <w:sz w:val="28"/>
          <w:szCs w:val="28"/>
        </w:rPr>
        <w:t xml:space="preserve"> </w:t>
      </w:r>
      <w:r w:rsidR="0054324B" w:rsidRPr="001B0910">
        <w:rPr>
          <w:sz w:val="28"/>
          <w:szCs w:val="28"/>
        </w:rPr>
        <w:t>day of</w:t>
      </w:r>
      <w:r w:rsidR="0054324B">
        <w:rPr>
          <w:sz w:val="28"/>
          <w:szCs w:val="28"/>
        </w:rPr>
        <w:t xml:space="preserve"> </w:t>
      </w:r>
      <w:proofErr w:type="gramStart"/>
      <w:r>
        <w:rPr>
          <w:sz w:val="28"/>
          <w:szCs w:val="28"/>
          <w:u w:val="single"/>
        </w:rPr>
        <w:t>June</w:t>
      </w:r>
      <w:r w:rsidR="0054324B">
        <w:rPr>
          <w:sz w:val="28"/>
          <w:szCs w:val="28"/>
        </w:rPr>
        <w:t>,</w:t>
      </w:r>
      <w:proofErr w:type="gramEnd"/>
      <w:r w:rsidR="0054324B" w:rsidRPr="001B0910">
        <w:rPr>
          <w:sz w:val="28"/>
          <w:szCs w:val="28"/>
        </w:rPr>
        <w:t xml:space="preserve"> 202</w:t>
      </w:r>
      <w:r w:rsidR="0054324B">
        <w:rPr>
          <w:sz w:val="28"/>
          <w:szCs w:val="28"/>
        </w:rPr>
        <w:t>6</w:t>
      </w:r>
      <w:r w:rsidR="0054324B" w:rsidRPr="001B0910">
        <w:rPr>
          <w:sz w:val="28"/>
          <w:szCs w:val="28"/>
        </w:rPr>
        <w:t>.</w:t>
      </w:r>
    </w:p>
    <w:p w14:paraId="6E0E349D" w14:textId="77777777" w:rsidR="0054324B" w:rsidRPr="001B0910" w:rsidRDefault="0054324B" w:rsidP="0054324B">
      <w:pPr>
        <w:pStyle w:val="Body"/>
        <w:widowControl w:val="0"/>
        <w:tabs>
          <w:tab w:val="left" w:pos="720"/>
        </w:tabs>
        <w:ind w:firstLine="0"/>
        <w:rPr>
          <w:sz w:val="28"/>
          <w:szCs w:val="28"/>
        </w:rPr>
      </w:pPr>
      <w:r>
        <w:rPr>
          <w:b/>
          <w:noProof/>
          <w:sz w:val="28"/>
          <w:szCs w:val="28"/>
        </w:rPr>
        <w:drawing>
          <wp:anchor distT="0" distB="0" distL="114300" distR="114300" simplePos="0" relativeHeight="251659264" behindDoc="0" locked="0" layoutInCell="1" allowOverlap="1" wp14:anchorId="13BA04AB" wp14:editId="6251DBFA">
            <wp:simplePos x="0" y="0"/>
            <wp:positionH relativeFrom="column">
              <wp:posOffset>3120390</wp:posOffset>
            </wp:positionH>
            <wp:positionV relativeFrom="paragraph">
              <wp:posOffset>108585</wp:posOffset>
            </wp:positionV>
            <wp:extent cx="2022475" cy="493395"/>
            <wp:effectExtent l="0" t="0" r="0" b="0"/>
            <wp:wrapSquare wrapText="bothSides"/>
            <wp:docPr id="51691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2475" cy="49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056937" w14:textId="77777777" w:rsidR="0054324B" w:rsidRPr="001B0910" w:rsidRDefault="0054324B" w:rsidP="0054324B">
      <w:pPr>
        <w:pStyle w:val="Body"/>
        <w:widowControl w:val="0"/>
        <w:tabs>
          <w:tab w:val="left" w:pos="720"/>
        </w:tabs>
        <w:ind w:firstLine="0"/>
        <w:rPr>
          <w:sz w:val="28"/>
          <w:szCs w:val="28"/>
        </w:rPr>
      </w:pPr>
    </w:p>
    <w:p w14:paraId="14A23854" w14:textId="77777777" w:rsidR="0054324B" w:rsidRPr="001B0910" w:rsidRDefault="0054324B" w:rsidP="0054324B">
      <w:pPr>
        <w:pStyle w:val="PleadingSignature"/>
        <w:keepNext w:val="0"/>
        <w:keepLines w:val="0"/>
        <w:pBdr>
          <w:top w:val="single" w:sz="4" w:space="1" w:color="auto"/>
        </w:pBdr>
        <w:spacing w:line="240" w:lineRule="auto"/>
        <w:ind w:left="5070"/>
        <w:rPr>
          <w:sz w:val="28"/>
          <w:szCs w:val="28"/>
        </w:rPr>
      </w:pPr>
      <w:r>
        <w:rPr>
          <w:sz w:val="28"/>
          <w:szCs w:val="28"/>
        </w:rPr>
        <w:t>Jessica J. Fotinos</w:t>
      </w:r>
    </w:p>
    <w:p w14:paraId="2E579DB9" w14:textId="77777777" w:rsidR="0054324B" w:rsidRPr="001B0910" w:rsidRDefault="0054324B" w:rsidP="0054324B">
      <w:pPr>
        <w:pStyle w:val="PleadingSignature"/>
        <w:keepNext w:val="0"/>
        <w:keepLines w:val="0"/>
        <w:spacing w:line="240" w:lineRule="auto"/>
        <w:ind w:left="5070"/>
        <w:rPr>
          <w:sz w:val="28"/>
          <w:szCs w:val="28"/>
        </w:rPr>
      </w:pPr>
      <w:r w:rsidRPr="001B0910">
        <w:rPr>
          <w:sz w:val="28"/>
          <w:szCs w:val="28"/>
        </w:rPr>
        <w:t>General Counsel</w:t>
      </w:r>
    </w:p>
    <w:p w14:paraId="19528F7D" w14:textId="2B5CF52E" w:rsidR="0054324B" w:rsidRPr="001B0910" w:rsidRDefault="0054324B" w:rsidP="0054324B">
      <w:pPr>
        <w:widowControl w:val="0"/>
        <w:spacing w:line="240" w:lineRule="auto"/>
        <w:ind w:right="4140"/>
        <w:rPr>
          <w:sz w:val="28"/>
          <w:szCs w:val="28"/>
        </w:rPr>
      </w:pPr>
      <w:r w:rsidRPr="001B0910">
        <w:rPr>
          <w:sz w:val="28"/>
          <w:szCs w:val="28"/>
        </w:rPr>
        <w:t>Electronic copy filed with the</w:t>
      </w:r>
    </w:p>
    <w:p w14:paraId="0F577140" w14:textId="77777777" w:rsidR="0054324B" w:rsidRPr="001B0910" w:rsidRDefault="0054324B" w:rsidP="0054324B">
      <w:pPr>
        <w:spacing w:line="240" w:lineRule="auto"/>
        <w:ind w:right="4140"/>
        <w:rPr>
          <w:sz w:val="28"/>
          <w:szCs w:val="28"/>
        </w:rPr>
      </w:pPr>
      <w:r w:rsidRPr="001B0910">
        <w:rPr>
          <w:sz w:val="28"/>
          <w:szCs w:val="28"/>
        </w:rPr>
        <w:t>Clerk of the Supreme Court of Arizona</w:t>
      </w:r>
    </w:p>
    <w:p w14:paraId="28A058A0" w14:textId="35567B39" w:rsidR="0054324B" w:rsidRPr="001B0910" w:rsidRDefault="0054324B" w:rsidP="0054324B">
      <w:pPr>
        <w:tabs>
          <w:tab w:val="left" w:pos="4836"/>
        </w:tabs>
        <w:spacing w:line="240" w:lineRule="auto"/>
        <w:ind w:right="3870"/>
        <w:rPr>
          <w:sz w:val="28"/>
          <w:szCs w:val="28"/>
        </w:rPr>
      </w:pPr>
      <w:r w:rsidRPr="001B0910">
        <w:rPr>
          <w:sz w:val="28"/>
          <w:szCs w:val="28"/>
        </w:rPr>
        <w:t xml:space="preserve">this </w:t>
      </w:r>
      <w:r w:rsidRPr="007728BD">
        <w:rPr>
          <w:sz w:val="28"/>
          <w:szCs w:val="28"/>
          <w:u w:val="single"/>
        </w:rPr>
        <w:t>1</w:t>
      </w:r>
      <w:proofErr w:type="gramStart"/>
      <w:r w:rsidRPr="007728BD">
        <w:rPr>
          <w:sz w:val="28"/>
          <w:szCs w:val="28"/>
          <w:u w:val="single"/>
          <w:vertAlign w:val="superscript"/>
        </w:rPr>
        <w:t>st</w:t>
      </w:r>
      <w:r w:rsidRPr="007728BD">
        <w:rPr>
          <w:sz w:val="28"/>
          <w:szCs w:val="28"/>
          <w:u w:val="single"/>
        </w:rPr>
        <w:t xml:space="preserve"> </w:t>
      </w:r>
      <w:r w:rsidRPr="001B0910">
        <w:rPr>
          <w:sz w:val="28"/>
          <w:szCs w:val="28"/>
        </w:rPr>
        <w:t xml:space="preserve"> day</w:t>
      </w:r>
      <w:proofErr w:type="gramEnd"/>
      <w:r w:rsidRPr="001B0910">
        <w:rPr>
          <w:sz w:val="28"/>
          <w:szCs w:val="28"/>
        </w:rPr>
        <w:t xml:space="preserve"> of </w:t>
      </w:r>
      <w:proofErr w:type="gramStart"/>
      <w:r w:rsidR="00B11F32">
        <w:rPr>
          <w:sz w:val="28"/>
          <w:szCs w:val="28"/>
          <w:u w:val="single"/>
        </w:rPr>
        <w:t>June</w:t>
      </w:r>
      <w:r>
        <w:rPr>
          <w:sz w:val="28"/>
          <w:szCs w:val="28"/>
        </w:rPr>
        <w:t>,</w:t>
      </w:r>
      <w:proofErr w:type="gramEnd"/>
      <w:r w:rsidRPr="001B0910">
        <w:rPr>
          <w:sz w:val="28"/>
          <w:szCs w:val="28"/>
        </w:rPr>
        <w:t xml:space="preserve"> 202</w:t>
      </w:r>
      <w:r>
        <w:rPr>
          <w:sz w:val="28"/>
          <w:szCs w:val="28"/>
        </w:rPr>
        <w:t>6</w:t>
      </w:r>
      <w:r w:rsidRPr="001B0910">
        <w:rPr>
          <w:sz w:val="28"/>
          <w:szCs w:val="28"/>
        </w:rPr>
        <w:t>.</w:t>
      </w:r>
    </w:p>
    <w:p w14:paraId="2A74CAB1" w14:textId="77777777" w:rsidR="0054324B" w:rsidRPr="001B0910" w:rsidRDefault="0054324B" w:rsidP="0054324B">
      <w:pPr>
        <w:spacing w:line="240" w:lineRule="auto"/>
        <w:ind w:right="4572"/>
        <w:rPr>
          <w:sz w:val="28"/>
          <w:szCs w:val="28"/>
        </w:rPr>
      </w:pPr>
    </w:p>
    <w:p w14:paraId="5D90B699" w14:textId="77777777" w:rsidR="0054324B" w:rsidRPr="001B0910" w:rsidRDefault="0054324B" w:rsidP="0054324B">
      <w:pPr>
        <w:spacing w:line="240" w:lineRule="auto"/>
        <w:ind w:right="4572"/>
        <w:rPr>
          <w:sz w:val="28"/>
          <w:szCs w:val="28"/>
        </w:rPr>
      </w:pPr>
      <w:r w:rsidRPr="001B0910">
        <w:rPr>
          <w:sz w:val="28"/>
          <w:szCs w:val="28"/>
        </w:rPr>
        <w:t>by:</w:t>
      </w:r>
      <w:r w:rsidRPr="007728BD">
        <w:rPr>
          <w:sz w:val="28"/>
          <w:szCs w:val="28"/>
          <w:u w:val="single"/>
        </w:rPr>
        <w:t xml:space="preserve"> PSeguin</w:t>
      </w:r>
    </w:p>
    <w:p w14:paraId="3FC941A2" w14:textId="77777777" w:rsidR="0054324B" w:rsidRPr="006F63FD" w:rsidRDefault="0054324B" w:rsidP="00A52C78">
      <w:pPr>
        <w:pStyle w:val="Body"/>
        <w:widowControl w:val="0"/>
        <w:tabs>
          <w:tab w:val="left" w:pos="720"/>
        </w:tabs>
        <w:spacing w:line="480" w:lineRule="auto"/>
        <w:ind w:firstLine="0"/>
        <w:jc w:val="both"/>
        <w:rPr>
          <w:spacing w:val="-3"/>
          <w:sz w:val="28"/>
          <w:szCs w:val="28"/>
        </w:rPr>
      </w:pPr>
    </w:p>
    <w:p w14:paraId="57E0B028" w14:textId="77777777" w:rsidR="00884405" w:rsidRDefault="00884405" w:rsidP="000C48A9">
      <w:pPr>
        <w:pStyle w:val="Body"/>
        <w:widowControl w:val="0"/>
        <w:tabs>
          <w:tab w:val="left" w:pos="720"/>
        </w:tabs>
        <w:ind w:firstLine="0"/>
        <w:rPr>
          <w:szCs w:val="26"/>
        </w:rPr>
      </w:pPr>
    </w:p>
    <w:p w14:paraId="7276E6FA" w14:textId="77777777" w:rsidR="00884405" w:rsidRDefault="00884405" w:rsidP="000C48A9">
      <w:pPr>
        <w:pStyle w:val="Body"/>
        <w:widowControl w:val="0"/>
        <w:tabs>
          <w:tab w:val="left" w:pos="720"/>
        </w:tabs>
        <w:ind w:firstLine="0"/>
        <w:rPr>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492F" w14:textId="77777777" w:rsidR="00BC429D" w:rsidRDefault="00BC429D">
      <w:r>
        <w:separator/>
      </w:r>
    </w:p>
  </w:endnote>
  <w:endnote w:type="continuationSeparator" w:id="0">
    <w:p w14:paraId="6412B3B5" w14:textId="77777777" w:rsidR="00BC429D" w:rsidRDefault="00BC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C652" w14:textId="77777777" w:rsidR="00BC429D" w:rsidRDefault="00BC429D">
      <w:r>
        <w:separator/>
      </w:r>
    </w:p>
  </w:footnote>
  <w:footnote w:type="continuationSeparator" w:id="0">
    <w:p w14:paraId="25C517FA" w14:textId="77777777" w:rsidR="00BC429D" w:rsidRDefault="00BC429D">
      <w:r>
        <w:continuationSeparator/>
      </w:r>
    </w:p>
  </w:footnote>
  <w:footnote w:id="1">
    <w:p w14:paraId="5E9D9B77" w14:textId="6A7FCF0D" w:rsidR="00703D31" w:rsidRDefault="00703D31" w:rsidP="00B11F32">
      <w:pPr>
        <w:pStyle w:val="FootnoteText"/>
        <w:jc w:val="both"/>
        <w:rPr>
          <w:sz w:val="28"/>
          <w:szCs w:val="28"/>
        </w:rPr>
      </w:pPr>
      <w:r>
        <w:rPr>
          <w:rStyle w:val="FootnoteReference"/>
          <w:sz w:val="28"/>
          <w:szCs w:val="28"/>
        </w:rPr>
        <w:footnoteRef/>
      </w:r>
      <w:r>
        <w:rPr>
          <w:sz w:val="28"/>
          <w:szCs w:val="28"/>
        </w:rPr>
        <w:t xml:space="preserve"> </w:t>
      </w:r>
      <w:r>
        <w:rPr>
          <w:i/>
          <w:iCs/>
          <w:sz w:val="28"/>
          <w:szCs w:val="28"/>
        </w:rPr>
        <w:t xml:space="preserve">See </w:t>
      </w:r>
      <w:r>
        <w:rPr>
          <w:sz w:val="28"/>
          <w:szCs w:val="28"/>
        </w:rPr>
        <w:t>SCR Mental Health Rules 1-17 (District of Columbia); Iowa Court Rules Chs. 12</w:t>
      </w:r>
      <w:r w:rsidR="00AA1B4A">
        <w:rPr>
          <w:sz w:val="28"/>
          <w:szCs w:val="28"/>
        </w:rPr>
        <w:t xml:space="preserve"> and</w:t>
      </w:r>
      <w:r>
        <w:rPr>
          <w:sz w:val="28"/>
          <w:szCs w:val="28"/>
        </w:rPr>
        <w:t xml:space="preserve"> 13; Michigan Court Rules Ch. 5; Minnesota Special Rules of Procedure Governing Proceedings Under the Minnesota Commitment and Treatment Acts; </w:t>
      </w:r>
      <w:r>
        <w:rPr>
          <w:i/>
          <w:iCs/>
          <w:sz w:val="28"/>
          <w:szCs w:val="28"/>
        </w:rPr>
        <w:t>see also</w:t>
      </w:r>
      <w:r>
        <w:rPr>
          <w:sz w:val="28"/>
          <w:szCs w:val="28"/>
        </w:rPr>
        <w:t xml:space="preserve"> Appendix </w:t>
      </w:r>
      <w:r w:rsidR="00937F70">
        <w:rPr>
          <w:sz w:val="28"/>
          <w:szCs w:val="28"/>
        </w:rPr>
        <w:t>C</w:t>
      </w:r>
      <w:r>
        <w:rPr>
          <w:sz w:val="28"/>
          <w:szCs w:val="28"/>
        </w:rPr>
        <w:t xml:space="preserve">—Procedural Frameworks for Mental Health Civil Commitment. The State Bar of Arizona thanks Ethan Pelland, J.D.-expected May 2027, Arizona State University Sandra Day O’Connor College of Law, for diligent research assistance into other jurisdictions’ rules applicable to these cases; his work generated Appendix </w:t>
      </w:r>
      <w:r w:rsidR="00937F70">
        <w:rPr>
          <w:sz w:val="28"/>
          <w:szCs w:val="28"/>
        </w:rPr>
        <w:t>C</w:t>
      </w:r>
      <w:r>
        <w:rPr>
          <w:sz w:val="28"/>
          <w:szCs w:val="28"/>
        </w:rPr>
        <w:t>.</w:t>
      </w:r>
    </w:p>
  </w:footnote>
  <w:footnote w:id="2">
    <w:p w14:paraId="2C8A9659" w14:textId="77777777" w:rsidR="007D0A3C" w:rsidRDefault="007D0A3C" w:rsidP="007D0A3C">
      <w:pPr>
        <w:pStyle w:val="FootnoteText"/>
        <w:jc w:val="both"/>
        <w:rPr>
          <w:sz w:val="28"/>
          <w:szCs w:val="28"/>
        </w:rPr>
      </w:pPr>
      <w:r>
        <w:rPr>
          <w:rStyle w:val="FootnoteReference"/>
          <w:sz w:val="28"/>
          <w:szCs w:val="28"/>
        </w:rPr>
        <w:footnoteRef/>
      </w:r>
      <w:r>
        <w:rPr>
          <w:sz w:val="28"/>
          <w:szCs w:val="28"/>
        </w:rPr>
        <w:t xml:space="preserve"> H.B. 2923 (Fifty-seventh Legislature, Second Regular Session 2026), at proposed A.R.S. § 36-546(H).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B0311"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716AC"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50220"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10340"/>
    <w:rsid w:val="000410B3"/>
    <w:rsid w:val="00043D4D"/>
    <w:rsid w:val="00052372"/>
    <w:rsid w:val="000666D1"/>
    <w:rsid w:val="0008003D"/>
    <w:rsid w:val="000838DA"/>
    <w:rsid w:val="000917C0"/>
    <w:rsid w:val="000A1D6B"/>
    <w:rsid w:val="000C48A9"/>
    <w:rsid w:val="000F7A7F"/>
    <w:rsid w:val="000F7C13"/>
    <w:rsid w:val="00102B3D"/>
    <w:rsid w:val="00121470"/>
    <w:rsid w:val="001318AD"/>
    <w:rsid w:val="00135326"/>
    <w:rsid w:val="00194D77"/>
    <w:rsid w:val="001A2520"/>
    <w:rsid w:val="001A4AF6"/>
    <w:rsid w:val="001F3FCD"/>
    <w:rsid w:val="001F591C"/>
    <w:rsid w:val="00207336"/>
    <w:rsid w:val="00211DD5"/>
    <w:rsid w:val="0024273B"/>
    <w:rsid w:val="00274D6A"/>
    <w:rsid w:val="002972FF"/>
    <w:rsid w:val="00334B42"/>
    <w:rsid w:val="003511F9"/>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3271C"/>
    <w:rsid w:val="0054324B"/>
    <w:rsid w:val="00566856"/>
    <w:rsid w:val="005845AE"/>
    <w:rsid w:val="005A21B0"/>
    <w:rsid w:val="005B3898"/>
    <w:rsid w:val="005B5161"/>
    <w:rsid w:val="005D6AD4"/>
    <w:rsid w:val="006338C1"/>
    <w:rsid w:val="00636F5E"/>
    <w:rsid w:val="00665CCF"/>
    <w:rsid w:val="006666D1"/>
    <w:rsid w:val="006721EC"/>
    <w:rsid w:val="006766BF"/>
    <w:rsid w:val="00692391"/>
    <w:rsid w:val="006932BA"/>
    <w:rsid w:val="00693864"/>
    <w:rsid w:val="006A76C2"/>
    <w:rsid w:val="006B4F9A"/>
    <w:rsid w:val="006E4770"/>
    <w:rsid w:val="006F63FD"/>
    <w:rsid w:val="00703D31"/>
    <w:rsid w:val="007073AF"/>
    <w:rsid w:val="00732169"/>
    <w:rsid w:val="00735659"/>
    <w:rsid w:val="007427C6"/>
    <w:rsid w:val="00762B8C"/>
    <w:rsid w:val="0077087F"/>
    <w:rsid w:val="0077110E"/>
    <w:rsid w:val="007870CB"/>
    <w:rsid w:val="007A3F0F"/>
    <w:rsid w:val="007B37E9"/>
    <w:rsid w:val="007D0A3C"/>
    <w:rsid w:val="007D5C49"/>
    <w:rsid w:val="007D73FF"/>
    <w:rsid w:val="007E3CCB"/>
    <w:rsid w:val="008006ED"/>
    <w:rsid w:val="00822598"/>
    <w:rsid w:val="008360A1"/>
    <w:rsid w:val="00841911"/>
    <w:rsid w:val="00851FB9"/>
    <w:rsid w:val="00861563"/>
    <w:rsid w:val="00871AAA"/>
    <w:rsid w:val="00876F57"/>
    <w:rsid w:val="00884405"/>
    <w:rsid w:val="00891AAA"/>
    <w:rsid w:val="008A4EB3"/>
    <w:rsid w:val="008D3E6B"/>
    <w:rsid w:val="008F39BA"/>
    <w:rsid w:val="0090510F"/>
    <w:rsid w:val="00905B9C"/>
    <w:rsid w:val="00931F22"/>
    <w:rsid w:val="00933EA1"/>
    <w:rsid w:val="00937F70"/>
    <w:rsid w:val="00951416"/>
    <w:rsid w:val="00954A5E"/>
    <w:rsid w:val="00960D21"/>
    <w:rsid w:val="00981D29"/>
    <w:rsid w:val="00981E11"/>
    <w:rsid w:val="00996853"/>
    <w:rsid w:val="00A1564B"/>
    <w:rsid w:val="00A4249C"/>
    <w:rsid w:val="00A5194F"/>
    <w:rsid w:val="00A52C78"/>
    <w:rsid w:val="00A871D6"/>
    <w:rsid w:val="00A93A7C"/>
    <w:rsid w:val="00AA1B4A"/>
    <w:rsid w:val="00AB07B6"/>
    <w:rsid w:val="00AC2071"/>
    <w:rsid w:val="00AE552D"/>
    <w:rsid w:val="00AF282C"/>
    <w:rsid w:val="00AF3FF7"/>
    <w:rsid w:val="00B03855"/>
    <w:rsid w:val="00B11F32"/>
    <w:rsid w:val="00B1491D"/>
    <w:rsid w:val="00B47B7D"/>
    <w:rsid w:val="00B5736D"/>
    <w:rsid w:val="00B7056A"/>
    <w:rsid w:val="00BA18E2"/>
    <w:rsid w:val="00BC429D"/>
    <w:rsid w:val="00C03E0F"/>
    <w:rsid w:val="00C13657"/>
    <w:rsid w:val="00C52E56"/>
    <w:rsid w:val="00C5407A"/>
    <w:rsid w:val="00C662B0"/>
    <w:rsid w:val="00C77369"/>
    <w:rsid w:val="00C84FD4"/>
    <w:rsid w:val="00C958EE"/>
    <w:rsid w:val="00CB00DF"/>
    <w:rsid w:val="00CB44E0"/>
    <w:rsid w:val="00CD21FB"/>
    <w:rsid w:val="00D0315E"/>
    <w:rsid w:val="00D35ACD"/>
    <w:rsid w:val="00D3695E"/>
    <w:rsid w:val="00D423FE"/>
    <w:rsid w:val="00D442E4"/>
    <w:rsid w:val="00D60D9B"/>
    <w:rsid w:val="00D70795"/>
    <w:rsid w:val="00D80EDC"/>
    <w:rsid w:val="00DE21D1"/>
    <w:rsid w:val="00DF4F15"/>
    <w:rsid w:val="00E047D3"/>
    <w:rsid w:val="00E11DD4"/>
    <w:rsid w:val="00E266B7"/>
    <w:rsid w:val="00E321C5"/>
    <w:rsid w:val="00E37705"/>
    <w:rsid w:val="00E51F46"/>
    <w:rsid w:val="00E5772B"/>
    <w:rsid w:val="00E67511"/>
    <w:rsid w:val="00E81026"/>
    <w:rsid w:val="00E82D0F"/>
    <w:rsid w:val="00E950B5"/>
    <w:rsid w:val="00EB7C5A"/>
    <w:rsid w:val="00ED21DA"/>
    <w:rsid w:val="00F05879"/>
    <w:rsid w:val="00F06F5B"/>
    <w:rsid w:val="00F2485D"/>
    <w:rsid w:val="00F33926"/>
    <w:rsid w:val="00F60C61"/>
    <w:rsid w:val="00F64B52"/>
    <w:rsid w:val="00F850BE"/>
    <w:rsid w:val="00FB5291"/>
    <w:rsid w:val="00FB5E84"/>
    <w:rsid w:val="00FD61B7"/>
    <w:rsid w:val="00FF4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fontstyle01">
    <w:name w:val="fontstyle01"/>
    <w:basedOn w:val="DefaultParagraphFont"/>
    <w:rsid w:val="00010340"/>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010340"/>
    <w:rPr>
      <w:rFonts w:ascii="TimesNewRomanPSMT" w:hAnsi="TimesNewRomanPSMT" w:hint="default"/>
      <w:b w:val="0"/>
      <w:bCs w:val="0"/>
      <w:i w:val="0"/>
      <w:iCs w:val="0"/>
      <w:color w:val="000000"/>
      <w:sz w:val="28"/>
      <w:szCs w:val="28"/>
    </w:rPr>
  </w:style>
  <w:style w:type="paragraph" w:styleId="Revision">
    <w:name w:val="Revision"/>
    <w:hidden/>
    <w:uiPriority w:val="99"/>
    <w:semiHidden/>
    <w:rsid w:val="00C77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19</TotalTime>
  <Pages>7</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cp:revision>
  <cp:lastPrinted>2014-04-30T16:27:00Z</cp:lastPrinted>
  <dcterms:created xsi:type="dcterms:W3CDTF">2026-06-01T05:57:00Z</dcterms:created>
  <dcterms:modified xsi:type="dcterms:W3CDTF">2026-06-01T23:16:00Z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