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72" w:rsidRDefault="00F03D72">
      <w:pPr>
        <w:spacing w:line="349" w:lineRule="exact"/>
        <w:rPr>
          <w:rFonts w:ascii="Tms Rmn" w:hAnsi="Tms Rmn" w:cs="Tms Rmn"/>
          <w:sz w:val="28"/>
          <w:szCs w:val="28"/>
        </w:rPr>
      </w:pPr>
      <w:bookmarkStart w:id="0" w:name="_GoBack"/>
      <w:bookmarkEnd w:id="0"/>
      <w:r>
        <w:rPr>
          <w:rFonts w:ascii="Tms Rmn" w:hAnsi="Tms Rmn" w:cs="Tms Rmn"/>
          <w:sz w:val="28"/>
          <w:szCs w:val="28"/>
        </w:rPr>
        <w:t>Mike Palmer</w:t>
      </w:r>
    </w:p>
    <w:p w:rsidR="00F03D72" w:rsidRDefault="00F03D72">
      <w:pPr>
        <w:spacing w:line="349" w:lineRule="exact"/>
        <w:rPr>
          <w:rFonts w:ascii="Tms Rmn" w:hAnsi="Tms Rmn" w:cs="Tms Rmn"/>
          <w:sz w:val="28"/>
          <w:szCs w:val="28"/>
        </w:rPr>
      </w:pPr>
      <w:r>
        <w:rPr>
          <w:rFonts w:ascii="Tms Rmn" w:hAnsi="Tms Rmn" w:cs="Tms Rmn"/>
          <w:sz w:val="28"/>
          <w:szCs w:val="28"/>
        </w:rPr>
        <w:t>18402 N 19</w:t>
      </w:r>
      <w:r>
        <w:rPr>
          <w:rFonts w:ascii="Tms Rmn" w:hAnsi="Tms Rmn" w:cs="Tms Rmn"/>
          <w:sz w:val="28"/>
          <w:szCs w:val="28"/>
          <w:vertAlign w:val="superscript"/>
        </w:rPr>
        <w:t>th</w:t>
      </w:r>
      <w:r>
        <w:rPr>
          <w:rFonts w:ascii="Tms Rmn" w:hAnsi="Tms Rmn" w:cs="Tms Rmn"/>
          <w:sz w:val="28"/>
          <w:szCs w:val="28"/>
        </w:rPr>
        <w:t xml:space="preserve"> Ave, #109</w:t>
      </w:r>
    </w:p>
    <w:p w:rsidR="00F03D72" w:rsidRDefault="00F03D72">
      <w:pPr>
        <w:spacing w:line="349" w:lineRule="exact"/>
        <w:rPr>
          <w:rFonts w:ascii="Tms Rmn" w:hAnsi="Tms Rmn" w:cs="Tms Rmn"/>
          <w:sz w:val="28"/>
          <w:szCs w:val="28"/>
        </w:rPr>
      </w:pPr>
      <w:r>
        <w:rPr>
          <w:rFonts w:ascii="Tms Rmn" w:hAnsi="Tms Rmn" w:cs="Tms Rmn"/>
          <w:sz w:val="28"/>
          <w:szCs w:val="28"/>
        </w:rPr>
        <w:t>Phoenix, AZ 85023</w:t>
      </w:r>
    </w:p>
    <w:p w:rsidR="00F03D72" w:rsidRDefault="00F03D72">
      <w:pPr>
        <w:spacing w:line="349" w:lineRule="exact"/>
        <w:rPr>
          <w:sz w:val="28"/>
          <w:szCs w:val="28"/>
        </w:rPr>
      </w:pPr>
      <w:r>
        <w:rPr>
          <w:sz w:val="28"/>
          <w:szCs w:val="28"/>
        </w:rPr>
        <w:t>mppalmer@aol.com</w:t>
      </w:r>
    </w:p>
    <w:p w:rsidR="00F03D72" w:rsidRDefault="00F03D72">
      <w:pPr>
        <w:spacing w:line="349" w:lineRule="exact"/>
        <w:rPr>
          <w:sz w:val="28"/>
          <w:szCs w:val="28"/>
        </w:rPr>
      </w:pPr>
    </w:p>
    <w:p w:rsidR="00F03D72" w:rsidRDefault="00F03D72">
      <w:pPr>
        <w:spacing w:line="349" w:lineRule="exact"/>
        <w:jc w:val="center"/>
        <w:rPr>
          <w:b/>
          <w:bCs/>
          <w:sz w:val="28"/>
          <w:szCs w:val="28"/>
        </w:rPr>
      </w:pPr>
      <w:r>
        <w:rPr>
          <w:b/>
          <w:bCs/>
          <w:sz w:val="28"/>
          <w:szCs w:val="28"/>
        </w:rPr>
        <w:t>IN THE SUPREME COURT</w:t>
      </w:r>
    </w:p>
    <w:p w:rsidR="00F03D72" w:rsidRDefault="00F03D72">
      <w:pPr>
        <w:spacing w:line="349" w:lineRule="exact"/>
        <w:jc w:val="center"/>
        <w:rPr>
          <w:sz w:val="28"/>
          <w:szCs w:val="28"/>
        </w:rPr>
      </w:pPr>
      <w:r>
        <w:rPr>
          <w:b/>
          <w:bCs/>
          <w:sz w:val="28"/>
          <w:szCs w:val="28"/>
        </w:rPr>
        <w:t>STATE OF ARIZONA</w:t>
      </w:r>
    </w:p>
    <w:p w:rsidR="00F03D72" w:rsidRDefault="00F03D72">
      <w:pPr>
        <w:spacing w:line="349" w:lineRule="exact"/>
        <w:rPr>
          <w:sz w:val="28"/>
          <w:szCs w:val="28"/>
        </w:rPr>
      </w:pPr>
    </w:p>
    <w:tbl>
      <w:tblPr>
        <w:tblW w:w="0" w:type="auto"/>
        <w:jc w:val="center"/>
        <w:tblLayout w:type="fixed"/>
        <w:tblCellMar>
          <w:left w:w="120" w:type="dxa"/>
          <w:right w:w="120" w:type="dxa"/>
        </w:tblCellMar>
        <w:tblLook w:val="0000" w:firstRow="0" w:lastRow="0" w:firstColumn="0" w:lastColumn="0" w:noHBand="0" w:noVBand="0"/>
      </w:tblPr>
      <w:tblGrid>
        <w:gridCol w:w="4860"/>
        <w:gridCol w:w="4500"/>
      </w:tblGrid>
      <w:tr w:rsidR="00F03D72">
        <w:tblPrEx>
          <w:tblCellMar>
            <w:top w:w="0" w:type="dxa"/>
            <w:bottom w:w="0" w:type="dxa"/>
          </w:tblCellMar>
        </w:tblPrEx>
        <w:trPr>
          <w:jc w:val="center"/>
        </w:trPr>
        <w:tc>
          <w:tcPr>
            <w:tcW w:w="4860" w:type="dxa"/>
            <w:tcBorders>
              <w:top w:val="single" w:sz="6" w:space="0" w:color="FFFFFF"/>
              <w:left w:val="single" w:sz="6" w:space="0" w:color="FFFFFF"/>
              <w:bottom w:val="single" w:sz="20" w:space="0" w:color="000000"/>
              <w:right w:val="single" w:sz="20" w:space="0" w:color="000000"/>
            </w:tcBorders>
          </w:tcPr>
          <w:p w:rsidR="00F03D72" w:rsidRDefault="00F03D72">
            <w:pPr>
              <w:spacing w:line="120" w:lineRule="exact"/>
              <w:rPr>
                <w:sz w:val="28"/>
                <w:szCs w:val="28"/>
              </w:rPr>
            </w:pPr>
          </w:p>
          <w:p w:rsidR="00F03D72" w:rsidRDefault="00F03D72">
            <w:pPr>
              <w:spacing w:line="418" w:lineRule="exact"/>
              <w:rPr>
                <w:sz w:val="28"/>
                <w:szCs w:val="28"/>
              </w:rPr>
            </w:pPr>
          </w:p>
          <w:p w:rsidR="00F03D72" w:rsidRDefault="00F03D72">
            <w:pPr>
              <w:spacing w:line="291" w:lineRule="exact"/>
              <w:rPr>
                <w:sz w:val="28"/>
                <w:szCs w:val="28"/>
              </w:rPr>
            </w:pPr>
            <w:r>
              <w:rPr>
                <w:sz w:val="28"/>
                <w:szCs w:val="28"/>
              </w:rPr>
              <w:t>In the Matter of:</w:t>
            </w:r>
          </w:p>
          <w:p w:rsidR="00F03D72" w:rsidRDefault="00F03D72">
            <w:pPr>
              <w:spacing w:line="349" w:lineRule="exact"/>
              <w:rPr>
                <w:sz w:val="28"/>
                <w:szCs w:val="28"/>
              </w:rPr>
            </w:pPr>
          </w:p>
          <w:p w:rsidR="00F03D72" w:rsidRDefault="00F03D72">
            <w:pPr>
              <w:spacing w:line="291" w:lineRule="exact"/>
              <w:rPr>
                <w:sz w:val="28"/>
                <w:szCs w:val="28"/>
              </w:rPr>
            </w:pPr>
            <w:r>
              <w:rPr>
                <w:sz w:val="28"/>
                <w:szCs w:val="28"/>
              </w:rPr>
              <w:t>PETITION TO ABROGATE RULE 25(g) OF THE ARIZONA RULES OF PROTECTIVE ORDER PROCEDURE</w:t>
            </w:r>
          </w:p>
          <w:p w:rsidR="00F03D72" w:rsidRDefault="00F03D72">
            <w:pPr>
              <w:spacing w:after="58" w:line="291"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F03D72" w:rsidRDefault="00F03D72">
            <w:pPr>
              <w:spacing w:line="120" w:lineRule="exact"/>
              <w:rPr>
                <w:sz w:val="28"/>
                <w:szCs w:val="28"/>
              </w:rPr>
            </w:pPr>
          </w:p>
          <w:p w:rsidR="00F03D72" w:rsidRDefault="00F03D72">
            <w:pPr>
              <w:spacing w:line="291" w:lineRule="exact"/>
              <w:rPr>
                <w:rFonts w:ascii="Tms Rmn" w:hAnsi="Tms Rmn" w:cs="Tms Rmn"/>
                <w:sz w:val="28"/>
                <w:szCs w:val="28"/>
              </w:rPr>
            </w:pPr>
            <w:r>
              <w:rPr>
                <w:rFonts w:ascii="Tms Rmn" w:hAnsi="Tms Rmn" w:cs="Tms Rmn"/>
                <w:sz w:val="28"/>
                <w:szCs w:val="28"/>
              </w:rPr>
              <w:t xml:space="preserve"> </w:t>
            </w:r>
          </w:p>
          <w:p w:rsidR="00F03D72" w:rsidRDefault="00F03D72">
            <w:pPr>
              <w:spacing w:line="291" w:lineRule="exact"/>
              <w:rPr>
                <w:rFonts w:ascii="Tms Rmn" w:hAnsi="Tms Rmn" w:cs="Tms Rmn"/>
                <w:sz w:val="28"/>
                <w:szCs w:val="28"/>
              </w:rPr>
            </w:pPr>
            <w:r>
              <w:rPr>
                <w:rFonts w:ascii="Tms Rmn" w:hAnsi="Tms Rmn" w:cs="Tms Rmn"/>
                <w:sz w:val="28"/>
                <w:szCs w:val="28"/>
              </w:rPr>
              <w:t>Supreme Court No. R</w:t>
            </w:r>
            <w:r>
              <w:rPr>
                <w:rFonts w:ascii="Tms Rmn" w:hAnsi="Tms Rmn" w:cs="Tms Rmn"/>
                <w:sz w:val="28"/>
                <w:szCs w:val="28"/>
              </w:rPr>
              <w:noBreakHyphen/>
              <w:t>26</w:t>
            </w:r>
            <w:r>
              <w:rPr>
                <w:rFonts w:ascii="Tms Rmn" w:hAnsi="Tms Rmn" w:cs="Tms Rmn"/>
                <w:sz w:val="28"/>
                <w:szCs w:val="28"/>
              </w:rPr>
              <w:noBreakHyphen/>
              <w:t>0013</w:t>
            </w:r>
          </w:p>
          <w:p w:rsidR="00F03D72" w:rsidRDefault="00F03D72">
            <w:pPr>
              <w:spacing w:line="291" w:lineRule="exact"/>
              <w:rPr>
                <w:rFonts w:ascii="Tms Rmn" w:hAnsi="Tms Rmn" w:cs="Tms Rmn"/>
                <w:sz w:val="28"/>
                <w:szCs w:val="28"/>
              </w:rPr>
            </w:pPr>
          </w:p>
          <w:p w:rsidR="00F03D72" w:rsidRDefault="00F03D72">
            <w:pPr>
              <w:spacing w:after="58" w:line="291" w:lineRule="exact"/>
              <w:rPr>
                <w:sz w:val="28"/>
                <w:szCs w:val="28"/>
              </w:rPr>
            </w:pPr>
            <w:r>
              <w:rPr>
                <w:b/>
                <w:bCs/>
                <w:sz w:val="28"/>
                <w:szCs w:val="28"/>
              </w:rPr>
              <w:t>Petitioner's Reply</w:t>
            </w:r>
          </w:p>
        </w:tc>
      </w:tr>
    </w:tbl>
    <w:p w:rsidR="00F03D72" w:rsidRDefault="00F03D72">
      <w:pPr>
        <w:spacing w:line="291" w:lineRule="exact"/>
        <w:ind w:firstLine="720"/>
        <w:rPr>
          <w:sz w:val="28"/>
          <w:szCs w:val="28"/>
        </w:rPr>
      </w:pPr>
    </w:p>
    <w:p w:rsidR="00F03D72" w:rsidRDefault="00F03D72">
      <w:pPr>
        <w:tabs>
          <w:tab w:val="left" w:pos="-1440"/>
        </w:tabs>
        <w:spacing w:line="582" w:lineRule="exact"/>
        <w:ind w:left="720" w:hanging="720"/>
        <w:rPr>
          <w:sz w:val="28"/>
          <w:szCs w:val="28"/>
        </w:rPr>
      </w:pPr>
      <w:r>
        <w:rPr>
          <w:b/>
          <w:bCs/>
          <w:sz w:val="28"/>
          <w:szCs w:val="28"/>
          <w:u w:val="single"/>
        </w:rPr>
        <w:t>I.</w:t>
      </w:r>
      <w:r>
        <w:rPr>
          <w:b/>
          <w:bCs/>
          <w:sz w:val="28"/>
          <w:szCs w:val="28"/>
          <w:u w:val="single"/>
        </w:rPr>
        <w:tab/>
        <w:t>PREFACE</w:t>
      </w:r>
    </w:p>
    <w:p w:rsidR="00F03D72" w:rsidRDefault="00F03D72">
      <w:pPr>
        <w:spacing w:line="582" w:lineRule="exact"/>
        <w:ind w:firstLine="720"/>
        <w:rPr>
          <w:sz w:val="28"/>
          <w:szCs w:val="28"/>
        </w:rPr>
      </w:pPr>
      <w:r>
        <w:rPr>
          <w:sz w:val="28"/>
          <w:szCs w:val="28"/>
        </w:rPr>
        <w:t xml:space="preserve">Since this Court, in the interest of justice, recently allowed petitioners in civil Injunctions against Harassment to amend their petitions at the last minute at contested hearings without objection (see new ARPOP Rule 38(d)), and since this is a petition made in the interest of justice regarding civil Injunctions against Harassment, I trust that there will be no objection to my amending my petition at this time. </w:t>
      </w:r>
    </w:p>
    <w:p w:rsidR="00F03D72" w:rsidRDefault="00F03D72">
      <w:pPr>
        <w:tabs>
          <w:tab w:val="left" w:pos="-1440"/>
        </w:tabs>
        <w:spacing w:line="582" w:lineRule="exact"/>
        <w:ind w:left="720" w:hanging="720"/>
        <w:rPr>
          <w:sz w:val="28"/>
          <w:szCs w:val="28"/>
        </w:rPr>
      </w:pPr>
      <w:r>
        <w:rPr>
          <w:b/>
          <w:bCs/>
          <w:sz w:val="28"/>
          <w:szCs w:val="28"/>
          <w:u w:val="single"/>
        </w:rPr>
        <w:t>II</w:t>
      </w:r>
      <w:r>
        <w:rPr>
          <w:b/>
          <w:bCs/>
          <w:sz w:val="28"/>
          <w:szCs w:val="28"/>
          <w:u w:val="single"/>
        </w:rPr>
        <w:tab/>
        <w:t>INTRODUCTION</w:t>
      </w:r>
    </w:p>
    <w:p w:rsidR="00F03D72" w:rsidRDefault="00F03D72">
      <w:pPr>
        <w:tabs>
          <w:tab w:val="left" w:pos="-1440"/>
        </w:tabs>
        <w:spacing w:line="582" w:lineRule="exact"/>
        <w:ind w:left="720" w:hanging="720"/>
        <w:rPr>
          <w:sz w:val="28"/>
          <w:szCs w:val="28"/>
        </w:rPr>
        <w:sectPr w:rsidR="00F03D72">
          <w:pgSz w:w="12240" w:h="15840"/>
          <w:pgMar w:top="1440" w:right="1440" w:bottom="1440" w:left="1440" w:header="1440" w:footer="1440" w:gutter="0"/>
          <w:cols w:space="720"/>
          <w:noEndnote/>
        </w:sectPr>
      </w:pPr>
    </w:p>
    <w:p w:rsidR="00F03D72" w:rsidRDefault="00F03D72">
      <w:pPr>
        <w:spacing w:line="582" w:lineRule="exact"/>
        <w:ind w:firstLine="720"/>
        <w:rPr>
          <w:sz w:val="28"/>
          <w:szCs w:val="28"/>
        </w:rPr>
      </w:pPr>
      <w:r>
        <w:rPr>
          <w:sz w:val="28"/>
          <w:szCs w:val="28"/>
        </w:rPr>
        <w:lastRenderedPageBreak/>
        <w:t xml:space="preserve">I add five new points in my petition for this Court to consider. 1) I overlooked last year’s failed HB 2211 in my initial petition. I add it now to further my case. 2) In February of this year, a month after I filed my Petition, President Trump instituted a Second Amendment Rights Section in the Department of </w:t>
      </w:r>
      <w:r>
        <w:rPr>
          <w:sz w:val="28"/>
          <w:szCs w:val="28"/>
        </w:rPr>
        <w:lastRenderedPageBreak/>
        <w:t>Justice’s Civil Rights Division. I add my correspondence to/from the Division about Rule 25(g) to my petition. 3) On May 1, The Maricopa County Sheriff’s Office commented on the CIDVC’s sweeping in-court legislation proposed in R</w:t>
      </w:r>
      <w:r>
        <w:rPr>
          <w:sz w:val="28"/>
          <w:szCs w:val="28"/>
        </w:rPr>
        <w:noBreakHyphen/>
        <w:t>26</w:t>
      </w:r>
      <w:r>
        <w:rPr>
          <w:sz w:val="28"/>
          <w:szCs w:val="28"/>
        </w:rPr>
        <w:noBreakHyphen/>
        <w:t xml:space="preserve">0004. The MCSO made the point that I’ve been making, saying “The proposed rules blur the line between </w:t>
      </w:r>
      <w:r>
        <w:rPr>
          <w:b/>
          <w:bCs/>
          <w:sz w:val="28"/>
          <w:szCs w:val="28"/>
        </w:rPr>
        <w:t xml:space="preserve">civil court orders </w:t>
      </w:r>
      <w:r>
        <w:rPr>
          <w:sz w:val="28"/>
          <w:szCs w:val="28"/>
        </w:rPr>
        <w:t>and criminal enforcement authority.” 4) Later in May, the Justices of the Texas Supreme Court upheld their State Constitution’s “absolute right to keep and bear arms” in a protective order case. I add it as an example for you all to follow. 5) Last week, an eighth prosecutor in Virginia announced that he would not enforce Virginia’s recent new gun-ban laws because they are “unconstitutional on their face.”</w:t>
      </w:r>
    </w:p>
    <w:p w:rsidR="00F03D72" w:rsidRDefault="00F03D72">
      <w:pPr>
        <w:tabs>
          <w:tab w:val="left" w:pos="-1440"/>
        </w:tabs>
        <w:spacing w:line="582" w:lineRule="exact"/>
        <w:ind w:left="1440" w:hanging="720"/>
        <w:rPr>
          <w:sz w:val="28"/>
          <w:szCs w:val="28"/>
        </w:rPr>
      </w:pPr>
      <w:r>
        <w:rPr>
          <w:b/>
          <w:bCs/>
          <w:sz w:val="28"/>
          <w:szCs w:val="28"/>
          <w:u w:val="single"/>
        </w:rPr>
        <w:t>A.</w:t>
      </w:r>
      <w:r>
        <w:rPr>
          <w:b/>
          <w:bCs/>
          <w:sz w:val="28"/>
          <w:szCs w:val="28"/>
          <w:u w:val="single"/>
        </w:rPr>
        <w:tab/>
        <w:t>Failed HB 2211</w:t>
      </w:r>
    </w:p>
    <w:p w:rsidR="00F03D72" w:rsidRDefault="00F03D72">
      <w:pPr>
        <w:spacing w:line="582" w:lineRule="exact"/>
        <w:ind w:firstLine="720"/>
        <w:rPr>
          <w:sz w:val="28"/>
          <w:szCs w:val="28"/>
        </w:rPr>
      </w:pPr>
      <w:r>
        <w:rPr>
          <w:sz w:val="28"/>
          <w:szCs w:val="28"/>
        </w:rPr>
        <w:t>In my petition, I cited last year’s proposed House Bill 2512, whose abject failure (it never made it out of Committee) proved that it was still not our Legislature’s intent to smear domestic firearm prohibition law over onto civil IAH’s. Which Rule 25(g) does.</w:t>
      </w:r>
    </w:p>
    <w:p w:rsidR="00F03D72" w:rsidRDefault="00F03D72">
      <w:pPr>
        <w:spacing w:line="582" w:lineRule="exact"/>
        <w:ind w:firstLine="720"/>
        <w:rPr>
          <w:sz w:val="28"/>
          <w:szCs w:val="28"/>
        </w:rPr>
      </w:pPr>
      <w:r>
        <w:rPr>
          <w:sz w:val="28"/>
          <w:szCs w:val="28"/>
        </w:rPr>
        <w:t>To this I add last year’s also failed HB 2211. (See Appendix.)</w:t>
      </w:r>
    </w:p>
    <w:p w:rsidR="00F03D72" w:rsidRDefault="00F03D72">
      <w:pPr>
        <w:spacing w:line="582" w:lineRule="exact"/>
        <w:ind w:firstLine="720"/>
        <w:rPr>
          <w:sz w:val="28"/>
          <w:szCs w:val="28"/>
        </w:rPr>
      </w:pPr>
      <w:r>
        <w:rPr>
          <w:sz w:val="28"/>
          <w:szCs w:val="28"/>
        </w:rPr>
        <w:t>This bill sought to create two new laws to Title 12, the same Section in which our only law governing civil Injunction against Harassment (§12-1809) resides. Thus, these new laws regarding Injunctions would have been civil also. (As opposed to criminal.)</w:t>
      </w:r>
    </w:p>
    <w:p w:rsidR="00F03D72" w:rsidRDefault="00F03D72">
      <w:pPr>
        <w:spacing w:line="582" w:lineRule="exact"/>
        <w:ind w:firstLine="720"/>
        <w:rPr>
          <w:sz w:val="28"/>
          <w:szCs w:val="28"/>
        </w:rPr>
      </w:pPr>
      <w:r>
        <w:rPr>
          <w:sz w:val="28"/>
          <w:szCs w:val="28"/>
        </w:rPr>
        <w:t>Specifically, the Bill sought to create §§12-1881 and -1882, Severe Threat Order of Protection law. (A.k.a. “STOP.”)</w:t>
      </w:r>
      <w:r>
        <w:rPr>
          <w:sz w:val="28"/>
          <w:szCs w:val="28"/>
        </w:rPr>
        <w:tab/>
      </w:r>
    </w:p>
    <w:p w:rsidR="00F03D72" w:rsidRDefault="00F03D72">
      <w:pPr>
        <w:spacing w:line="582" w:lineRule="exact"/>
        <w:ind w:firstLine="720"/>
        <w:rPr>
          <w:sz w:val="28"/>
          <w:szCs w:val="28"/>
        </w:rPr>
        <w:sectPr w:rsidR="00F03D72">
          <w:footerReference w:type="default" r:id="rId6"/>
          <w:type w:val="continuous"/>
          <w:pgSz w:w="12240" w:h="15840"/>
          <w:pgMar w:top="1440" w:right="1440" w:bottom="990" w:left="1440" w:header="1440" w:footer="990" w:gutter="0"/>
          <w:cols w:space="720"/>
          <w:noEndnote/>
        </w:sectPr>
      </w:pPr>
    </w:p>
    <w:p w:rsidR="00F03D72" w:rsidRDefault="00F03D72">
      <w:pPr>
        <w:spacing w:line="582" w:lineRule="exact"/>
        <w:ind w:firstLine="720"/>
        <w:rPr>
          <w:sz w:val="28"/>
          <w:szCs w:val="28"/>
        </w:rPr>
      </w:pPr>
      <w:r>
        <w:rPr>
          <w:sz w:val="28"/>
          <w:szCs w:val="28"/>
        </w:rPr>
        <w:lastRenderedPageBreak/>
        <w:t>Although a Severe Threat Order of Protection is a civil Injunction against Harassment, and although we already have a law governing civil IAH’s, these new proposed laws were distinct in that</w:t>
      </w:r>
      <w:r>
        <w:rPr>
          <w:b/>
          <w:bCs/>
          <w:sz w:val="28"/>
          <w:szCs w:val="28"/>
        </w:rPr>
        <w:t xml:space="preserve"> they specifically provided for prohibiting defendants in these civil IAH’s from possessing firearms</w:t>
      </w:r>
      <w:r>
        <w:rPr>
          <w:sz w:val="28"/>
          <w:szCs w:val="28"/>
        </w:rPr>
        <w:t>. (Whereas the current law does not say anything about firearms.) Just look at all the new language (in blue) that they had to add to codify seizure of firearms! None of this language is in §12-1809.</w:t>
      </w:r>
    </w:p>
    <w:p w:rsidR="00F03D72" w:rsidRDefault="00F03D72">
      <w:pPr>
        <w:spacing w:line="582" w:lineRule="exact"/>
        <w:ind w:firstLine="720"/>
        <w:rPr>
          <w:sz w:val="28"/>
          <w:szCs w:val="28"/>
        </w:rPr>
      </w:pPr>
      <w:r>
        <w:rPr>
          <w:sz w:val="28"/>
          <w:szCs w:val="28"/>
        </w:rPr>
        <w:t xml:space="preserve">So if, as some claim, A.R.S. §12-1809 already allows a judicial officer to make a defendant a prohibited possessor in civil IAH’s, then why did some legislators spend so much time, energy and taxpayers’ money creating so much new language in HB 2211? If §12-1809 already allows judges to make defendants prohibited possessors, then HB 2211 was superfluous. </w:t>
      </w:r>
    </w:p>
    <w:p w:rsidR="00F03D72" w:rsidRDefault="00F03D72">
      <w:pPr>
        <w:spacing w:line="582" w:lineRule="exact"/>
        <w:ind w:firstLine="720"/>
        <w:rPr>
          <w:sz w:val="28"/>
          <w:szCs w:val="28"/>
        </w:rPr>
      </w:pPr>
      <w:r>
        <w:rPr>
          <w:sz w:val="28"/>
          <w:szCs w:val="28"/>
        </w:rPr>
        <w:t xml:space="preserve">But “we presume that the legislature does not enact superfluous or reiterative legislation.” </w:t>
      </w:r>
      <w:r>
        <w:rPr>
          <w:i/>
          <w:iCs/>
          <w:sz w:val="28"/>
          <w:szCs w:val="28"/>
        </w:rPr>
        <w:t>(Blevins v. Government Employees Ins. Co.</w:t>
      </w:r>
      <w:r>
        <w:rPr>
          <w:sz w:val="28"/>
          <w:szCs w:val="28"/>
        </w:rPr>
        <w:t xml:space="preserve">, 258 P. 3d 274 </w:t>
      </w:r>
      <w:r>
        <w:rPr>
          <w:sz w:val="28"/>
          <w:szCs w:val="28"/>
        </w:rPr>
        <w:noBreakHyphen/>
        <w:t xml:space="preserve"> Ariz: Court of Appeals, 1st Div., Dept. C 2011.) Therefore, they drafted HB 2211 because A.R.S. §12-1809 does NOT allow a judge to make defendants in civil IAH’s prohibit possessors. They knew this. And they knew they needed new law to allow for this.</w:t>
      </w:r>
    </w:p>
    <w:p w:rsidR="00F03D72" w:rsidRDefault="00F03D72">
      <w:pPr>
        <w:spacing w:line="582" w:lineRule="exact"/>
        <w:ind w:firstLine="720"/>
        <w:rPr>
          <w:sz w:val="28"/>
          <w:szCs w:val="28"/>
        </w:rPr>
      </w:pPr>
      <w:r>
        <w:rPr>
          <w:sz w:val="28"/>
          <w:szCs w:val="28"/>
        </w:rPr>
        <w:t>But like its sister Bill HB 2512, this Bill’s abject failure proves again that the Legislature does not want judges to prohibit the possession of firearms in civil IAH’s, contrary to this Court’s personal policy of Rule 25(g).</w:t>
      </w:r>
    </w:p>
    <w:p w:rsidR="00F03D72" w:rsidRDefault="00F03D72">
      <w:pPr>
        <w:spacing w:line="582" w:lineRule="exact"/>
        <w:ind w:firstLine="720"/>
        <w:rPr>
          <w:sz w:val="28"/>
          <w:szCs w:val="28"/>
        </w:rPr>
      </w:pPr>
    </w:p>
    <w:p w:rsidR="00F03D72" w:rsidRDefault="00F03D72">
      <w:pPr>
        <w:spacing w:line="582" w:lineRule="exact"/>
        <w:ind w:firstLine="720"/>
        <w:rPr>
          <w:sz w:val="28"/>
          <w:szCs w:val="28"/>
        </w:rPr>
        <w:sectPr w:rsidR="00F03D72">
          <w:type w:val="continuous"/>
          <w:pgSz w:w="12240" w:h="15840"/>
          <w:pgMar w:top="1440" w:right="1440" w:bottom="990" w:left="1440" w:header="1440" w:footer="990" w:gutter="0"/>
          <w:cols w:space="720"/>
          <w:noEndnote/>
        </w:sectPr>
      </w:pPr>
    </w:p>
    <w:p w:rsidR="00F03D72" w:rsidRDefault="00F03D72">
      <w:pPr>
        <w:tabs>
          <w:tab w:val="left" w:pos="-1440"/>
        </w:tabs>
        <w:spacing w:line="582" w:lineRule="exact"/>
        <w:ind w:left="1440" w:hanging="720"/>
        <w:rPr>
          <w:sz w:val="28"/>
          <w:szCs w:val="28"/>
        </w:rPr>
      </w:pPr>
      <w:r>
        <w:rPr>
          <w:b/>
          <w:bCs/>
          <w:sz w:val="28"/>
          <w:szCs w:val="28"/>
          <w:u w:val="single"/>
        </w:rPr>
        <w:lastRenderedPageBreak/>
        <w:t>B.</w:t>
      </w:r>
      <w:r>
        <w:rPr>
          <w:b/>
          <w:bCs/>
          <w:sz w:val="28"/>
          <w:szCs w:val="28"/>
          <w:u w:val="single"/>
        </w:rPr>
        <w:tab/>
        <w:t>The DOJ’s new Second Amendment Rights Section</w:t>
      </w:r>
    </w:p>
    <w:p w:rsidR="00F03D72" w:rsidRDefault="00F03D72">
      <w:pPr>
        <w:spacing w:line="582" w:lineRule="exact"/>
        <w:ind w:firstLine="720"/>
        <w:rPr>
          <w:sz w:val="28"/>
          <w:szCs w:val="28"/>
        </w:rPr>
      </w:pPr>
      <w:r>
        <w:rPr>
          <w:sz w:val="28"/>
          <w:szCs w:val="28"/>
        </w:rPr>
        <w:t xml:space="preserve">After I filed my petition in January, President Trump formed a Second Amendment Rights Section in the DOJ. </w:t>
      </w:r>
    </w:p>
    <w:p w:rsidR="00F03D72" w:rsidRDefault="00F03D72">
      <w:pPr>
        <w:spacing w:line="582" w:lineRule="exact"/>
        <w:ind w:firstLine="720"/>
        <w:rPr>
          <w:sz w:val="28"/>
          <w:szCs w:val="28"/>
        </w:rPr>
      </w:pPr>
      <w:r>
        <w:rPr>
          <w:sz w:val="28"/>
          <w:szCs w:val="28"/>
        </w:rPr>
        <w:t xml:space="preserve">Why? Because the President of the United States sees that some officials in this country willfully violate the Second Amendment right of Americans. </w:t>
      </w:r>
    </w:p>
    <w:p w:rsidR="00F03D72" w:rsidRDefault="00F03D72">
      <w:pPr>
        <w:spacing w:line="582" w:lineRule="exact"/>
        <w:ind w:firstLine="720"/>
        <w:rPr>
          <w:sz w:val="28"/>
          <w:szCs w:val="28"/>
        </w:rPr>
      </w:pPr>
      <w:r>
        <w:rPr>
          <w:sz w:val="28"/>
          <w:szCs w:val="28"/>
        </w:rPr>
        <w:t>The new Second Amendment Rights Section has been very active in going after several states already. So I wrote to both Harmeet Dhillon (Assistant AG of the Civil Rights Division) and Andrew Darlington (Acting Chief of the Second Amendment Rights Section) about Rule 25(g).</w:t>
      </w:r>
    </w:p>
    <w:p w:rsidR="00F03D72" w:rsidRDefault="00F03D72">
      <w:pPr>
        <w:spacing w:line="582" w:lineRule="exact"/>
        <w:ind w:firstLine="720"/>
        <w:rPr>
          <w:sz w:val="28"/>
          <w:szCs w:val="28"/>
        </w:rPr>
      </w:pPr>
      <w:r>
        <w:rPr>
          <w:sz w:val="28"/>
          <w:szCs w:val="28"/>
        </w:rPr>
        <w:t>In my letters I said “I'm writing to ask your help to ‘encourage’ the justices of the Arizona Supreme Court to repeal their Red Flag ‘law.’ Yep, you read that right. Even though Arizona doesn't have a Red Flag Law (even Google</w:t>
      </w:r>
    </w:p>
    <w:p w:rsidR="00F03D72" w:rsidRDefault="00F03D72">
      <w:pPr>
        <w:spacing w:line="582" w:lineRule="exact"/>
        <w:rPr>
          <w:sz w:val="28"/>
          <w:szCs w:val="28"/>
        </w:rPr>
      </w:pPr>
      <w:r>
        <w:rPr>
          <w:sz w:val="28"/>
          <w:szCs w:val="28"/>
        </w:rPr>
        <w:t>AI knows this), the justices here have made up their own Red Flag ‘law’ via a Rule of Procedure.”</w:t>
      </w:r>
    </w:p>
    <w:p w:rsidR="00F03D72" w:rsidRDefault="00F03D72">
      <w:pPr>
        <w:spacing w:line="582" w:lineRule="exact"/>
        <w:ind w:firstLine="720"/>
        <w:rPr>
          <w:sz w:val="28"/>
          <w:szCs w:val="28"/>
        </w:rPr>
      </w:pPr>
      <w:r>
        <w:rPr>
          <w:sz w:val="28"/>
          <w:szCs w:val="28"/>
        </w:rPr>
        <w:t>In early April, I received an email informing me that my Report is in their system. (See Appendix.) I plan to keep the Section apprised regarding this Court’s ruling on my instant petition. And also apprised of this Court’s own in-house petition (via its CIVDC’s R</w:t>
      </w:r>
      <w:r>
        <w:rPr>
          <w:sz w:val="28"/>
          <w:szCs w:val="28"/>
        </w:rPr>
        <w:noBreakHyphen/>
        <w:t>26</w:t>
      </w:r>
      <w:r>
        <w:rPr>
          <w:sz w:val="28"/>
          <w:szCs w:val="28"/>
        </w:rPr>
        <w:noBreakHyphen/>
        <w:t>0004) to make more Rules of Procedure that violate the Second Amendment of the United States Constitution.</w:t>
      </w:r>
    </w:p>
    <w:p w:rsidR="00F03D72" w:rsidRDefault="00F03D72">
      <w:pPr>
        <w:tabs>
          <w:tab w:val="left" w:pos="-1440"/>
        </w:tabs>
        <w:spacing w:line="582" w:lineRule="exact"/>
        <w:ind w:left="1440" w:hanging="720"/>
        <w:rPr>
          <w:sz w:val="28"/>
          <w:szCs w:val="28"/>
        </w:rPr>
      </w:pPr>
      <w:r>
        <w:rPr>
          <w:b/>
          <w:bCs/>
          <w:sz w:val="28"/>
          <w:szCs w:val="28"/>
          <w:u w:val="single"/>
        </w:rPr>
        <w:t>C.</w:t>
      </w:r>
      <w:r>
        <w:rPr>
          <w:b/>
          <w:bCs/>
          <w:sz w:val="28"/>
          <w:szCs w:val="28"/>
          <w:u w:val="single"/>
        </w:rPr>
        <w:tab/>
        <w:t>The Maricopa County Sheriff weighs in</w:t>
      </w:r>
    </w:p>
    <w:p w:rsidR="00F03D72" w:rsidRDefault="00F03D72">
      <w:pPr>
        <w:tabs>
          <w:tab w:val="left" w:pos="-1440"/>
        </w:tabs>
        <w:spacing w:line="582" w:lineRule="exact"/>
        <w:ind w:left="1440" w:hanging="720"/>
        <w:rPr>
          <w:sz w:val="28"/>
          <w:szCs w:val="28"/>
        </w:rPr>
        <w:sectPr w:rsidR="00F03D72">
          <w:type w:val="continuous"/>
          <w:pgSz w:w="12240" w:h="15840"/>
          <w:pgMar w:top="1440" w:right="1440" w:bottom="990" w:left="1440" w:header="1440" w:footer="990" w:gutter="0"/>
          <w:cols w:space="720"/>
          <w:noEndnote/>
        </w:sectPr>
      </w:pPr>
    </w:p>
    <w:p w:rsidR="00F03D72" w:rsidRDefault="00F03D72">
      <w:pPr>
        <w:spacing w:line="582" w:lineRule="exact"/>
        <w:ind w:firstLine="720"/>
        <w:rPr>
          <w:sz w:val="28"/>
          <w:szCs w:val="28"/>
        </w:rPr>
      </w:pPr>
      <w:r>
        <w:rPr>
          <w:sz w:val="28"/>
          <w:szCs w:val="28"/>
        </w:rPr>
        <w:lastRenderedPageBreak/>
        <w:t>On May 1, the MCSO commented in opposition to the CIDVC’s proposed legislation of R</w:t>
      </w:r>
      <w:r>
        <w:rPr>
          <w:sz w:val="28"/>
          <w:szCs w:val="28"/>
        </w:rPr>
        <w:noBreakHyphen/>
        <w:t>26</w:t>
      </w:r>
      <w:r>
        <w:rPr>
          <w:sz w:val="28"/>
          <w:szCs w:val="28"/>
        </w:rPr>
        <w:noBreakHyphen/>
        <w:t xml:space="preserve">0004, which seeks to enlarge Rule 25(g). The MCSO correctly </w:t>
      </w:r>
      <w:r>
        <w:rPr>
          <w:sz w:val="28"/>
          <w:szCs w:val="28"/>
        </w:rPr>
        <w:lastRenderedPageBreak/>
        <w:t>pointed out that “While well</w:t>
      </w:r>
      <w:r>
        <w:rPr>
          <w:sz w:val="28"/>
          <w:szCs w:val="28"/>
        </w:rPr>
        <w:noBreakHyphen/>
        <w:t xml:space="preserve">intentioned, this expansion is likely to result in a substantial increase in firearm surrender </w:t>
      </w:r>
      <w:r>
        <w:rPr>
          <w:b/>
          <w:bCs/>
          <w:sz w:val="28"/>
          <w:szCs w:val="28"/>
        </w:rPr>
        <w:t>orders without corresponding statutory authority</w:t>
      </w:r>
      <w:r>
        <w:rPr>
          <w:sz w:val="28"/>
          <w:szCs w:val="28"/>
        </w:rPr>
        <w:t>...”</w:t>
      </w:r>
    </w:p>
    <w:p w:rsidR="00F03D72" w:rsidRDefault="00F03D72">
      <w:pPr>
        <w:spacing w:line="582" w:lineRule="exact"/>
        <w:ind w:firstLine="720"/>
        <w:rPr>
          <w:sz w:val="28"/>
          <w:szCs w:val="28"/>
        </w:rPr>
      </w:pPr>
      <w:r>
        <w:rPr>
          <w:sz w:val="28"/>
          <w:szCs w:val="28"/>
        </w:rPr>
        <w:t>“The proposed rules</w:t>
      </w:r>
      <w:r>
        <w:rPr>
          <w:b/>
          <w:bCs/>
          <w:sz w:val="28"/>
          <w:szCs w:val="28"/>
        </w:rPr>
        <w:t xml:space="preserve"> blur the line between civil court orders and criminal enforcement authority</w:t>
      </w:r>
      <w:r>
        <w:rPr>
          <w:sz w:val="28"/>
          <w:szCs w:val="28"/>
        </w:rPr>
        <w:t xml:space="preserve">, creating conditions that may undermine consistent and lawful enforcement. Deputies will be placed in </w:t>
      </w:r>
      <w:r>
        <w:rPr>
          <w:b/>
          <w:bCs/>
          <w:sz w:val="28"/>
          <w:szCs w:val="28"/>
        </w:rPr>
        <w:t xml:space="preserve">legally uncertain situations </w:t>
      </w:r>
      <w:r>
        <w:rPr>
          <w:sz w:val="28"/>
          <w:szCs w:val="28"/>
        </w:rPr>
        <w:t xml:space="preserve">involving: Determining the scope </w:t>
      </w:r>
      <w:r>
        <w:rPr>
          <w:b/>
          <w:bCs/>
          <w:sz w:val="28"/>
          <w:szCs w:val="28"/>
        </w:rPr>
        <w:t>of lawful seizure authority</w:t>
      </w:r>
      <w:r>
        <w:rPr>
          <w:sz w:val="28"/>
          <w:szCs w:val="28"/>
        </w:rPr>
        <w:t xml:space="preserve"> ...”</w:t>
      </w:r>
    </w:p>
    <w:p w:rsidR="00F03D72" w:rsidRDefault="00F03D72">
      <w:pPr>
        <w:spacing w:line="582" w:lineRule="exact"/>
        <w:ind w:firstLine="720"/>
        <w:rPr>
          <w:sz w:val="28"/>
          <w:szCs w:val="28"/>
        </w:rPr>
      </w:pPr>
      <w:r>
        <w:rPr>
          <w:sz w:val="28"/>
          <w:szCs w:val="28"/>
        </w:rPr>
        <w:t xml:space="preserve">“Law enforcement’s role is to enforce court orders as written. [No, law enforcement’s role is to enforce the Law. Has the MCSO forgotten Sheila Polk’s </w:t>
      </w:r>
      <w:r>
        <w:rPr>
          <w:i/>
          <w:iCs/>
          <w:sz w:val="28"/>
          <w:szCs w:val="28"/>
        </w:rPr>
        <w:t>Lessons from the Holocaust</w:t>
      </w:r>
      <w:r>
        <w:rPr>
          <w:sz w:val="28"/>
          <w:szCs w:val="28"/>
        </w:rPr>
        <w:t xml:space="preserve">? “I was just following (court) orders” is not a valid defense.] Effective enforcement </w:t>
      </w:r>
      <w:r>
        <w:rPr>
          <w:b/>
          <w:bCs/>
          <w:sz w:val="28"/>
          <w:szCs w:val="28"/>
        </w:rPr>
        <w:t>requires clear statutory authority</w:t>
      </w:r>
      <w:r>
        <w:rPr>
          <w:sz w:val="28"/>
          <w:szCs w:val="28"/>
        </w:rPr>
        <w:t>...”</w:t>
      </w:r>
    </w:p>
    <w:p w:rsidR="00F03D72" w:rsidRDefault="00F03D72">
      <w:pPr>
        <w:spacing w:line="582" w:lineRule="exact"/>
        <w:ind w:firstLine="720"/>
        <w:rPr>
          <w:b/>
          <w:bCs/>
          <w:sz w:val="28"/>
          <w:szCs w:val="28"/>
          <w:u w:val="single"/>
        </w:rPr>
      </w:pPr>
      <w:r>
        <w:rPr>
          <w:sz w:val="28"/>
          <w:szCs w:val="28"/>
        </w:rPr>
        <w:t>Since the MCSO sees that the CIDVC’s proposed supersized Rule 25(g) in petition # R</w:t>
      </w:r>
      <w:r>
        <w:rPr>
          <w:sz w:val="28"/>
          <w:szCs w:val="28"/>
        </w:rPr>
        <w:noBreakHyphen/>
        <w:t>26</w:t>
      </w:r>
      <w:r>
        <w:rPr>
          <w:sz w:val="28"/>
          <w:szCs w:val="28"/>
        </w:rPr>
        <w:noBreakHyphen/>
        <w:t>0004 there lacks statutory authority, so also does Rule 25(g) here lack authority.</w:t>
      </w:r>
    </w:p>
    <w:p w:rsidR="00F03D72" w:rsidRDefault="00F03D72">
      <w:pPr>
        <w:tabs>
          <w:tab w:val="left" w:pos="-1440"/>
        </w:tabs>
        <w:spacing w:line="582" w:lineRule="exact"/>
        <w:ind w:left="1440" w:hanging="720"/>
        <w:rPr>
          <w:sz w:val="28"/>
          <w:szCs w:val="28"/>
        </w:rPr>
      </w:pPr>
      <w:r>
        <w:rPr>
          <w:b/>
          <w:bCs/>
          <w:sz w:val="28"/>
          <w:szCs w:val="28"/>
          <w:u w:val="single"/>
        </w:rPr>
        <w:t>D.</w:t>
      </w:r>
      <w:r>
        <w:rPr>
          <w:b/>
          <w:bCs/>
          <w:sz w:val="28"/>
          <w:szCs w:val="28"/>
          <w:u w:val="single"/>
        </w:rPr>
        <w:tab/>
        <w:t>The Texas Supreme Court did the honorable thing</w:t>
      </w:r>
    </w:p>
    <w:p w:rsidR="00F03D72" w:rsidRDefault="00F03D72">
      <w:pPr>
        <w:spacing w:line="582" w:lineRule="exact"/>
        <w:ind w:firstLine="720"/>
        <w:rPr>
          <w:sz w:val="28"/>
          <w:szCs w:val="28"/>
        </w:rPr>
      </w:pPr>
      <w:r>
        <w:rPr>
          <w:sz w:val="28"/>
          <w:szCs w:val="28"/>
        </w:rPr>
        <w:t>A few weeks ago (early May) the Texas Supreme Court vacated a Second Amendment deprivation in a protective order matter that, unlike Rule 25(g), had actual statutory authority to prohibit firearms. (It was a DV-ish matter of criminal stalking.)</w:t>
      </w:r>
    </w:p>
    <w:p w:rsidR="00F03D72" w:rsidRDefault="00F03D72">
      <w:pPr>
        <w:spacing w:line="582" w:lineRule="exact"/>
        <w:ind w:firstLine="720"/>
        <w:rPr>
          <w:sz w:val="28"/>
          <w:szCs w:val="28"/>
        </w:rPr>
        <w:sectPr w:rsidR="00F03D72">
          <w:type w:val="continuous"/>
          <w:pgSz w:w="12240" w:h="15840"/>
          <w:pgMar w:top="1440" w:right="1440" w:bottom="990" w:left="1440" w:header="1440" w:footer="990" w:gutter="0"/>
          <w:cols w:space="720"/>
          <w:noEndnote/>
        </w:sectPr>
      </w:pPr>
    </w:p>
    <w:p w:rsidR="00F03D72" w:rsidRDefault="00F03D72">
      <w:pPr>
        <w:spacing w:line="582" w:lineRule="exact"/>
        <w:ind w:firstLine="720"/>
        <w:rPr>
          <w:sz w:val="28"/>
          <w:szCs w:val="28"/>
        </w:rPr>
      </w:pPr>
      <w:r>
        <w:rPr>
          <w:sz w:val="28"/>
          <w:szCs w:val="28"/>
        </w:rPr>
        <w:lastRenderedPageBreak/>
        <w:t>A lower court had prohibited the defendant from possessing firearms</w:t>
      </w:r>
      <w:r>
        <w:rPr>
          <w:b/>
          <w:bCs/>
          <w:sz w:val="28"/>
          <w:szCs w:val="28"/>
        </w:rPr>
        <w:t xml:space="preserve"> for life</w:t>
      </w:r>
      <w:r>
        <w:rPr>
          <w:sz w:val="28"/>
          <w:szCs w:val="28"/>
        </w:rPr>
        <w:t xml:space="preserve">. A court of appeals upheld the lifetime ban. But that was before the US Supreme Court’s ruling of </w:t>
      </w:r>
      <w:r>
        <w:rPr>
          <w:i/>
          <w:iCs/>
          <w:sz w:val="28"/>
          <w:szCs w:val="28"/>
        </w:rPr>
        <w:t>United States v. Rahimi</w:t>
      </w:r>
      <w:r>
        <w:rPr>
          <w:sz w:val="28"/>
          <w:szCs w:val="28"/>
        </w:rPr>
        <w:t>, 602 U.S. 680 (2024).</w:t>
      </w:r>
      <w:r>
        <w:rPr>
          <w:sz w:val="28"/>
          <w:szCs w:val="28"/>
        </w:rPr>
        <w:tab/>
      </w:r>
    </w:p>
    <w:p w:rsidR="00F03D72" w:rsidRDefault="00F03D72">
      <w:pPr>
        <w:spacing w:line="582" w:lineRule="exact"/>
        <w:ind w:firstLine="720"/>
        <w:rPr>
          <w:sz w:val="28"/>
          <w:szCs w:val="28"/>
        </w:rPr>
      </w:pPr>
      <w:r>
        <w:rPr>
          <w:sz w:val="28"/>
          <w:szCs w:val="28"/>
        </w:rPr>
        <w:lastRenderedPageBreak/>
        <w:t xml:space="preserve">So last month, the justices in Texas upheld the law by vacating the lifetime deprivation of the defendant’s Second Amendment right, noting among other things that “Even if Subchapter A passes Second Amendment muster, though, that's far from the end of the matter. After all, </w:t>
      </w:r>
      <w:r>
        <w:rPr>
          <w:b/>
          <w:bCs/>
          <w:sz w:val="28"/>
          <w:szCs w:val="28"/>
        </w:rPr>
        <w:t>Texas has its own Constitution</w:t>
      </w:r>
      <w:r>
        <w:rPr>
          <w:sz w:val="28"/>
          <w:szCs w:val="28"/>
        </w:rPr>
        <w:t>, which may provide different or greater protections. ... There's good reason to think it does.” (</w:t>
      </w:r>
      <w:r>
        <w:rPr>
          <w:i/>
          <w:iCs/>
          <w:sz w:val="28"/>
          <w:szCs w:val="28"/>
        </w:rPr>
        <w:t>Noyes v. State</w:t>
      </w:r>
      <w:r>
        <w:rPr>
          <w:sz w:val="28"/>
          <w:szCs w:val="28"/>
        </w:rPr>
        <w:t>, Tex: Supreme Court 2026, citation omitted.)</w:t>
      </w:r>
    </w:p>
    <w:p w:rsidR="00F03D72" w:rsidRDefault="00F03D72">
      <w:pPr>
        <w:spacing w:line="582" w:lineRule="exact"/>
        <w:ind w:firstLine="720"/>
        <w:rPr>
          <w:sz w:val="28"/>
          <w:szCs w:val="28"/>
        </w:rPr>
      </w:pPr>
      <w:r>
        <w:rPr>
          <w:sz w:val="28"/>
          <w:szCs w:val="28"/>
        </w:rPr>
        <w:t>Specifically, they said “The Arms Clause of the Texas Constitution guarantees as follows: ‘</w:t>
      </w:r>
      <w:r>
        <w:rPr>
          <w:b/>
          <w:bCs/>
          <w:sz w:val="28"/>
          <w:szCs w:val="28"/>
        </w:rPr>
        <w:t>Every citizen shall have the right to keep and bear arms in the lawful defence of himself or the State</w:t>
      </w:r>
      <w:r>
        <w:rPr>
          <w:sz w:val="28"/>
          <w:szCs w:val="28"/>
        </w:rPr>
        <w:t>; but the Legislature shall have power, by law, to regulate the wearing of arms, with a view to prevent crime.’”</w:t>
      </w:r>
    </w:p>
    <w:p w:rsidR="00F03D72" w:rsidRDefault="00F03D72">
      <w:pPr>
        <w:spacing w:line="582" w:lineRule="exact"/>
        <w:ind w:firstLine="720"/>
        <w:rPr>
          <w:sz w:val="28"/>
          <w:szCs w:val="28"/>
        </w:rPr>
      </w:pPr>
      <w:r>
        <w:rPr>
          <w:sz w:val="28"/>
          <w:szCs w:val="28"/>
        </w:rPr>
        <w:t>Compare and contrast this with the Bearing Arms Clause in our Arizona Constitution, that “</w:t>
      </w:r>
      <w:r>
        <w:rPr>
          <w:b/>
          <w:bCs/>
          <w:sz w:val="28"/>
          <w:szCs w:val="28"/>
        </w:rPr>
        <w:t>The right of the individual citizen to bear arms in defense of himself or the state shall not be impaired</w:t>
      </w:r>
      <w:r>
        <w:rPr>
          <w:sz w:val="28"/>
          <w:szCs w:val="28"/>
        </w:rPr>
        <w:t xml:space="preserve">.” Period. No exceptions absent criminality. (Art. II, § 26.) </w:t>
      </w:r>
    </w:p>
    <w:p w:rsidR="00F03D72" w:rsidRDefault="00F03D72">
      <w:pPr>
        <w:spacing w:line="582" w:lineRule="exact"/>
        <w:ind w:firstLine="720"/>
        <w:rPr>
          <w:sz w:val="28"/>
          <w:szCs w:val="28"/>
        </w:rPr>
      </w:pPr>
      <w:r>
        <w:rPr>
          <w:sz w:val="28"/>
          <w:szCs w:val="28"/>
        </w:rPr>
        <w:t>Given the absolute nature of the language in their Constitution, the justices in Texas concluded “In short, the Texas Constitution probably confers</w:t>
      </w:r>
      <w:r>
        <w:rPr>
          <w:b/>
          <w:bCs/>
          <w:sz w:val="28"/>
          <w:szCs w:val="28"/>
        </w:rPr>
        <w:t xml:space="preserve"> an absolute right </w:t>
      </w:r>
      <w:r>
        <w:rPr>
          <w:sz w:val="28"/>
          <w:szCs w:val="28"/>
        </w:rPr>
        <w:t>to keep and bear arms with the limited exception that the Legislature can regulate the wearing of arms to prevent crime.”</w:t>
      </w:r>
    </w:p>
    <w:p w:rsidR="00F03D72" w:rsidRDefault="00F03D72">
      <w:pPr>
        <w:spacing w:line="582" w:lineRule="exact"/>
        <w:ind w:firstLine="720"/>
        <w:rPr>
          <w:sz w:val="28"/>
          <w:szCs w:val="28"/>
        </w:rPr>
        <w:sectPr w:rsidR="00F03D72">
          <w:type w:val="continuous"/>
          <w:pgSz w:w="12240" w:h="15840"/>
          <w:pgMar w:top="1440" w:right="1440" w:bottom="990" w:left="1440" w:header="1440" w:footer="990" w:gutter="0"/>
          <w:cols w:space="720"/>
          <w:noEndnote/>
        </w:sectPr>
      </w:pPr>
    </w:p>
    <w:p w:rsidR="00F03D72" w:rsidRDefault="00F03D72">
      <w:pPr>
        <w:spacing w:line="582" w:lineRule="exact"/>
        <w:ind w:firstLine="720"/>
        <w:rPr>
          <w:sz w:val="28"/>
          <w:szCs w:val="28"/>
        </w:rPr>
      </w:pPr>
      <w:r>
        <w:rPr>
          <w:sz w:val="28"/>
          <w:szCs w:val="28"/>
        </w:rPr>
        <w:lastRenderedPageBreak/>
        <w:t xml:space="preserve">The case above was a criminal matter, where there was law to prohibit firearms for a time. In my instant petition, this is a civil matter, where there is no law to prohibit firearms at any time. Therefore, Rule 25(g) is in violation of our Arizona Constitution’s right to bear arms. I pray that this Court will follow the </w:t>
      </w:r>
      <w:r>
        <w:rPr>
          <w:sz w:val="28"/>
          <w:szCs w:val="28"/>
        </w:rPr>
        <w:lastRenderedPageBreak/>
        <w:t>example set by the Texas Court.</w:t>
      </w:r>
    </w:p>
    <w:p w:rsidR="00F03D72" w:rsidRDefault="00F03D72">
      <w:pPr>
        <w:spacing w:line="582" w:lineRule="exact"/>
        <w:ind w:firstLine="720"/>
        <w:rPr>
          <w:sz w:val="28"/>
          <w:szCs w:val="28"/>
        </w:rPr>
      </w:pPr>
      <w:r>
        <w:rPr>
          <w:b/>
          <w:bCs/>
          <w:sz w:val="28"/>
          <w:szCs w:val="28"/>
          <w:u w:val="single"/>
        </w:rPr>
        <w:t>E.</w:t>
      </w:r>
      <w:r>
        <w:rPr>
          <w:b/>
          <w:bCs/>
          <w:sz w:val="28"/>
          <w:szCs w:val="28"/>
          <w:u w:val="single"/>
        </w:rPr>
        <w:tab/>
        <w:t>Even prosecutors in lawless Virginia know they don’t have to enforce unconstitutional laws.</w:t>
      </w:r>
    </w:p>
    <w:p w:rsidR="00F03D72" w:rsidRDefault="00F03D72">
      <w:pPr>
        <w:spacing w:line="582" w:lineRule="exact"/>
        <w:ind w:firstLine="720"/>
        <w:rPr>
          <w:sz w:val="28"/>
          <w:szCs w:val="28"/>
        </w:rPr>
      </w:pPr>
      <w:r>
        <w:rPr>
          <w:sz w:val="28"/>
          <w:szCs w:val="28"/>
        </w:rPr>
        <w:t xml:space="preserve">Last week, another prosecutor in Virginia (making eight so far) announced that he would not enforce Virginia’s new gun ban laws. “I want to be very clear, the Sheriff and I are in total agreement that </w:t>
      </w:r>
      <w:r>
        <w:rPr>
          <w:b/>
          <w:bCs/>
          <w:sz w:val="28"/>
          <w:szCs w:val="28"/>
        </w:rPr>
        <w:t>we will not enforce the new Assault Weapons and Assault Weapons Carry bans just signed into law as we believe they are Unconstitutional on their face</w:t>
      </w:r>
      <w:r>
        <w:rPr>
          <w:sz w:val="28"/>
          <w:szCs w:val="28"/>
        </w:rPr>
        <w:t xml:space="preserve">. Case law is explicitly clear that this </w:t>
      </w:r>
      <w:r>
        <w:rPr>
          <w:b/>
          <w:bCs/>
          <w:sz w:val="28"/>
          <w:szCs w:val="28"/>
        </w:rPr>
        <w:t>governmental overreach</w:t>
      </w:r>
      <w:r>
        <w:rPr>
          <w:sz w:val="28"/>
          <w:szCs w:val="28"/>
        </w:rPr>
        <w:t xml:space="preserve"> flies in the face of the U.S. Supreme Court's interpretation of the citizens' Second Amendment Rights.” (See article from The Daily Caller in Appendix.</w:t>
      </w:r>
      <w:r>
        <w:rPr>
          <w:rStyle w:val="FootnoteReference"/>
          <w:sz w:val="28"/>
          <w:szCs w:val="28"/>
          <w:vertAlign w:val="superscript"/>
        </w:rPr>
        <w:footnoteReference w:id="1"/>
      </w:r>
      <w:r>
        <w:rPr>
          <w:sz w:val="28"/>
          <w:szCs w:val="28"/>
        </w:rPr>
        <w:t>)</w:t>
      </w:r>
    </w:p>
    <w:p w:rsidR="00F03D72" w:rsidRDefault="00F03D72">
      <w:pPr>
        <w:spacing w:line="582" w:lineRule="exact"/>
        <w:ind w:firstLine="720"/>
        <w:rPr>
          <w:sz w:val="28"/>
          <w:szCs w:val="28"/>
        </w:rPr>
      </w:pPr>
      <w:r>
        <w:rPr>
          <w:sz w:val="28"/>
          <w:szCs w:val="28"/>
        </w:rPr>
        <w:t>This makes an interesting contrast to my instant petition because there, the Virginia legislature and the Virginia governor passed their gun-ban Bill into law, giving these new laws the presumption of constitutionality. But here in Arizona, there is no presumption of constitutionality for Rule 25(g) because our legislature has not passed anything about prohibiting firearms in civil IAH’s.</w:t>
      </w:r>
    </w:p>
    <w:p w:rsidR="00F03D72" w:rsidRDefault="00F03D72">
      <w:pPr>
        <w:spacing w:line="582" w:lineRule="exact"/>
        <w:ind w:firstLine="720"/>
        <w:rPr>
          <w:sz w:val="28"/>
          <w:szCs w:val="28"/>
        </w:rPr>
        <w:sectPr w:rsidR="00F03D72">
          <w:type w:val="continuous"/>
          <w:pgSz w:w="12240" w:h="15840"/>
          <w:pgMar w:top="1440" w:right="1440" w:bottom="990" w:left="1440" w:header="1440" w:footer="990" w:gutter="0"/>
          <w:cols w:space="720"/>
          <w:noEndnote/>
        </w:sectPr>
      </w:pPr>
    </w:p>
    <w:p w:rsidR="00F03D72" w:rsidRDefault="00F03D72">
      <w:pPr>
        <w:spacing w:line="582" w:lineRule="exact"/>
        <w:ind w:firstLine="720"/>
        <w:rPr>
          <w:sz w:val="28"/>
          <w:szCs w:val="28"/>
        </w:rPr>
      </w:pPr>
      <w:r>
        <w:rPr>
          <w:sz w:val="28"/>
          <w:szCs w:val="28"/>
        </w:rPr>
        <w:lastRenderedPageBreak/>
        <w:t xml:space="preserve">Back to the Virginia prosecutors: Even though legal officers “presume that the legislature acts constitutionally,” these elected officials know that this new Virginal law is clearly unconstitutional and are upholding their oath to uphold the Constitution. How much more should sheriffs and prosecutors in Arizona not </w:t>
      </w:r>
      <w:r>
        <w:rPr>
          <w:sz w:val="28"/>
          <w:szCs w:val="28"/>
        </w:rPr>
        <w:lastRenderedPageBreak/>
        <w:t>enforce this Court’s unconstitutional “law” of Rule 25(g)!</w:t>
      </w:r>
    </w:p>
    <w:p w:rsidR="00F03D72" w:rsidRDefault="00F03D72">
      <w:pPr>
        <w:tabs>
          <w:tab w:val="left" w:pos="-1440"/>
        </w:tabs>
        <w:spacing w:line="582" w:lineRule="exact"/>
        <w:ind w:left="720" w:hanging="720"/>
        <w:rPr>
          <w:sz w:val="28"/>
          <w:szCs w:val="28"/>
        </w:rPr>
      </w:pPr>
      <w:r>
        <w:rPr>
          <w:b/>
          <w:bCs/>
          <w:sz w:val="28"/>
          <w:szCs w:val="28"/>
          <w:u w:val="single"/>
        </w:rPr>
        <w:t>III.</w:t>
      </w:r>
      <w:r>
        <w:rPr>
          <w:b/>
          <w:bCs/>
          <w:sz w:val="28"/>
          <w:szCs w:val="28"/>
          <w:u w:val="single"/>
        </w:rPr>
        <w:tab/>
        <w:t>REPLY TO THE APAAC</w:t>
      </w:r>
    </w:p>
    <w:p w:rsidR="00F03D72" w:rsidRDefault="00F03D72">
      <w:pPr>
        <w:spacing w:line="582" w:lineRule="exact"/>
        <w:ind w:firstLine="720"/>
        <w:rPr>
          <w:sz w:val="28"/>
          <w:szCs w:val="28"/>
        </w:rPr>
      </w:pPr>
      <w:r>
        <w:rPr>
          <w:sz w:val="28"/>
          <w:szCs w:val="28"/>
        </w:rPr>
        <w:t>As a first matter, although anyone can comment on a petition, the Arizona</w:t>
      </w:r>
      <w:r>
        <w:rPr>
          <w:b/>
          <w:bCs/>
          <w:sz w:val="28"/>
          <w:szCs w:val="28"/>
        </w:rPr>
        <w:t xml:space="preserve"> Prosecuting Attorneys’ </w:t>
      </w:r>
      <w:r>
        <w:rPr>
          <w:sz w:val="28"/>
          <w:szCs w:val="28"/>
        </w:rPr>
        <w:t>Advisory Council is way outside its wheelhouse here. Rule 25(g) is a civil matter, not criminal. By electing to comment on a civil matter outside its area of expertise, the APAAC shows that this is purely a political/policy matter for it. (And/or it is getting money and/or political payback for it.) Which, since courts are supposed to be independent of politics/not allowed to make policy, automatically makes the APAAC’s Comment pointless on its face.</w:t>
      </w:r>
    </w:p>
    <w:p w:rsidR="00F03D72" w:rsidRDefault="00F03D72">
      <w:pPr>
        <w:spacing w:line="582" w:lineRule="exact"/>
        <w:ind w:firstLine="720"/>
        <w:rPr>
          <w:sz w:val="28"/>
          <w:szCs w:val="28"/>
        </w:rPr>
      </w:pPr>
      <w:r>
        <w:rPr>
          <w:sz w:val="28"/>
          <w:szCs w:val="28"/>
        </w:rPr>
        <w:t>Even if it weren’t pointless, Mrs./Miss Ortiz’s Comment in opposition on behalf of the APAAC is sophistry, arguing against facts. Former US President John Adams said “Facts are stubborn things; and whatever may be our wishes, our inclinations, or the dictates of our passion, they cannot alter the state of facts and evidence.” So I won’t waste my time, nor this Court’s time, arguing about facts and evidence.</w:t>
      </w:r>
    </w:p>
    <w:p w:rsidR="00F03D72" w:rsidRDefault="00F03D72">
      <w:pPr>
        <w:tabs>
          <w:tab w:val="left" w:pos="-1440"/>
        </w:tabs>
        <w:spacing w:line="582" w:lineRule="exact"/>
        <w:ind w:left="720" w:hanging="720"/>
        <w:rPr>
          <w:sz w:val="28"/>
          <w:szCs w:val="28"/>
        </w:rPr>
      </w:pPr>
      <w:r>
        <w:rPr>
          <w:b/>
          <w:bCs/>
          <w:sz w:val="28"/>
          <w:szCs w:val="28"/>
          <w:u w:val="single"/>
        </w:rPr>
        <w:t>IV.</w:t>
      </w:r>
      <w:r>
        <w:rPr>
          <w:b/>
          <w:bCs/>
          <w:sz w:val="28"/>
          <w:szCs w:val="28"/>
          <w:u w:val="single"/>
        </w:rPr>
        <w:tab/>
        <w:t>CONCLUSION</w:t>
      </w:r>
    </w:p>
    <w:p w:rsidR="00F03D72" w:rsidRDefault="00F03D72">
      <w:pPr>
        <w:spacing w:line="582" w:lineRule="exact"/>
        <w:ind w:firstLine="720"/>
        <w:rPr>
          <w:sz w:val="28"/>
          <w:szCs w:val="28"/>
        </w:rPr>
      </w:pPr>
      <w:r>
        <w:rPr>
          <w:sz w:val="28"/>
          <w:szCs w:val="28"/>
        </w:rPr>
        <w:t>In my petition, I noted that Senator Mark Kelly, as well as other elected officials, recently reminded us that “You can refuse illegal orders.” Gandhi called it “civil disobedience.” Law-abiding Americans call it “upholding the Law.”</w:t>
      </w:r>
    </w:p>
    <w:p w:rsidR="00F03D72" w:rsidRDefault="00F03D72">
      <w:pPr>
        <w:spacing w:line="582" w:lineRule="exact"/>
        <w:ind w:firstLine="720"/>
        <w:rPr>
          <w:sz w:val="28"/>
          <w:szCs w:val="28"/>
        </w:rPr>
      </w:pPr>
      <w:r>
        <w:rPr>
          <w:sz w:val="28"/>
          <w:szCs w:val="28"/>
        </w:rPr>
        <w:t>Rule 25(g) is an illegal/unlawful order because it violates a constitutional right of Arizonans.</w:t>
      </w:r>
    </w:p>
    <w:p w:rsidR="00F03D72" w:rsidRDefault="00F03D72">
      <w:pPr>
        <w:spacing w:line="582" w:lineRule="exact"/>
        <w:ind w:firstLine="720"/>
        <w:rPr>
          <w:sz w:val="28"/>
          <w:szCs w:val="28"/>
        </w:rPr>
        <w:sectPr w:rsidR="00F03D72">
          <w:type w:val="continuous"/>
          <w:pgSz w:w="12240" w:h="15840"/>
          <w:pgMar w:top="1440" w:right="1440" w:bottom="990" w:left="1440" w:header="1440" w:footer="990" w:gutter="0"/>
          <w:cols w:space="720"/>
          <w:noEndnote/>
        </w:sectPr>
      </w:pPr>
    </w:p>
    <w:p w:rsidR="00F03D72" w:rsidRDefault="00F03D72">
      <w:pPr>
        <w:spacing w:line="582" w:lineRule="exact"/>
        <w:ind w:firstLine="720"/>
        <w:rPr>
          <w:sz w:val="28"/>
          <w:szCs w:val="28"/>
        </w:rPr>
      </w:pPr>
      <w:r>
        <w:rPr>
          <w:sz w:val="28"/>
          <w:szCs w:val="28"/>
        </w:rPr>
        <w:lastRenderedPageBreak/>
        <w:t xml:space="preserve">Some sheriffs have already weighed in on this, acknowledging the lack of </w:t>
      </w:r>
      <w:r>
        <w:rPr>
          <w:sz w:val="28"/>
          <w:szCs w:val="28"/>
        </w:rPr>
        <w:lastRenderedPageBreak/>
        <w:t>statutory authority for this Court’s gun grab. Hopefully they will follow in the footsteps of their colleagues in Virginia and uphold our Constitutions. As the Arizona Law Enforcement Legal Advisors Association pointed out in its Comment in Opposition to this Court’s R</w:t>
      </w:r>
      <w:r>
        <w:rPr>
          <w:sz w:val="28"/>
          <w:szCs w:val="28"/>
        </w:rPr>
        <w:noBreakHyphen/>
        <w:t>26</w:t>
      </w:r>
      <w:r>
        <w:rPr>
          <w:sz w:val="28"/>
          <w:szCs w:val="28"/>
        </w:rPr>
        <w:noBreakHyphen/>
        <w:t>0004, “It should also be mentioned that Defendant’s Constitutional Rights (specifically, their Right to remain silent) may be implicated, especially in situations where they are prohibited possessors prior to the issuance of a Protective Order.” To this I add that our Arizona Constitutional right to Privacy might be implicated as well. (Article 2, Section 8.)</w:t>
      </w:r>
    </w:p>
    <w:p w:rsidR="00F03D72" w:rsidRDefault="00F03D72">
      <w:pPr>
        <w:spacing w:line="582" w:lineRule="exact"/>
        <w:ind w:firstLine="720"/>
        <w:rPr>
          <w:sz w:val="28"/>
          <w:szCs w:val="28"/>
        </w:rPr>
      </w:pPr>
      <w:r>
        <w:rPr>
          <w:sz w:val="28"/>
          <w:szCs w:val="28"/>
        </w:rPr>
        <w:t xml:space="preserve">And Rule 25(g) is extra unconstitutional because it’s extrajudicial, legislating from the bench. </w:t>
      </w:r>
    </w:p>
    <w:p w:rsidR="00F03D72" w:rsidRDefault="00F03D72">
      <w:pPr>
        <w:spacing w:line="582" w:lineRule="exact"/>
        <w:ind w:firstLine="720"/>
        <w:rPr>
          <w:sz w:val="28"/>
          <w:szCs w:val="28"/>
        </w:rPr>
      </w:pPr>
      <w:r>
        <w:rPr>
          <w:sz w:val="28"/>
          <w:szCs w:val="28"/>
        </w:rPr>
        <w:t xml:space="preserve">This Court said this year that “[W]e are constrained from rewriting the law </w:t>
      </w:r>
      <w:r>
        <w:rPr>
          <w:b/>
          <w:bCs/>
          <w:sz w:val="28"/>
          <w:szCs w:val="28"/>
        </w:rPr>
        <w:t>under the guise of interpreting it even if we divine a more desirable intended outcome than the text allows</w:t>
      </w:r>
      <w:r>
        <w:rPr>
          <w:sz w:val="28"/>
          <w:szCs w:val="28"/>
        </w:rPr>
        <w:t>. (We cannot amend a statute judicially, and</w:t>
      </w:r>
      <w:r>
        <w:rPr>
          <w:b/>
          <w:bCs/>
          <w:sz w:val="28"/>
          <w:szCs w:val="28"/>
        </w:rPr>
        <w:t xml:space="preserve"> we cannot read implausible meaning into express statutory language</w:t>
      </w:r>
      <w:r>
        <w:rPr>
          <w:sz w:val="28"/>
          <w:szCs w:val="28"/>
        </w:rPr>
        <w:t xml:space="preserve">.)” </w:t>
      </w:r>
      <w:r>
        <w:rPr>
          <w:i/>
          <w:iCs/>
          <w:sz w:val="28"/>
          <w:szCs w:val="28"/>
        </w:rPr>
        <w:t>City of Chandler v. ROOSEVELT WATER CONSERVATION DISTRICT</w:t>
      </w:r>
      <w:r>
        <w:rPr>
          <w:sz w:val="28"/>
          <w:szCs w:val="28"/>
        </w:rPr>
        <w:t>, Ariz: Supreme Court 2026. But in spite of your stated constraint, you’ve done exactly what you said you’re constrained from doing when you created your Rule 25(g).</w:t>
      </w:r>
    </w:p>
    <w:p w:rsidR="00F03D72" w:rsidRDefault="00F03D72">
      <w:pPr>
        <w:spacing w:line="582" w:lineRule="exact"/>
        <w:ind w:firstLine="720"/>
        <w:rPr>
          <w:sz w:val="28"/>
          <w:szCs w:val="28"/>
        </w:rPr>
        <w:sectPr w:rsidR="00F03D72">
          <w:type w:val="continuous"/>
          <w:pgSz w:w="12240" w:h="15840"/>
          <w:pgMar w:top="1440" w:right="1440" w:bottom="990" w:left="1440" w:header="1440" w:footer="990" w:gutter="0"/>
          <w:cols w:space="720"/>
          <w:noEndnote/>
        </w:sectPr>
      </w:pPr>
    </w:p>
    <w:p w:rsidR="00F03D72" w:rsidRDefault="00F03D72">
      <w:pPr>
        <w:spacing w:line="582" w:lineRule="exact"/>
        <w:ind w:firstLine="720"/>
        <w:rPr>
          <w:sz w:val="28"/>
          <w:szCs w:val="28"/>
        </w:rPr>
      </w:pPr>
      <w:r>
        <w:rPr>
          <w:sz w:val="28"/>
          <w:szCs w:val="28"/>
        </w:rPr>
        <w:lastRenderedPageBreak/>
        <w:t xml:space="preserve">If you all won’t repeal your Red Flag “law” for the right reasons, you should repeal it for the sake of public confidence in the judiciary. The rise of Social Media/Citizen Journalists has shone more light on government entities than ever before. Public confidence in the judiciary is waning nationwide because the public now sees politics in the courts. (So much so that Chief Justice Roberts recently </w:t>
      </w:r>
      <w:r>
        <w:rPr>
          <w:sz w:val="28"/>
          <w:szCs w:val="28"/>
        </w:rPr>
        <w:lastRenderedPageBreak/>
        <w:t>went out of his way to assure us that the SCOTUS is NOT political.</w:t>
      </w:r>
      <w:r>
        <w:rPr>
          <w:rStyle w:val="FootnoteReference"/>
          <w:sz w:val="28"/>
          <w:szCs w:val="28"/>
          <w:vertAlign w:val="superscript"/>
        </w:rPr>
        <w:footnoteReference w:id="2"/>
      </w:r>
      <w:r>
        <w:rPr>
          <w:sz w:val="28"/>
          <w:szCs w:val="28"/>
        </w:rPr>
        <w:t>) If you don’t act rightly, this will be more reason to doubt the independence of judges.</w:t>
      </w:r>
    </w:p>
    <w:p w:rsidR="00F03D72" w:rsidRDefault="00F03D72">
      <w:pPr>
        <w:spacing w:line="582" w:lineRule="exact"/>
        <w:rPr>
          <w:sz w:val="28"/>
          <w:szCs w:val="28"/>
        </w:rPr>
      </w:pPr>
    </w:p>
    <w:p w:rsidR="00F03D72" w:rsidRDefault="00F03D72">
      <w:pPr>
        <w:spacing w:line="582" w:lineRule="exact"/>
        <w:ind w:firstLine="720"/>
        <w:rPr>
          <w:sz w:val="28"/>
          <w:szCs w:val="28"/>
        </w:rPr>
      </w:pPr>
      <w:r>
        <w:rPr>
          <w:sz w:val="28"/>
          <w:szCs w:val="28"/>
        </w:rPr>
        <w:t>“Hate evil, love good; maintain justice in the courts.” Amos 5:15</w:t>
      </w:r>
    </w:p>
    <w:p w:rsidR="00F03D72" w:rsidRDefault="00F03D72">
      <w:pPr>
        <w:spacing w:line="582" w:lineRule="exact"/>
        <w:ind w:firstLine="720"/>
        <w:rPr>
          <w:sz w:val="28"/>
          <w:szCs w:val="28"/>
        </w:rPr>
      </w:pPr>
    </w:p>
    <w:p w:rsidR="00F03D72" w:rsidRDefault="00F03D72">
      <w:pPr>
        <w:spacing w:line="582" w:lineRule="exact"/>
        <w:ind w:firstLine="720"/>
        <w:rPr>
          <w:sz w:val="28"/>
          <w:szCs w:val="28"/>
        </w:rPr>
      </w:pPr>
      <w:r>
        <w:rPr>
          <w:sz w:val="28"/>
          <w:szCs w:val="28"/>
        </w:rPr>
        <w:t>SUBMITTED this 1</w:t>
      </w:r>
      <w:r>
        <w:rPr>
          <w:sz w:val="28"/>
          <w:szCs w:val="28"/>
          <w:vertAlign w:val="superscript"/>
        </w:rPr>
        <w:t>st</w:t>
      </w:r>
      <w:r>
        <w:rPr>
          <w:sz w:val="28"/>
          <w:szCs w:val="28"/>
        </w:rPr>
        <w:t xml:space="preserve"> day of June 2026.</w:t>
      </w:r>
    </w:p>
    <w:p w:rsidR="00F03D72" w:rsidRDefault="00F03D72">
      <w:pPr>
        <w:spacing w:line="582" w:lineRule="exact"/>
        <w:ind w:firstLine="720"/>
        <w:rPr>
          <w:sz w:val="28"/>
          <w:szCs w:val="28"/>
        </w:rPr>
      </w:pPr>
      <w:r>
        <w:rPr>
          <w:sz w:val="28"/>
          <w:szCs w:val="28"/>
        </w:rPr>
        <w:t>By /s/ Mike Palmer</w:t>
      </w:r>
    </w:p>
    <w:p w:rsidR="00F03D72" w:rsidRDefault="00F03D72">
      <w:pPr>
        <w:spacing w:line="582" w:lineRule="exact"/>
        <w:rPr>
          <w:sz w:val="28"/>
          <w:szCs w:val="28"/>
        </w:rPr>
      </w:pPr>
    </w:p>
    <w:p w:rsidR="00F03D72" w:rsidRDefault="00F03D72">
      <w:pPr>
        <w:spacing w:line="582" w:lineRule="exact"/>
        <w:rPr>
          <w:sz w:val="28"/>
          <w:szCs w:val="28"/>
        </w:rPr>
      </w:pPr>
    </w:p>
    <w:p w:rsidR="00F03D72" w:rsidRDefault="00F03D72">
      <w:pPr>
        <w:spacing w:line="582" w:lineRule="exact"/>
        <w:rPr>
          <w:sz w:val="28"/>
          <w:szCs w:val="28"/>
        </w:rPr>
      </w:pPr>
    </w:p>
    <w:p w:rsidR="00F03D72" w:rsidRDefault="00F03D72">
      <w:pPr>
        <w:spacing w:line="582" w:lineRule="exact"/>
        <w:rPr>
          <w:sz w:val="28"/>
          <w:szCs w:val="28"/>
        </w:rPr>
      </w:pPr>
    </w:p>
    <w:p w:rsidR="00F03D72" w:rsidRDefault="00F03D72">
      <w:pPr>
        <w:spacing w:line="582" w:lineRule="exact"/>
        <w:rPr>
          <w:sz w:val="28"/>
          <w:szCs w:val="28"/>
        </w:rPr>
      </w:pPr>
    </w:p>
    <w:p w:rsidR="00F03D72" w:rsidRDefault="00F03D72">
      <w:pPr>
        <w:spacing w:line="582" w:lineRule="exact"/>
        <w:rPr>
          <w:sz w:val="28"/>
          <w:szCs w:val="28"/>
        </w:rPr>
        <w:sectPr w:rsidR="00F03D72">
          <w:type w:val="continuous"/>
          <w:pgSz w:w="12240" w:h="15840"/>
          <w:pgMar w:top="1440" w:right="1440" w:bottom="990" w:left="1440" w:header="1440" w:footer="990" w:gutter="0"/>
          <w:cols w:space="720"/>
          <w:noEndnote/>
        </w:sectPr>
      </w:pPr>
    </w:p>
    <w:p w:rsidR="00F03D72" w:rsidRDefault="00F03D72">
      <w:pPr>
        <w:spacing w:line="582" w:lineRule="exact"/>
        <w:rPr>
          <w:sz w:val="28"/>
          <w:szCs w:val="28"/>
        </w:rPr>
      </w:pPr>
    </w:p>
    <w:p w:rsidR="00F03D72" w:rsidRDefault="00F03D72">
      <w:pPr>
        <w:spacing w:line="582" w:lineRule="exact"/>
        <w:jc w:val="center"/>
        <w:rPr>
          <w:sz w:val="80"/>
          <w:szCs w:val="80"/>
        </w:rPr>
      </w:pPr>
    </w:p>
    <w:p w:rsidR="00F03D72" w:rsidRDefault="00F03D72">
      <w:pPr>
        <w:spacing w:line="582" w:lineRule="exact"/>
        <w:jc w:val="center"/>
        <w:rPr>
          <w:sz w:val="80"/>
          <w:szCs w:val="80"/>
        </w:rPr>
      </w:pPr>
    </w:p>
    <w:p w:rsidR="00F03D72" w:rsidRDefault="00F03D72">
      <w:pPr>
        <w:spacing w:line="582" w:lineRule="exact"/>
        <w:jc w:val="center"/>
        <w:rPr>
          <w:sz w:val="80"/>
          <w:szCs w:val="80"/>
        </w:rPr>
      </w:pPr>
    </w:p>
    <w:p w:rsidR="00F03D72" w:rsidRDefault="00F03D72">
      <w:pPr>
        <w:spacing w:line="582" w:lineRule="exact"/>
        <w:jc w:val="center"/>
        <w:rPr>
          <w:sz w:val="80"/>
          <w:szCs w:val="80"/>
        </w:rPr>
      </w:pPr>
    </w:p>
    <w:p w:rsidR="00F03D72" w:rsidRDefault="00F03D72">
      <w:pPr>
        <w:spacing w:line="582" w:lineRule="exact"/>
        <w:jc w:val="center"/>
        <w:rPr>
          <w:sz w:val="28"/>
          <w:szCs w:val="28"/>
        </w:rPr>
      </w:pPr>
      <w:r>
        <w:rPr>
          <w:sz w:val="80"/>
          <w:szCs w:val="80"/>
        </w:rPr>
        <w:t>APPENDIX</w:t>
      </w:r>
    </w:p>
    <w:p w:rsidR="00F03D72" w:rsidRDefault="00F03D72">
      <w:pPr>
        <w:spacing w:line="582" w:lineRule="exact"/>
      </w:pPr>
    </w:p>
    <w:sectPr w:rsidR="00F03D72" w:rsidSect="00F03D72">
      <w:footerReference w:type="default" r:id="rId7"/>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72" w:rsidRDefault="00F03D72" w:rsidP="00F03D72">
      <w:r>
        <w:separator/>
      </w:r>
    </w:p>
  </w:endnote>
  <w:endnote w:type="continuationSeparator" w:id="0">
    <w:p w:rsidR="00F03D72" w:rsidRDefault="00F03D72" w:rsidP="00F0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2" w:rsidRDefault="00F03D72">
    <w:pPr>
      <w:spacing w:line="240" w:lineRule="exact"/>
    </w:pPr>
  </w:p>
  <w:p w:rsidR="00F03D72" w:rsidRDefault="00F03D72">
    <w:pPr>
      <w:framePr w:w="9361" w:wrap="notBeside" w:vAnchor="text" w:hAnchor="text" w:x="1" w:y="1"/>
      <w:jc w:val="center"/>
    </w:pPr>
    <w:r>
      <w:fldChar w:fldCharType="begin"/>
    </w:r>
    <w:r>
      <w:instrText xml:space="preserve">PAGE </w:instrText>
    </w:r>
    <w:r w:rsidR="00C936B4">
      <w:fldChar w:fldCharType="separate"/>
    </w:r>
    <w:r w:rsidR="00C936B4">
      <w:rPr>
        <w:noProof/>
      </w:rPr>
      <w:t>10</w:t>
    </w:r>
    <w:r>
      <w:fldChar w:fldCharType="end"/>
    </w:r>
  </w:p>
  <w:p w:rsidR="00F03D72" w:rsidRDefault="00F03D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2" w:rsidRDefault="00F03D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72" w:rsidRDefault="00F03D72" w:rsidP="00F03D72">
      <w:r>
        <w:separator/>
      </w:r>
    </w:p>
  </w:footnote>
  <w:footnote w:type="continuationSeparator" w:id="0">
    <w:p w:rsidR="00F03D72" w:rsidRDefault="00F03D72" w:rsidP="00F03D72">
      <w:r>
        <w:continuationSeparator/>
      </w:r>
    </w:p>
  </w:footnote>
  <w:footnote w:id="1">
    <w:p w:rsidR="00F03D72" w:rsidRDefault="00F03D72">
      <w:r>
        <w:rPr>
          <w:rStyle w:val="FootnoteReference"/>
          <w:vertAlign w:val="superscript"/>
        </w:rPr>
        <w:footnoteRef/>
      </w:r>
      <w:r>
        <w:tab/>
        <w:t>Available at https://dailycaller.com/2026/05/29/eighth</w:t>
      </w:r>
      <w:r>
        <w:noBreakHyphen/>
        <w:t>virginia</w:t>
      </w:r>
      <w:r>
        <w:noBreakHyphen/>
        <w:t>prosecutor</w:t>
      </w:r>
      <w:r>
        <w:noBreakHyphen/>
        <w:t>announces</w:t>
      </w:r>
      <w:r>
        <w:noBreakHyphen/>
      </w:r>
    </w:p>
    <w:p w:rsidR="00F03D72" w:rsidRDefault="00F03D72">
      <w:pPr>
        <w:spacing w:after="240"/>
      </w:pPr>
      <w:r>
        <w:t>wont</w:t>
      </w:r>
      <w:r>
        <w:noBreakHyphen/>
        <w:t>enforce</w:t>
      </w:r>
      <w:r>
        <w:noBreakHyphen/>
        <w:t>gun</w:t>
      </w:r>
      <w:r>
        <w:noBreakHyphen/>
        <w:t>ban/</w:t>
      </w:r>
    </w:p>
  </w:footnote>
  <w:footnote w:id="2">
    <w:p w:rsidR="00F03D72" w:rsidRDefault="00F03D72">
      <w:r>
        <w:rPr>
          <w:rStyle w:val="FootnoteReference"/>
          <w:vertAlign w:val="superscript"/>
        </w:rPr>
        <w:footnoteRef/>
      </w:r>
      <w:r>
        <w:tab/>
        <w:t>https://www.theguardian.com/us</w:t>
      </w:r>
      <w:r>
        <w:noBreakHyphen/>
        <w:t>news/2026/may/07/john</w:t>
      </w:r>
      <w:r>
        <w:noBreakHyphen/>
        <w:t>roberts</w:t>
      </w:r>
      <w:r>
        <w:noBreakHyphen/>
        <w:t>supreme</w:t>
      </w:r>
      <w:r>
        <w:noBreakHyphen/>
        <w:t>court</w:t>
      </w:r>
      <w:r>
        <w:noBreakHyphen/>
      </w:r>
    </w:p>
    <w:p w:rsidR="00F03D72" w:rsidRDefault="00F03D72">
      <w:pPr>
        <w:spacing w:after="240"/>
      </w:pPr>
      <w:r>
        <w:t>political</w:t>
      </w:r>
      <w:r>
        <w:noBreakHyphen/>
        <w:t>actors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D72"/>
    <w:rsid w:val="00C936B4"/>
    <w:rsid w:val="00F0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2026-06-01T21:17:00Z</dcterms:created>
  <dcterms:modified xsi:type="dcterms:W3CDTF">2026-06-01T21:17:00Z</dcterms:modified>
</cp:coreProperties>
</file>