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2A40ECEC" w14:textId="4FE7BFB5" w:rsidR="003F0BA1" w:rsidRPr="003F0BA1" w:rsidRDefault="00BC7A2A" w:rsidP="003F0BA1">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BC7A2A">
        <w:rPr>
          <w:rFonts w:ascii="Times New Roman" w:hAnsi="Times New Roman"/>
          <w:b/>
          <w:sz w:val="24"/>
          <w:szCs w:val="24"/>
          <w:vertAlign w:val="superscript"/>
        </w:rPr>
        <w:t>st</w:t>
      </w:r>
      <w:r>
        <w:rPr>
          <w:rFonts w:ascii="Times New Roman" w:hAnsi="Times New Roman"/>
          <w:b/>
          <w:sz w:val="24"/>
          <w:szCs w:val="24"/>
        </w:rPr>
        <w:t xml:space="preserve"> Floor</w:t>
      </w:r>
    </w:p>
    <w:p w14:paraId="17CDF5F9" w14:textId="7D08EB86" w:rsidR="003F0BA1" w:rsidRPr="003F0BA1" w:rsidRDefault="00BC7A2A" w:rsidP="003F0BA1">
      <w:pPr>
        <w:pStyle w:val="AttorneyName"/>
        <w:spacing w:line="240" w:lineRule="auto"/>
        <w:rPr>
          <w:rFonts w:ascii="Times New Roman" w:hAnsi="Times New Roman"/>
          <w:b/>
          <w:sz w:val="24"/>
          <w:szCs w:val="24"/>
        </w:rPr>
      </w:pPr>
      <w:r>
        <w:rPr>
          <w:rFonts w:ascii="Times New Roman" w:hAnsi="Times New Roman"/>
          <w:b/>
          <w:sz w:val="24"/>
          <w:szCs w:val="24"/>
        </w:rPr>
        <w:t>Tucson</w:t>
      </w:r>
      <w:r w:rsidR="003F0BA1" w:rsidRPr="003F0BA1">
        <w:rPr>
          <w:rFonts w:ascii="Times New Roman" w:hAnsi="Times New Roman"/>
          <w:b/>
          <w:sz w:val="24"/>
          <w:szCs w:val="24"/>
        </w:rPr>
        <w:t>, Arizona 85</w:t>
      </w:r>
      <w:r>
        <w:rPr>
          <w:rFonts w:ascii="Times New Roman" w:hAnsi="Times New Roman"/>
          <w:b/>
          <w:sz w:val="24"/>
          <w:szCs w:val="24"/>
        </w:rPr>
        <w:t>7</w:t>
      </w:r>
      <w:r w:rsidR="003F0BA1" w:rsidRPr="003F0BA1">
        <w:rPr>
          <w:rFonts w:ascii="Times New Roman" w:hAnsi="Times New Roman"/>
          <w:b/>
          <w:sz w:val="24"/>
          <w:szCs w:val="24"/>
        </w:rPr>
        <w:t>01</w:t>
      </w:r>
    </w:p>
    <w:p w14:paraId="5B1A4768" w14:textId="186477CA" w:rsidR="003F0BA1" w:rsidRDefault="003F0BA1" w:rsidP="003F0BA1">
      <w:pPr>
        <w:pStyle w:val="AttorneyName"/>
        <w:spacing w:line="240" w:lineRule="auto"/>
        <w:rPr>
          <w:rFonts w:ascii="Times New Roman" w:hAnsi="Times New Roman"/>
          <w:b/>
          <w:sz w:val="24"/>
          <w:szCs w:val="24"/>
        </w:rPr>
      </w:pPr>
      <w:r w:rsidRPr="003F0BA1">
        <w:rPr>
          <w:rFonts w:ascii="Times New Roman" w:hAnsi="Times New Roman"/>
          <w:b/>
          <w:sz w:val="24"/>
          <w:szCs w:val="24"/>
        </w:rPr>
        <w:t>(</w:t>
      </w:r>
      <w:r w:rsidR="00BC7A2A">
        <w:rPr>
          <w:rFonts w:ascii="Times New Roman" w:hAnsi="Times New Roman"/>
          <w:b/>
          <w:sz w:val="24"/>
          <w:szCs w:val="24"/>
        </w:rPr>
        <w:t>52</w:t>
      </w:r>
      <w:r w:rsidRPr="003F0BA1">
        <w:rPr>
          <w:rFonts w:ascii="Times New Roman" w:hAnsi="Times New Roman"/>
          <w:b/>
          <w:sz w:val="24"/>
          <w:szCs w:val="24"/>
        </w:rPr>
        <w:t xml:space="preserve">0) </w:t>
      </w:r>
      <w:r w:rsidR="00BC7A2A">
        <w:rPr>
          <w:rFonts w:ascii="Times New Roman" w:hAnsi="Times New Roman"/>
          <w:b/>
          <w:sz w:val="24"/>
          <w:szCs w:val="24"/>
        </w:rPr>
        <w:t>72</w:t>
      </w:r>
      <w:r w:rsidRPr="003F0BA1">
        <w:rPr>
          <w:rFonts w:ascii="Times New Roman" w:hAnsi="Times New Roman"/>
          <w:b/>
          <w:sz w:val="24"/>
          <w:szCs w:val="24"/>
        </w:rPr>
        <w:t>4-</w:t>
      </w:r>
      <w:r w:rsidR="00BC7A2A">
        <w:rPr>
          <w:rFonts w:ascii="Times New Roman" w:hAnsi="Times New Roman"/>
          <w:b/>
          <w:sz w:val="24"/>
          <w:szCs w:val="24"/>
        </w:rPr>
        <w:t>6800</w:t>
      </w:r>
    </w:p>
    <w:p w14:paraId="724B03C3" w14:textId="5AED426D" w:rsidR="00A74317" w:rsidRDefault="00A74317" w:rsidP="003F0BA1">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61543355" w:rsidR="00A74317" w:rsidRPr="00DA0D25" w:rsidRDefault="00A74317"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4EC7A0D2"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ED5AE3">
              <w:rPr>
                <w:rFonts w:ascii="Times New Roman" w:hAnsi="Times New Roman"/>
                <w:sz w:val="28"/>
                <w:szCs w:val="28"/>
              </w:rPr>
              <w:t>Arizona Rule</w:t>
            </w:r>
            <w:r w:rsidR="002E1CE4">
              <w:rPr>
                <w:rFonts w:ascii="Times New Roman" w:hAnsi="Times New Roman"/>
                <w:sz w:val="28"/>
                <w:szCs w:val="28"/>
              </w:rPr>
              <w:t>s</w:t>
            </w:r>
            <w:r w:rsidR="00ED5AE3">
              <w:rPr>
                <w:rFonts w:ascii="Times New Roman" w:hAnsi="Times New Roman"/>
                <w:sz w:val="28"/>
                <w:szCs w:val="28"/>
              </w:rPr>
              <w:t xml:space="preserve"> of Criminal Procedure </w:t>
            </w:r>
            <w:r w:rsidR="004D27BC">
              <w:rPr>
                <w:rFonts w:ascii="Times New Roman" w:hAnsi="Times New Roman"/>
                <w:sz w:val="28"/>
                <w:szCs w:val="28"/>
              </w:rPr>
              <w:t xml:space="preserve">1.9, </w:t>
            </w:r>
            <w:r w:rsidR="00ED5AE3">
              <w:rPr>
                <w:rFonts w:ascii="Times New Roman" w:hAnsi="Times New Roman"/>
                <w:sz w:val="28"/>
                <w:szCs w:val="28"/>
              </w:rPr>
              <w:t>15</w:t>
            </w:r>
            <w:r w:rsidR="002E1CE4">
              <w:rPr>
                <w:rFonts w:ascii="Times New Roman" w:hAnsi="Times New Roman"/>
                <w:sz w:val="28"/>
                <w:szCs w:val="28"/>
              </w:rPr>
              <w:t>.1, 32.6, and 33.6</w:t>
            </w:r>
          </w:p>
        </w:tc>
        <w:tc>
          <w:tcPr>
            <w:tcW w:w="276" w:type="dxa"/>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tcPr>
          <w:p w14:paraId="268AB801" w14:textId="0C54979F"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B3060B">
              <w:rPr>
                <w:rFonts w:ascii="Times New Roman" w:hAnsi="Times New Roman"/>
                <w:sz w:val="28"/>
                <w:szCs w:val="28"/>
              </w:rPr>
              <w:t>6</w:t>
            </w:r>
            <w:r w:rsidR="002C54D2">
              <w:rPr>
                <w:rFonts w:ascii="Times New Roman" w:hAnsi="Times New Roman"/>
                <w:sz w:val="28"/>
                <w:szCs w:val="28"/>
              </w:rPr>
              <w:t>-</w:t>
            </w:r>
            <w:r w:rsidR="008457F8">
              <w:rPr>
                <w:rFonts w:ascii="Times New Roman" w:hAnsi="Times New Roman"/>
                <w:sz w:val="28"/>
                <w:szCs w:val="28"/>
              </w:rPr>
              <w:t>0024</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737381BD" w:rsidR="00DC38DE" w:rsidRPr="00F84E06" w:rsidRDefault="008457F8"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Reply to Comments to </w:t>
            </w:r>
            <w:r w:rsidR="00ED5AE3" w:rsidRPr="00ED5AE3">
              <w:rPr>
                <w:rFonts w:ascii="Times New Roman" w:hAnsi="Times New Roman"/>
                <w:b/>
                <w:sz w:val="28"/>
                <w:szCs w:val="28"/>
              </w:rPr>
              <w:t>Petition to Amend Arizona Rule</w:t>
            </w:r>
            <w:r w:rsidR="00B3060B">
              <w:rPr>
                <w:rFonts w:ascii="Times New Roman" w:hAnsi="Times New Roman"/>
                <w:b/>
                <w:sz w:val="28"/>
                <w:szCs w:val="28"/>
              </w:rPr>
              <w:t>s</w:t>
            </w:r>
            <w:r w:rsidR="00ED5AE3" w:rsidRPr="00ED5AE3">
              <w:rPr>
                <w:rFonts w:ascii="Times New Roman" w:hAnsi="Times New Roman"/>
                <w:b/>
                <w:sz w:val="28"/>
                <w:szCs w:val="28"/>
              </w:rPr>
              <w:t xml:space="preserve"> of Criminal Procedure </w:t>
            </w:r>
            <w:r w:rsidR="004D27BC">
              <w:rPr>
                <w:rFonts w:ascii="Times New Roman" w:hAnsi="Times New Roman"/>
                <w:b/>
                <w:sz w:val="28"/>
                <w:szCs w:val="28"/>
              </w:rPr>
              <w:t xml:space="preserve">1.9, </w:t>
            </w:r>
            <w:r w:rsidR="002E1CE4">
              <w:rPr>
                <w:rFonts w:ascii="Times New Roman" w:hAnsi="Times New Roman"/>
                <w:b/>
                <w:sz w:val="28"/>
                <w:szCs w:val="28"/>
              </w:rPr>
              <w:t>15</w:t>
            </w:r>
            <w:r w:rsidR="00ED5AE3" w:rsidRPr="00ED5AE3">
              <w:rPr>
                <w:rFonts w:ascii="Times New Roman" w:hAnsi="Times New Roman"/>
                <w:b/>
                <w:sz w:val="28"/>
                <w:szCs w:val="28"/>
              </w:rPr>
              <w:t>.</w:t>
            </w:r>
            <w:r w:rsidR="002E1CE4">
              <w:rPr>
                <w:rFonts w:ascii="Times New Roman" w:hAnsi="Times New Roman"/>
                <w:b/>
                <w:sz w:val="28"/>
                <w:szCs w:val="28"/>
              </w:rPr>
              <w:t>1</w:t>
            </w:r>
            <w:r w:rsidR="00B3060B">
              <w:rPr>
                <w:rFonts w:ascii="Times New Roman" w:hAnsi="Times New Roman"/>
                <w:b/>
                <w:sz w:val="28"/>
                <w:szCs w:val="28"/>
              </w:rPr>
              <w:t>, 32.</w:t>
            </w:r>
            <w:r w:rsidR="002E1CE4">
              <w:rPr>
                <w:rFonts w:ascii="Times New Roman" w:hAnsi="Times New Roman"/>
                <w:b/>
                <w:sz w:val="28"/>
                <w:szCs w:val="28"/>
              </w:rPr>
              <w:t>6</w:t>
            </w:r>
            <w:r w:rsidR="00B3060B">
              <w:rPr>
                <w:rFonts w:ascii="Times New Roman" w:hAnsi="Times New Roman"/>
                <w:b/>
                <w:sz w:val="28"/>
                <w:szCs w:val="28"/>
              </w:rPr>
              <w:t>, and 33.</w:t>
            </w:r>
            <w:r w:rsidR="002E1CE4">
              <w:rPr>
                <w:rFonts w:ascii="Times New Roman" w:hAnsi="Times New Roman"/>
                <w:b/>
                <w:sz w:val="28"/>
                <w:szCs w:val="28"/>
              </w:rPr>
              <w:t>6</w:t>
            </w:r>
          </w:p>
        </w:tc>
      </w:tr>
    </w:tbl>
    <w:p w14:paraId="268AB805" w14:textId="77777777" w:rsidR="00DC38DE" w:rsidRPr="0014499B" w:rsidRDefault="00DC38DE" w:rsidP="00EE07E2">
      <w:pPr>
        <w:spacing w:line="240" w:lineRule="auto"/>
        <w:jc w:val="both"/>
        <w:rPr>
          <w:rFonts w:ascii="Times New Roman" w:hAnsi="Times New Roman"/>
          <w:sz w:val="28"/>
          <w:szCs w:val="28"/>
        </w:rPr>
      </w:pPr>
    </w:p>
    <w:p w14:paraId="3BBD75DD" w14:textId="2F90AE11" w:rsidR="00C60CF3" w:rsidRDefault="00DC38DE" w:rsidP="008457F8">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w:t>
      </w:r>
      <w:r w:rsidR="00ED5AE3">
        <w:rPr>
          <w:rFonts w:ascii="Times New Roman" w:hAnsi="Times New Roman"/>
          <w:sz w:val="28"/>
          <w:szCs w:val="28"/>
        </w:rPr>
        <w:t xml:space="preserve">Petitioner, </w:t>
      </w:r>
      <w:r w:rsidR="00BC7A2A">
        <w:rPr>
          <w:rFonts w:ascii="Times New Roman" w:hAnsi="Times New Roman"/>
          <w:sz w:val="28"/>
          <w:szCs w:val="28"/>
        </w:rPr>
        <w:t>David J. Euchner</w:t>
      </w:r>
      <w:r w:rsidR="00ED5AE3">
        <w:rPr>
          <w:rFonts w:ascii="Times New Roman" w:hAnsi="Times New Roman"/>
          <w:sz w:val="28"/>
          <w:szCs w:val="28"/>
        </w:rPr>
        <w:t>,</w:t>
      </w:r>
      <w:r w:rsidR="00ED5AE3" w:rsidRPr="0014499B">
        <w:rPr>
          <w:rFonts w:ascii="Times New Roman" w:hAnsi="Times New Roman"/>
          <w:sz w:val="28"/>
          <w:szCs w:val="28"/>
        </w:rPr>
        <w:t xml:space="preserve"> hereby </w:t>
      </w:r>
      <w:r w:rsidR="008457F8">
        <w:rPr>
          <w:rFonts w:ascii="Times New Roman" w:hAnsi="Times New Roman"/>
          <w:sz w:val="28"/>
          <w:szCs w:val="28"/>
        </w:rPr>
        <w:t>replies to the comments to his</w:t>
      </w:r>
      <w:r w:rsidR="00ED5AE3" w:rsidRPr="0014499B">
        <w:rPr>
          <w:rFonts w:ascii="Times New Roman" w:hAnsi="Times New Roman"/>
          <w:sz w:val="28"/>
          <w:szCs w:val="28"/>
        </w:rPr>
        <w:t xml:space="preserve"> petition</w:t>
      </w:r>
      <w:r w:rsidR="00ED5AE3">
        <w:rPr>
          <w:rFonts w:ascii="Times New Roman" w:hAnsi="Times New Roman"/>
          <w:sz w:val="28"/>
          <w:szCs w:val="28"/>
        </w:rPr>
        <w:t xml:space="preserve"> to amend Arizona Rule</w:t>
      </w:r>
      <w:r w:rsidR="00B3060B">
        <w:rPr>
          <w:rFonts w:ascii="Times New Roman" w:hAnsi="Times New Roman"/>
          <w:sz w:val="28"/>
          <w:szCs w:val="28"/>
        </w:rPr>
        <w:t>s</w:t>
      </w:r>
      <w:r w:rsidR="00ED5AE3">
        <w:rPr>
          <w:rFonts w:ascii="Times New Roman" w:hAnsi="Times New Roman"/>
          <w:sz w:val="28"/>
          <w:szCs w:val="28"/>
        </w:rPr>
        <w:t xml:space="preserve"> of Criminal Procedure </w:t>
      </w:r>
      <w:r w:rsidR="00C42A84">
        <w:rPr>
          <w:rFonts w:ascii="Times New Roman" w:hAnsi="Times New Roman"/>
          <w:sz w:val="28"/>
          <w:szCs w:val="28"/>
        </w:rPr>
        <w:t xml:space="preserve">1.9, </w:t>
      </w:r>
      <w:r w:rsidR="002E1CE4">
        <w:rPr>
          <w:rFonts w:ascii="Times New Roman" w:hAnsi="Times New Roman"/>
          <w:sz w:val="28"/>
          <w:szCs w:val="28"/>
        </w:rPr>
        <w:t>15</w:t>
      </w:r>
      <w:r w:rsidR="00ED5AE3">
        <w:rPr>
          <w:rFonts w:ascii="Times New Roman" w:hAnsi="Times New Roman"/>
          <w:sz w:val="28"/>
          <w:szCs w:val="28"/>
        </w:rPr>
        <w:t>.</w:t>
      </w:r>
      <w:r w:rsidR="002E1CE4">
        <w:rPr>
          <w:rFonts w:ascii="Times New Roman" w:hAnsi="Times New Roman"/>
          <w:sz w:val="28"/>
          <w:szCs w:val="28"/>
        </w:rPr>
        <w:t>1</w:t>
      </w:r>
      <w:r w:rsidR="00B3060B">
        <w:rPr>
          <w:rFonts w:ascii="Times New Roman" w:hAnsi="Times New Roman"/>
          <w:sz w:val="28"/>
          <w:szCs w:val="28"/>
        </w:rPr>
        <w:t>, 32.</w:t>
      </w:r>
      <w:r w:rsidR="002E1CE4">
        <w:rPr>
          <w:rFonts w:ascii="Times New Roman" w:hAnsi="Times New Roman"/>
          <w:sz w:val="28"/>
          <w:szCs w:val="28"/>
        </w:rPr>
        <w:t>6</w:t>
      </w:r>
      <w:r w:rsidR="00B3060B">
        <w:rPr>
          <w:rFonts w:ascii="Times New Roman" w:hAnsi="Times New Roman"/>
          <w:sz w:val="28"/>
          <w:szCs w:val="28"/>
        </w:rPr>
        <w:t>, and 33.</w:t>
      </w:r>
      <w:r w:rsidR="002E1CE4">
        <w:rPr>
          <w:rFonts w:ascii="Times New Roman" w:hAnsi="Times New Roman"/>
          <w:sz w:val="28"/>
          <w:szCs w:val="28"/>
        </w:rPr>
        <w:t>6</w:t>
      </w:r>
      <w:r w:rsidR="00ED5AE3">
        <w:rPr>
          <w:rFonts w:ascii="Times New Roman" w:hAnsi="Times New Roman"/>
          <w:sz w:val="28"/>
          <w:szCs w:val="28"/>
        </w:rPr>
        <w:t xml:space="preserve">, </w:t>
      </w:r>
      <w:r w:rsidR="00BC7A2A">
        <w:rPr>
          <w:rFonts w:ascii="Times New Roman" w:hAnsi="Times New Roman"/>
          <w:sz w:val="28"/>
          <w:szCs w:val="28"/>
        </w:rPr>
        <w:t>to allow ex parte motions and hearings for discovery.</w:t>
      </w:r>
    </w:p>
    <w:p w14:paraId="69499047" w14:textId="11855878" w:rsidR="0016382F" w:rsidRPr="001B3667" w:rsidRDefault="008457F8" w:rsidP="0016382F">
      <w:pPr>
        <w:spacing w:line="240" w:lineRule="auto"/>
        <w:jc w:val="both"/>
        <w:rPr>
          <w:rFonts w:ascii="Times New Roman" w:hAnsi="Times New Roman"/>
          <w:b/>
          <w:bCs/>
          <w:sz w:val="28"/>
          <w:szCs w:val="28"/>
          <w:u w:val="single"/>
        </w:rPr>
      </w:pPr>
      <w:r>
        <w:rPr>
          <w:rFonts w:ascii="Times New Roman" w:hAnsi="Times New Roman"/>
          <w:b/>
          <w:bCs/>
          <w:sz w:val="28"/>
          <w:szCs w:val="28"/>
          <w:u w:val="single"/>
        </w:rPr>
        <w:t>Maricopa County Superior Court and State Bar comments</w:t>
      </w:r>
      <w:r w:rsidR="0016382F">
        <w:rPr>
          <w:rFonts w:ascii="Times New Roman" w:hAnsi="Times New Roman"/>
          <w:b/>
          <w:bCs/>
          <w:sz w:val="28"/>
          <w:szCs w:val="28"/>
          <w:u w:val="single"/>
        </w:rPr>
        <w:t>.</w:t>
      </w:r>
    </w:p>
    <w:p w14:paraId="4630E7B5" w14:textId="77777777" w:rsidR="0016382F" w:rsidRDefault="0016382F" w:rsidP="0016382F">
      <w:pPr>
        <w:spacing w:line="240" w:lineRule="auto"/>
        <w:ind w:firstLine="720"/>
        <w:jc w:val="both"/>
        <w:rPr>
          <w:rFonts w:ascii="Times New Roman" w:hAnsi="Times New Roman"/>
          <w:sz w:val="28"/>
          <w:szCs w:val="28"/>
        </w:rPr>
      </w:pPr>
    </w:p>
    <w:p w14:paraId="5D35E484" w14:textId="3FDC2661" w:rsidR="0016382F" w:rsidRDefault="00BA2639" w:rsidP="0016382F">
      <w:pPr>
        <w:spacing w:line="480" w:lineRule="auto"/>
        <w:ind w:firstLine="720"/>
        <w:jc w:val="both"/>
        <w:rPr>
          <w:rFonts w:ascii="Times New Roman" w:hAnsi="Times New Roman"/>
          <w:sz w:val="28"/>
          <w:szCs w:val="28"/>
        </w:rPr>
      </w:pPr>
      <w:r>
        <w:rPr>
          <w:rFonts w:ascii="Times New Roman" w:hAnsi="Times New Roman"/>
          <w:sz w:val="28"/>
          <w:szCs w:val="28"/>
        </w:rPr>
        <w:t>T</w:t>
      </w:r>
      <w:r w:rsidR="008457F8">
        <w:rPr>
          <w:rFonts w:ascii="Times New Roman" w:hAnsi="Times New Roman"/>
          <w:sz w:val="28"/>
          <w:szCs w:val="28"/>
        </w:rPr>
        <w:t xml:space="preserve">he Maricopa County Superior Court and State Bar of Arizona both consider the petition premature, because </w:t>
      </w:r>
      <w:r w:rsidR="008457F8" w:rsidRPr="004373DA">
        <w:rPr>
          <w:rFonts w:ascii="Times New Roman" w:hAnsi="Times New Roman"/>
          <w:i/>
          <w:iCs/>
          <w:sz w:val="28"/>
          <w:szCs w:val="28"/>
        </w:rPr>
        <w:t>State v. Smith</w:t>
      </w:r>
      <w:r w:rsidR="008457F8">
        <w:rPr>
          <w:rFonts w:ascii="Times New Roman" w:hAnsi="Times New Roman"/>
          <w:sz w:val="28"/>
          <w:szCs w:val="28"/>
        </w:rPr>
        <w:t xml:space="preserve">, 585 P.3d 808 (Ariz. App. 2025), </w:t>
      </w:r>
      <w:r>
        <w:rPr>
          <w:rFonts w:ascii="Times New Roman" w:hAnsi="Times New Roman"/>
          <w:sz w:val="28"/>
          <w:szCs w:val="28"/>
        </w:rPr>
        <w:t xml:space="preserve">which the petition seeks to overrule by rule change, </w:t>
      </w:r>
      <w:r w:rsidR="008457F8">
        <w:rPr>
          <w:rFonts w:ascii="Times New Roman" w:hAnsi="Times New Roman"/>
          <w:sz w:val="28"/>
          <w:szCs w:val="28"/>
        </w:rPr>
        <w:t>has a petition for review pending in this Court</w:t>
      </w:r>
      <w:r w:rsidR="003C3629">
        <w:rPr>
          <w:rFonts w:ascii="Times New Roman" w:hAnsi="Times New Roman"/>
          <w:sz w:val="28"/>
          <w:szCs w:val="28"/>
        </w:rPr>
        <w:t xml:space="preserve">. </w:t>
      </w:r>
      <w:r w:rsidR="003C3629" w:rsidRPr="003C3629">
        <w:rPr>
          <w:rFonts w:ascii="Times New Roman" w:hAnsi="Times New Roman"/>
          <w:i/>
          <w:iCs/>
          <w:sz w:val="28"/>
          <w:szCs w:val="28"/>
        </w:rPr>
        <w:t>See</w:t>
      </w:r>
      <w:r w:rsidR="003C3629">
        <w:rPr>
          <w:rFonts w:ascii="Times New Roman" w:hAnsi="Times New Roman"/>
          <w:sz w:val="28"/>
          <w:szCs w:val="28"/>
        </w:rPr>
        <w:t xml:space="preserve"> CR-26-0008-PR</w:t>
      </w:r>
      <w:r w:rsidR="004373DA">
        <w:rPr>
          <w:rFonts w:ascii="Times New Roman" w:hAnsi="Times New Roman"/>
          <w:sz w:val="28"/>
          <w:szCs w:val="28"/>
        </w:rPr>
        <w:t>.</w:t>
      </w:r>
      <w:r w:rsidR="008457F8">
        <w:rPr>
          <w:rFonts w:ascii="Times New Roman" w:hAnsi="Times New Roman"/>
          <w:sz w:val="28"/>
          <w:szCs w:val="28"/>
        </w:rPr>
        <w:t xml:space="preserve"> Those comments assume this Court will grant review. </w:t>
      </w:r>
      <w:r w:rsidR="00EE07E2">
        <w:rPr>
          <w:rFonts w:ascii="Times New Roman" w:hAnsi="Times New Roman"/>
          <w:sz w:val="28"/>
          <w:szCs w:val="28"/>
        </w:rPr>
        <w:t xml:space="preserve">They fail to account for Justice Bolick’s concurring opinion in </w:t>
      </w:r>
      <w:r w:rsidR="00EE07E2" w:rsidRPr="009E7BB5">
        <w:rPr>
          <w:rFonts w:ascii="Times New Roman" w:hAnsi="Times New Roman"/>
          <w:i/>
          <w:iCs/>
          <w:sz w:val="28"/>
          <w:szCs w:val="28"/>
        </w:rPr>
        <w:t>Allen v. Sanders</w:t>
      </w:r>
      <w:r w:rsidR="00EE07E2">
        <w:rPr>
          <w:rFonts w:ascii="Times New Roman" w:hAnsi="Times New Roman"/>
          <w:sz w:val="28"/>
          <w:szCs w:val="28"/>
        </w:rPr>
        <w:t xml:space="preserve">, 240 Ariz. 569, 573 ¶ 22, 574 ¶ 29 (2016), which makes the point that the </w:t>
      </w:r>
      <w:r w:rsidR="00EE07E2">
        <w:rPr>
          <w:rFonts w:ascii="Times New Roman" w:hAnsi="Times New Roman"/>
          <w:sz w:val="28"/>
          <w:szCs w:val="28"/>
        </w:rPr>
        <w:lastRenderedPageBreak/>
        <w:t xml:space="preserve">rulemaking process is a preferable forum for deciding what the rules should say. Petition at 2. </w:t>
      </w:r>
      <w:r w:rsidR="008457F8">
        <w:rPr>
          <w:rFonts w:ascii="Times New Roman" w:hAnsi="Times New Roman"/>
          <w:sz w:val="28"/>
          <w:szCs w:val="28"/>
        </w:rPr>
        <w:t xml:space="preserve">Petitioner </w:t>
      </w:r>
      <w:r>
        <w:rPr>
          <w:rFonts w:ascii="Times New Roman" w:hAnsi="Times New Roman"/>
          <w:sz w:val="28"/>
          <w:szCs w:val="28"/>
        </w:rPr>
        <w:t>agrees</w:t>
      </w:r>
      <w:r w:rsidR="008457F8">
        <w:rPr>
          <w:rFonts w:ascii="Times New Roman" w:hAnsi="Times New Roman"/>
          <w:sz w:val="28"/>
          <w:szCs w:val="28"/>
        </w:rPr>
        <w:t xml:space="preserve"> Smith’s petition for review should be granted, but this Court may choose to deny that petition for </w:t>
      </w:r>
      <w:r w:rsidR="00EE07E2">
        <w:rPr>
          <w:rFonts w:ascii="Times New Roman" w:hAnsi="Times New Roman"/>
          <w:sz w:val="28"/>
          <w:szCs w:val="28"/>
        </w:rPr>
        <w:t>several</w:t>
      </w:r>
      <w:r w:rsidR="008457F8">
        <w:rPr>
          <w:rFonts w:ascii="Times New Roman" w:hAnsi="Times New Roman"/>
          <w:sz w:val="28"/>
          <w:szCs w:val="28"/>
        </w:rPr>
        <w:t xml:space="preserve"> reasons. Additionally, it might depublish the opinion under Arizona Rule of the Supreme Court 111(g).</w:t>
      </w:r>
      <w:r w:rsidRPr="00733C8C">
        <w:rPr>
          <w:rStyle w:val="FootnoteReference"/>
          <w:rFonts w:ascii="Times New Roman" w:hAnsi="Times New Roman"/>
          <w:sz w:val="28"/>
          <w:szCs w:val="28"/>
        </w:rPr>
        <w:footnoteReference w:id="1"/>
      </w:r>
      <w:r w:rsidR="008457F8">
        <w:rPr>
          <w:rFonts w:ascii="Times New Roman" w:hAnsi="Times New Roman"/>
          <w:sz w:val="28"/>
          <w:szCs w:val="28"/>
        </w:rPr>
        <w:t xml:space="preserve"> </w:t>
      </w:r>
      <w:r w:rsidR="003C3629">
        <w:rPr>
          <w:rFonts w:ascii="Times New Roman" w:hAnsi="Times New Roman"/>
          <w:sz w:val="28"/>
          <w:szCs w:val="28"/>
        </w:rPr>
        <w:t xml:space="preserve">This Court should have options when deciding how to resolve the problem created by </w:t>
      </w:r>
      <w:r w:rsidR="003C3629" w:rsidRPr="00722022">
        <w:rPr>
          <w:rFonts w:ascii="Times New Roman" w:hAnsi="Times New Roman"/>
          <w:i/>
          <w:iCs/>
          <w:sz w:val="28"/>
          <w:szCs w:val="28"/>
        </w:rPr>
        <w:t>Smith</w:t>
      </w:r>
      <w:r w:rsidR="003C3629">
        <w:rPr>
          <w:rFonts w:ascii="Times New Roman" w:hAnsi="Times New Roman"/>
          <w:sz w:val="28"/>
          <w:szCs w:val="28"/>
        </w:rPr>
        <w:t>.</w:t>
      </w:r>
    </w:p>
    <w:p w14:paraId="727A5A8D" w14:textId="4B4FCB27" w:rsidR="00733C8C" w:rsidRDefault="004F7AA2" w:rsidP="003C3629">
      <w:pPr>
        <w:spacing w:line="480" w:lineRule="auto"/>
        <w:ind w:firstLine="720"/>
        <w:jc w:val="both"/>
        <w:rPr>
          <w:rFonts w:ascii="Times New Roman" w:hAnsi="Times New Roman"/>
          <w:b/>
          <w:bCs/>
          <w:sz w:val="28"/>
          <w:szCs w:val="28"/>
          <w:u w:val="single"/>
        </w:rPr>
      </w:pPr>
      <w:r>
        <w:rPr>
          <w:rFonts w:ascii="Times New Roman" w:hAnsi="Times New Roman"/>
          <w:sz w:val="28"/>
          <w:szCs w:val="28"/>
        </w:rPr>
        <w:t xml:space="preserve">On at least one prior occasion, in 2011, this Court was confronted simultaneously with a rule change petition and a petition for review on the same exact issue. In </w:t>
      </w:r>
      <w:r w:rsidRPr="004F7AA2">
        <w:rPr>
          <w:rFonts w:ascii="Times New Roman" w:hAnsi="Times New Roman"/>
          <w:i/>
          <w:iCs/>
          <w:sz w:val="28"/>
          <w:szCs w:val="28"/>
        </w:rPr>
        <w:t>Lear v. Fields</w:t>
      </w:r>
      <w:r>
        <w:rPr>
          <w:rFonts w:ascii="Times New Roman" w:hAnsi="Times New Roman"/>
          <w:sz w:val="28"/>
          <w:szCs w:val="28"/>
        </w:rPr>
        <w:t xml:space="preserve">, </w:t>
      </w:r>
      <w:r w:rsidR="0028428F">
        <w:rPr>
          <w:rFonts w:ascii="Times New Roman" w:hAnsi="Times New Roman"/>
          <w:sz w:val="28"/>
          <w:szCs w:val="28"/>
        </w:rPr>
        <w:t xml:space="preserve">226 Ariz. 226 (App. 2011), the court of appeals held A.R.S. § 12-2203, colloquially referred to as the </w:t>
      </w:r>
      <w:r w:rsidR="0028428F" w:rsidRPr="001D4A8E">
        <w:rPr>
          <w:rFonts w:ascii="Times New Roman" w:hAnsi="Times New Roman"/>
          <w:i/>
          <w:iCs/>
          <w:sz w:val="28"/>
          <w:szCs w:val="28"/>
        </w:rPr>
        <w:t>Daubert</w:t>
      </w:r>
      <w:r w:rsidR="001D4A8E">
        <w:rPr>
          <w:rStyle w:val="FootnoteReference"/>
          <w:rFonts w:ascii="Times New Roman" w:hAnsi="Times New Roman"/>
          <w:b/>
          <w:bCs/>
          <w:sz w:val="28"/>
          <w:szCs w:val="28"/>
        </w:rPr>
        <w:footnoteReference w:id="2"/>
      </w:r>
      <w:r w:rsidR="0028428F">
        <w:rPr>
          <w:rFonts w:ascii="Times New Roman" w:hAnsi="Times New Roman"/>
          <w:sz w:val="28"/>
          <w:szCs w:val="28"/>
        </w:rPr>
        <w:t xml:space="preserve"> statute, unconstitutional</w:t>
      </w:r>
      <w:r w:rsidR="00722022">
        <w:rPr>
          <w:rFonts w:ascii="Times New Roman" w:hAnsi="Times New Roman"/>
          <w:sz w:val="28"/>
          <w:szCs w:val="28"/>
        </w:rPr>
        <w:t>ly</w:t>
      </w:r>
      <w:r w:rsidR="0028428F">
        <w:rPr>
          <w:rFonts w:ascii="Times New Roman" w:hAnsi="Times New Roman"/>
          <w:sz w:val="28"/>
          <w:szCs w:val="28"/>
        </w:rPr>
        <w:t xml:space="preserve"> </w:t>
      </w:r>
      <w:r w:rsidR="00722022">
        <w:rPr>
          <w:rFonts w:ascii="Times New Roman" w:hAnsi="Times New Roman"/>
          <w:sz w:val="28"/>
          <w:szCs w:val="28"/>
        </w:rPr>
        <w:t>infringed on</w:t>
      </w:r>
      <w:r w:rsidR="0028428F">
        <w:rPr>
          <w:rFonts w:ascii="Times New Roman" w:hAnsi="Times New Roman"/>
          <w:sz w:val="28"/>
          <w:szCs w:val="28"/>
        </w:rPr>
        <w:t xml:space="preserve"> this Court’s rulemaking authority, and Lear petitioned for review</w:t>
      </w:r>
      <w:r w:rsidR="001D4A8E">
        <w:rPr>
          <w:rFonts w:ascii="Times New Roman" w:hAnsi="Times New Roman"/>
          <w:sz w:val="28"/>
          <w:szCs w:val="28"/>
        </w:rPr>
        <w:t xml:space="preserve">, </w:t>
      </w:r>
      <w:r w:rsidR="001D4A8E" w:rsidRPr="001D4A8E">
        <w:rPr>
          <w:rFonts w:ascii="Times New Roman" w:hAnsi="Times New Roman"/>
          <w:i/>
          <w:iCs/>
          <w:sz w:val="28"/>
          <w:szCs w:val="28"/>
        </w:rPr>
        <w:t>see</w:t>
      </w:r>
      <w:r w:rsidR="001D4A8E">
        <w:rPr>
          <w:rFonts w:ascii="Times New Roman" w:hAnsi="Times New Roman"/>
          <w:sz w:val="28"/>
          <w:szCs w:val="28"/>
        </w:rPr>
        <w:t xml:space="preserve"> No. CV-11-0038-PR</w:t>
      </w:r>
      <w:r w:rsidR="0028428F">
        <w:rPr>
          <w:rFonts w:ascii="Times New Roman" w:hAnsi="Times New Roman"/>
          <w:sz w:val="28"/>
          <w:szCs w:val="28"/>
        </w:rPr>
        <w:t>.</w:t>
      </w:r>
      <w:r w:rsidR="001D4A8E">
        <w:rPr>
          <w:rFonts w:ascii="Times New Roman" w:hAnsi="Times New Roman"/>
          <w:sz w:val="28"/>
          <w:szCs w:val="28"/>
        </w:rPr>
        <w:t xml:space="preserve"> This Court was also considering the overhaul of the Arizona Rules of Evidence, </w:t>
      </w:r>
      <w:r w:rsidR="001D4A8E" w:rsidRPr="001D4A8E">
        <w:rPr>
          <w:rFonts w:ascii="Times New Roman" w:hAnsi="Times New Roman"/>
          <w:i/>
          <w:iCs/>
          <w:sz w:val="28"/>
          <w:szCs w:val="28"/>
        </w:rPr>
        <w:t>see</w:t>
      </w:r>
      <w:r w:rsidR="001D4A8E">
        <w:rPr>
          <w:rFonts w:ascii="Times New Roman" w:hAnsi="Times New Roman"/>
          <w:sz w:val="28"/>
          <w:szCs w:val="28"/>
        </w:rPr>
        <w:t xml:space="preserve"> R-10-0035, which included the substantial change to Rule 702 that would bring Arizona in line with Federal Rule of Evidence 702 and </w:t>
      </w:r>
      <w:r w:rsidR="001D4A8E" w:rsidRPr="001D4A8E">
        <w:rPr>
          <w:rFonts w:ascii="Times New Roman" w:hAnsi="Times New Roman"/>
          <w:i/>
          <w:iCs/>
          <w:sz w:val="28"/>
          <w:szCs w:val="28"/>
        </w:rPr>
        <w:t>Daubert</w:t>
      </w:r>
      <w:r w:rsidR="001D4A8E">
        <w:rPr>
          <w:rFonts w:ascii="Times New Roman" w:hAnsi="Times New Roman"/>
          <w:sz w:val="28"/>
          <w:szCs w:val="28"/>
        </w:rPr>
        <w:t>. This Court denied Lear’s petition for review and adopted the rule change.</w:t>
      </w:r>
    </w:p>
    <w:p w14:paraId="6CAED0F9" w14:textId="005A8090" w:rsidR="00722022" w:rsidRPr="001B3667" w:rsidRDefault="00722022" w:rsidP="00722022">
      <w:pPr>
        <w:spacing w:line="240" w:lineRule="auto"/>
        <w:jc w:val="both"/>
        <w:rPr>
          <w:rFonts w:ascii="Times New Roman" w:hAnsi="Times New Roman"/>
          <w:b/>
          <w:bCs/>
          <w:sz w:val="28"/>
          <w:szCs w:val="28"/>
          <w:u w:val="single"/>
        </w:rPr>
      </w:pPr>
      <w:r>
        <w:rPr>
          <w:rFonts w:ascii="Times New Roman" w:hAnsi="Times New Roman"/>
          <w:b/>
          <w:bCs/>
          <w:sz w:val="28"/>
          <w:szCs w:val="28"/>
          <w:u w:val="single"/>
        </w:rPr>
        <w:t xml:space="preserve">Maricopa County </w:t>
      </w:r>
      <w:r w:rsidR="00733C8C">
        <w:rPr>
          <w:rFonts w:ascii="Times New Roman" w:hAnsi="Times New Roman"/>
          <w:b/>
          <w:bCs/>
          <w:sz w:val="28"/>
          <w:szCs w:val="28"/>
          <w:u w:val="single"/>
        </w:rPr>
        <w:t>Attorney’s Office (MCAO)</w:t>
      </w:r>
      <w:r w:rsidR="003658D4">
        <w:rPr>
          <w:rFonts w:ascii="Times New Roman" w:hAnsi="Times New Roman"/>
          <w:b/>
          <w:bCs/>
          <w:sz w:val="28"/>
          <w:szCs w:val="28"/>
          <w:u w:val="single"/>
        </w:rPr>
        <w:t xml:space="preserve"> and Arizona Attorney General’s Office</w:t>
      </w:r>
      <w:r w:rsidR="005E540F">
        <w:rPr>
          <w:rFonts w:ascii="Times New Roman" w:hAnsi="Times New Roman"/>
          <w:b/>
          <w:bCs/>
          <w:sz w:val="28"/>
          <w:szCs w:val="28"/>
          <w:u w:val="single"/>
        </w:rPr>
        <w:t xml:space="preserve"> (AGO)</w:t>
      </w:r>
      <w:r w:rsidR="00733C8C">
        <w:rPr>
          <w:rFonts w:ascii="Times New Roman" w:hAnsi="Times New Roman"/>
          <w:b/>
          <w:bCs/>
          <w:sz w:val="28"/>
          <w:szCs w:val="28"/>
          <w:u w:val="single"/>
        </w:rPr>
        <w:t xml:space="preserve"> comment</w:t>
      </w:r>
      <w:r w:rsidR="003658D4">
        <w:rPr>
          <w:rFonts w:ascii="Times New Roman" w:hAnsi="Times New Roman"/>
          <w:b/>
          <w:bCs/>
          <w:sz w:val="28"/>
          <w:szCs w:val="28"/>
          <w:u w:val="single"/>
        </w:rPr>
        <w:t>s</w:t>
      </w:r>
      <w:r>
        <w:rPr>
          <w:rFonts w:ascii="Times New Roman" w:hAnsi="Times New Roman"/>
          <w:b/>
          <w:bCs/>
          <w:sz w:val="28"/>
          <w:szCs w:val="28"/>
          <w:u w:val="single"/>
        </w:rPr>
        <w:t>.</w:t>
      </w:r>
    </w:p>
    <w:p w14:paraId="0993D62C" w14:textId="77777777" w:rsidR="00722022" w:rsidRDefault="00722022" w:rsidP="00722022">
      <w:pPr>
        <w:spacing w:line="240" w:lineRule="auto"/>
        <w:ind w:firstLine="720"/>
        <w:jc w:val="both"/>
        <w:rPr>
          <w:rFonts w:ascii="Times New Roman" w:hAnsi="Times New Roman"/>
          <w:sz w:val="28"/>
          <w:szCs w:val="28"/>
        </w:rPr>
      </w:pPr>
    </w:p>
    <w:p w14:paraId="78FBF472" w14:textId="77777777" w:rsidR="002728CA" w:rsidRDefault="00EE6D4E"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AGO’s comment, while lengthy, </w:t>
      </w:r>
      <w:r w:rsidR="002728CA">
        <w:rPr>
          <w:rFonts w:ascii="Times New Roman" w:hAnsi="Times New Roman"/>
          <w:sz w:val="28"/>
          <w:szCs w:val="28"/>
        </w:rPr>
        <w:t xml:space="preserve">largely relies on its arguments from </w:t>
      </w:r>
      <w:r w:rsidR="002728CA" w:rsidRPr="002728CA">
        <w:rPr>
          <w:rFonts w:ascii="Times New Roman" w:hAnsi="Times New Roman"/>
          <w:i/>
          <w:iCs/>
          <w:sz w:val="28"/>
          <w:szCs w:val="28"/>
        </w:rPr>
        <w:t>Smith</w:t>
      </w:r>
      <w:r w:rsidR="002728CA">
        <w:rPr>
          <w:rFonts w:ascii="Times New Roman" w:hAnsi="Times New Roman"/>
          <w:sz w:val="28"/>
          <w:szCs w:val="28"/>
        </w:rPr>
        <w:t xml:space="preserve"> that convinced a three-judge panel to upend decades of practice, to which AGO itself </w:t>
      </w:r>
      <w:r w:rsidR="002728CA">
        <w:rPr>
          <w:rFonts w:ascii="Times New Roman" w:hAnsi="Times New Roman"/>
          <w:sz w:val="28"/>
          <w:szCs w:val="28"/>
        </w:rPr>
        <w:lastRenderedPageBreak/>
        <w:t xml:space="preserve">has assented (and continues that practice in other cases). However, most of AGO’s argument against changing the rule has nothing to do with good policy, and the extent of its argument that addresses policy is weakened by its failure to grasp the nature of criminal defense work in Arizona. </w:t>
      </w:r>
    </w:p>
    <w:p w14:paraId="1F910EB5" w14:textId="3F642D6E" w:rsidR="002728CA" w:rsidRDefault="002728CA" w:rsidP="0016382F">
      <w:pPr>
        <w:spacing w:line="480" w:lineRule="auto"/>
        <w:ind w:firstLine="720"/>
        <w:jc w:val="both"/>
        <w:rPr>
          <w:rFonts w:ascii="Times New Roman" w:hAnsi="Times New Roman"/>
          <w:sz w:val="28"/>
          <w:szCs w:val="28"/>
        </w:rPr>
      </w:pPr>
      <w:r>
        <w:rPr>
          <w:rFonts w:ascii="Times New Roman" w:hAnsi="Times New Roman"/>
          <w:sz w:val="28"/>
          <w:szCs w:val="28"/>
        </w:rPr>
        <w:t xml:space="preserve">It is remarkable that AGO never had a problem with ex parte hearings until a year ago in </w:t>
      </w:r>
      <w:r w:rsidRPr="002728CA">
        <w:rPr>
          <w:rFonts w:ascii="Times New Roman" w:hAnsi="Times New Roman"/>
          <w:i/>
          <w:iCs/>
          <w:sz w:val="28"/>
          <w:szCs w:val="28"/>
        </w:rPr>
        <w:t>Smith</w:t>
      </w:r>
      <w:r>
        <w:rPr>
          <w:rFonts w:ascii="Times New Roman" w:hAnsi="Times New Roman"/>
          <w:sz w:val="28"/>
          <w:szCs w:val="28"/>
        </w:rPr>
        <w:t xml:space="preserve">. </w:t>
      </w:r>
      <w:r w:rsidR="00434444">
        <w:rPr>
          <w:rFonts w:ascii="Times New Roman" w:hAnsi="Times New Roman"/>
          <w:sz w:val="28"/>
          <w:szCs w:val="28"/>
        </w:rPr>
        <w:t>In the last decade, t</w:t>
      </w:r>
      <w:r>
        <w:rPr>
          <w:rFonts w:ascii="Times New Roman" w:hAnsi="Times New Roman"/>
          <w:sz w:val="28"/>
          <w:szCs w:val="28"/>
        </w:rPr>
        <w:t>his Court appointed two task forces to restyle the Criminal Rules and to consider substantive changes to Arizona Rule of Criminal Procedure 32</w:t>
      </w:r>
      <w:r w:rsidR="00434444">
        <w:rPr>
          <w:rFonts w:ascii="Times New Roman" w:hAnsi="Times New Roman"/>
          <w:sz w:val="28"/>
          <w:szCs w:val="28"/>
        </w:rPr>
        <w:t xml:space="preserve">. The then-section chief of AGO’s capital litigation section served on the Rule 32 Task Force, where discovery rules were written into Rule 32 (and now Rule 33). AGO was fully aware of the practice of </w:t>
      </w:r>
      <w:r w:rsidR="008E20B8">
        <w:rPr>
          <w:rFonts w:ascii="Times New Roman" w:hAnsi="Times New Roman"/>
          <w:sz w:val="28"/>
          <w:szCs w:val="28"/>
        </w:rPr>
        <w:t xml:space="preserve">ex parte </w:t>
      </w:r>
      <w:r w:rsidR="00434444">
        <w:rPr>
          <w:rFonts w:ascii="Times New Roman" w:hAnsi="Times New Roman"/>
          <w:sz w:val="28"/>
          <w:szCs w:val="28"/>
        </w:rPr>
        <w:t>discovery hearings and</w:t>
      </w:r>
      <w:r w:rsidR="00434444" w:rsidRPr="00434444">
        <w:rPr>
          <w:rFonts w:ascii="Times New Roman" w:hAnsi="Times New Roman"/>
          <w:sz w:val="28"/>
          <w:szCs w:val="28"/>
        </w:rPr>
        <w:t xml:space="preserve"> </w:t>
      </w:r>
      <w:r w:rsidR="00434444">
        <w:rPr>
          <w:rFonts w:ascii="Times New Roman" w:hAnsi="Times New Roman"/>
          <w:sz w:val="28"/>
          <w:szCs w:val="28"/>
        </w:rPr>
        <w:t xml:space="preserve">never expressed any concern with it. This alone invalidates </w:t>
      </w:r>
      <w:r w:rsidR="00EE07E2">
        <w:rPr>
          <w:rFonts w:ascii="Times New Roman" w:hAnsi="Times New Roman"/>
          <w:sz w:val="28"/>
          <w:szCs w:val="28"/>
        </w:rPr>
        <w:t>all</w:t>
      </w:r>
      <w:r w:rsidR="00434444">
        <w:rPr>
          <w:rFonts w:ascii="Times New Roman" w:hAnsi="Times New Roman"/>
          <w:sz w:val="28"/>
          <w:szCs w:val="28"/>
        </w:rPr>
        <w:t xml:space="preserve"> AGO’s claims that </w:t>
      </w:r>
      <w:r w:rsidR="008E20B8">
        <w:rPr>
          <w:rFonts w:ascii="Times New Roman" w:hAnsi="Times New Roman"/>
          <w:sz w:val="28"/>
          <w:szCs w:val="28"/>
        </w:rPr>
        <w:t>ex parte</w:t>
      </w:r>
      <w:r w:rsidR="00434444">
        <w:rPr>
          <w:rFonts w:ascii="Times New Roman" w:hAnsi="Times New Roman"/>
          <w:sz w:val="28"/>
          <w:szCs w:val="28"/>
        </w:rPr>
        <w:t xml:space="preserve"> hearings are dangerous to the perception of fairness.</w:t>
      </w:r>
    </w:p>
    <w:p w14:paraId="3076E814" w14:textId="331C62B8" w:rsidR="00A87EC3" w:rsidRDefault="00733C8C" w:rsidP="0016382F">
      <w:pPr>
        <w:spacing w:line="480" w:lineRule="auto"/>
        <w:ind w:firstLine="720"/>
        <w:jc w:val="both"/>
        <w:rPr>
          <w:rFonts w:ascii="Times New Roman" w:hAnsi="Times New Roman"/>
          <w:sz w:val="28"/>
          <w:szCs w:val="28"/>
        </w:rPr>
      </w:pPr>
      <w:r>
        <w:rPr>
          <w:rFonts w:ascii="Times New Roman" w:hAnsi="Times New Roman"/>
          <w:sz w:val="28"/>
          <w:szCs w:val="28"/>
        </w:rPr>
        <w:t>MCAO</w:t>
      </w:r>
      <w:r w:rsidR="002728CA">
        <w:rPr>
          <w:rFonts w:ascii="Times New Roman" w:hAnsi="Times New Roman"/>
          <w:sz w:val="28"/>
          <w:szCs w:val="28"/>
        </w:rPr>
        <w:t>’s comment has some good insights. Although it</w:t>
      </w:r>
      <w:r>
        <w:rPr>
          <w:rFonts w:ascii="Times New Roman" w:hAnsi="Times New Roman"/>
          <w:sz w:val="28"/>
          <w:szCs w:val="28"/>
        </w:rPr>
        <w:t xml:space="preserve"> purports to disagree with the petition, Petitioner </w:t>
      </w:r>
      <w:r w:rsidR="002728CA">
        <w:rPr>
          <w:rFonts w:ascii="Times New Roman" w:hAnsi="Times New Roman"/>
          <w:sz w:val="28"/>
          <w:szCs w:val="28"/>
        </w:rPr>
        <w:t xml:space="preserve">does not </w:t>
      </w:r>
      <w:r>
        <w:rPr>
          <w:rFonts w:ascii="Times New Roman" w:hAnsi="Times New Roman"/>
          <w:sz w:val="28"/>
          <w:szCs w:val="28"/>
        </w:rPr>
        <w:t xml:space="preserve">see </w:t>
      </w:r>
      <w:r w:rsidR="002728CA">
        <w:rPr>
          <w:rFonts w:ascii="Times New Roman" w:hAnsi="Times New Roman"/>
          <w:sz w:val="28"/>
          <w:szCs w:val="28"/>
        </w:rPr>
        <w:t>as much</w:t>
      </w:r>
      <w:r>
        <w:rPr>
          <w:rFonts w:ascii="Times New Roman" w:hAnsi="Times New Roman"/>
          <w:sz w:val="28"/>
          <w:szCs w:val="28"/>
        </w:rPr>
        <w:t xml:space="preserve"> daylight between the</w:t>
      </w:r>
      <w:r w:rsidR="00D466DB">
        <w:rPr>
          <w:rFonts w:ascii="Times New Roman" w:hAnsi="Times New Roman"/>
          <w:sz w:val="28"/>
          <w:szCs w:val="28"/>
        </w:rPr>
        <w:t>ir</w:t>
      </w:r>
      <w:r>
        <w:rPr>
          <w:rFonts w:ascii="Times New Roman" w:hAnsi="Times New Roman"/>
          <w:sz w:val="28"/>
          <w:szCs w:val="28"/>
        </w:rPr>
        <w:t xml:space="preserve"> two viewpoints. </w:t>
      </w:r>
      <w:r w:rsidR="002728CA">
        <w:rPr>
          <w:rFonts w:ascii="Times New Roman" w:hAnsi="Times New Roman"/>
          <w:sz w:val="28"/>
          <w:szCs w:val="28"/>
        </w:rPr>
        <w:t xml:space="preserve">Petitioner agrees with MCAO about the need for some notice to appear in the public file that an </w:t>
      </w:r>
      <w:r w:rsidR="008E20B8">
        <w:rPr>
          <w:rFonts w:ascii="Times New Roman" w:hAnsi="Times New Roman"/>
          <w:sz w:val="28"/>
          <w:szCs w:val="28"/>
        </w:rPr>
        <w:t>ex parte</w:t>
      </w:r>
      <w:r w:rsidR="002728CA">
        <w:rPr>
          <w:rFonts w:ascii="Times New Roman" w:hAnsi="Times New Roman"/>
          <w:sz w:val="28"/>
          <w:szCs w:val="28"/>
        </w:rPr>
        <w:t xml:space="preserve"> motion was filed. MCAO’s</w:t>
      </w:r>
      <w:r>
        <w:rPr>
          <w:rFonts w:ascii="Times New Roman" w:hAnsi="Times New Roman"/>
          <w:sz w:val="28"/>
          <w:szCs w:val="28"/>
        </w:rPr>
        <w:t xml:space="preserve"> concerns about abuses of the </w:t>
      </w:r>
      <w:r w:rsidR="008E20B8">
        <w:rPr>
          <w:rFonts w:ascii="Times New Roman" w:hAnsi="Times New Roman"/>
          <w:sz w:val="28"/>
          <w:szCs w:val="28"/>
        </w:rPr>
        <w:t>ex parte</w:t>
      </w:r>
      <w:r>
        <w:rPr>
          <w:rFonts w:ascii="Times New Roman" w:hAnsi="Times New Roman"/>
          <w:sz w:val="28"/>
          <w:szCs w:val="28"/>
        </w:rPr>
        <w:t xml:space="preserve"> process would actually be reduced if the petition is adopted. What MCAO fails to grasp is that </w:t>
      </w:r>
      <w:r w:rsidR="008E20B8">
        <w:rPr>
          <w:rFonts w:ascii="Times New Roman" w:hAnsi="Times New Roman"/>
          <w:sz w:val="28"/>
          <w:szCs w:val="28"/>
        </w:rPr>
        <w:t>ex parte</w:t>
      </w:r>
      <w:r>
        <w:rPr>
          <w:rFonts w:ascii="Times New Roman" w:hAnsi="Times New Roman"/>
          <w:sz w:val="28"/>
          <w:szCs w:val="28"/>
        </w:rPr>
        <w:t xml:space="preserve"> litigation is the Wild West because there is no rule that helps to standardize the process. Adopting the petition would help to standardize that process.</w:t>
      </w:r>
    </w:p>
    <w:p w14:paraId="2F8B8EEC" w14:textId="1A7ED898" w:rsidR="00733C8C" w:rsidRPr="003658D4" w:rsidRDefault="003658D4" w:rsidP="003658D4">
      <w:pPr>
        <w:pStyle w:val="ListParagraph"/>
        <w:numPr>
          <w:ilvl w:val="0"/>
          <w:numId w:val="12"/>
        </w:numPr>
        <w:spacing w:line="480" w:lineRule="auto"/>
        <w:jc w:val="both"/>
        <w:rPr>
          <w:rFonts w:ascii="Times New Roman" w:hAnsi="Times New Roman"/>
          <w:b/>
          <w:bCs/>
          <w:sz w:val="28"/>
          <w:szCs w:val="28"/>
        </w:rPr>
      </w:pPr>
      <w:r w:rsidRPr="008E20B8">
        <w:rPr>
          <w:rFonts w:ascii="Times New Roman" w:hAnsi="Times New Roman"/>
          <w:b/>
          <w:bCs/>
          <w:sz w:val="28"/>
          <w:szCs w:val="28"/>
        </w:rPr>
        <w:lastRenderedPageBreak/>
        <w:t>Ex parte</w:t>
      </w:r>
      <w:r w:rsidRPr="003658D4">
        <w:rPr>
          <w:rFonts w:ascii="Times New Roman" w:hAnsi="Times New Roman"/>
          <w:b/>
          <w:bCs/>
          <w:sz w:val="28"/>
          <w:szCs w:val="28"/>
        </w:rPr>
        <w:t xml:space="preserve"> communications are </w:t>
      </w:r>
      <w:r w:rsidR="004C380E">
        <w:rPr>
          <w:rFonts w:ascii="Times New Roman" w:hAnsi="Times New Roman"/>
          <w:b/>
          <w:bCs/>
          <w:sz w:val="28"/>
          <w:szCs w:val="28"/>
        </w:rPr>
        <w:t>“</w:t>
      </w:r>
      <w:r w:rsidR="00B81A4C">
        <w:rPr>
          <w:rFonts w:ascii="Times New Roman" w:hAnsi="Times New Roman"/>
          <w:b/>
          <w:bCs/>
          <w:sz w:val="28"/>
          <w:szCs w:val="28"/>
        </w:rPr>
        <w:t>expressly authorized.</w:t>
      </w:r>
      <w:r w:rsidR="004C380E">
        <w:rPr>
          <w:rFonts w:ascii="Times New Roman" w:hAnsi="Times New Roman"/>
          <w:b/>
          <w:bCs/>
          <w:sz w:val="28"/>
          <w:szCs w:val="28"/>
        </w:rPr>
        <w:t>”</w:t>
      </w:r>
    </w:p>
    <w:p w14:paraId="047472B3" w14:textId="561A3B03" w:rsidR="002728CA" w:rsidRDefault="00EE6D4E" w:rsidP="00EE6D4E">
      <w:pPr>
        <w:spacing w:line="480" w:lineRule="auto"/>
        <w:ind w:firstLine="720"/>
        <w:jc w:val="both"/>
        <w:rPr>
          <w:rFonts w:ascii="Times New Roman" w:hAnsi="Times New Roman"/>
          <w:sz w:val="28"/>
          <w:szCs w:val="28"/>
        </w:rPr>
      </w:pPr>
      <w:r>
        <w:rPr>
          <w:rFonts w:ascii="Times New Roman" w:hAnsi="Times New Roman"/>
          <w:sz w:val="28"/>
          <w:szCs w:val="28"/>
        </w:rPr>
        <w:t xml:space="preserve">The </w:t>
      </w:r>
      <w:r w:rsidR="005E540F">
        <w:rPr>
          <w:rFonts w:ascii="Times New Roman" w:hAnsi="Times New Roman"/>
          <w:sz w:val="28"/>
          <w:szCs w:val="28"/>
        </w:rPr>
        <w:t>MCAO</w:t>
      </w:r>
      <w:r>
        <w:rPr>
          <w:rFonts w:ascii="Times New Roman" w:hAnsi="Times New Roman"/>
          <w:sz w:val="28"/>
          <w:szCs w:val="28"/>
        </w:rPr>
        <w:t xml:space="preserve"> comment briefly mentions the “general prohibition”</w:t>
      </w:r>
      <w:r w:rsidR="005E540F">
        <w:rPr>
          <w:rFonts w:ascii="Times New Roman" w:hAnsi="Times New Roman"/>
          <w:sz w:val="28"/>
          <w:szCs w:val="28"/>
        </w:rPr>
        <w:t xml:space="preserve"> </w:t>
      </w:r>
      <w:r>
        <w:rPr>
          <w:rFonts w:ascii="Times New Roman" w:hAnsi="Times New Roman"/>
          <w:sz w:val="28"/>
          <w:szCs w:val="28"/>
        </w:rPr>
        <w:t>on</w:t>
      </w:r>
      <w:r w:rsidR="005E540F">
        <w:rPr>
          <w:rFonts w:ascii="Times New Roman" w:hAnsi="Times New Roman"/>
          <w:sz w:val="28"/>
          <w:szCs w:val="28"/>
        </w:rPr>
        <w:t xml:space="preserve"> </w:t>
      </w:r>
      <w:r w:rsidR="008E20B8">
        <w:rPr>
          <w:rFonts w:ascii="Times New Roman" w:hAnsi="Times New Roman"/>
          <w:sz w:val="28"/>
          <w:szCs w:val="28"/>
        </w:rPr>
        <w:t>ex parte</w:t>
      </w:r>
      <w:r w:rsidR="005E540F">
        <w:rPr>
          <w:rFonts w:ascii="Times New Roman" w:hAnsi="Times New Roman"/>
          <w:sz w:val="28"/>
          <w:szCs w:val="28"/>
        </w:rPr>
        <w:t xml:space="preserve"> communications</w:t>
      </w:r>
      <w:r>
        <w:rPr>
          <w:rFonts w:ascii="Times New Roman" w:hAnsi="Times New Roman"/>
          <w:sz w:val="28"/>
          <w:szCs w:val="28"/>
        </w:rPr>
        <w:t xml:space="preserve"> but offers little more than citation to </w:t>
      </w:r>
      <w:r w:rsidR="00653819">
        <w:rPr>
          <w:rFonts w:ascii="Times New Roman" w:hAnsi="Times New Roman"/>
          <w:sz w:val="28"/>
          <w:szCs w:val="28"/>
        </w:rPr>
        <w:t xml:space="preserve">Ariz. R. Sup. Ct. 81, </w:t>
      </w:r>
      <w:r>
        <w:rPr>
          <w:rFonts w:ascii="Times New Roman" w:hAnsi="Times New Roman"/>
          <w:sz w:val="28"/>
          <w:szCs w:val="28"/>
        </w:rPr>
        <w:t xml:space="preserve">Canon 2.9(A). </w:t>
      </w:r>
      <w:r w:rsidR="002728CA">
        <w:rPr>
          <w:rFonts w:ascii="Times New Roman" w:hAnsi="Times New Roman"/>
          <w:sz w:val="28"/>
          <w:szCs w:val="28"/>
        </w:rPr>
        <w:t xml:space="preserve">MCAO Comment at 2. </w:t>
      </w:r>
      <w:r>
        <w:rPr>
          <w:rFonts w:ascii="Times New Roman" w:hAnsi="Times New Roman"/>
          <w:sz w:val="28"/>
          <w:szCs w:val="28"/>
        </w:rPr>
        <w:t>This issue is the focus of the AGO comment, which acknowledges the exception in</w:t>
      </w:r>
      <w:r w:rsidRPr="00EE6D4E">
        <w:rPr>
          <w:rFonts w:ascii="Times New Roman" w:hAnsi="Times New Roman"/>
          <w:sz w:val="28"/>
          <w:szCs w:val="28"/>
        </w:rPr>
        <w:t xml:space="preserve"> </w:t>
      </w:r>
      <w:r>
        <w:rPr>
          <w:rFonts w:ascii="Times New Roman" w:hAnsi="Times New Roman"/>
          <w:sz w:val="28"/>
          <w:szCs w:val="28"/>
        </w:rPr>
        <w:t xml:space="preserve">Canon 2.9(A)(5) that a court may </w:t>
      </w:r>
      <w:r w:rsidRPr="00EE6D4E">
        <w:rPr>
          <w:rFonts w:ascii="Times New Roman" w:hAnsi="Times New Roman"/>
          <w:sz w:val="28"/>
          <w:szCs w:val="28"/>
        </w:rPr>
        <w:t xml:space="preserve">“initiate, permit, or consider any </w:t>
      </w:r>
      <w:r w:rsidR="008E20B8">
        <w:rPr>
          <w:rFonts w:ascii="Times New Roman" w:hAnsi="Times New Roman"/>
          <w:sz w:val="28"/>
          <w:szCs w:val="28"/>
        </w:rPr>
        <w:t>ex parte</w:t>
      </w:r>
      <w:r w:rsidRPr="00EE6D4E">
        <w:rPr>
          <w:rFonts w:ascii="Times New Roman" w:hAnsi="Times New Roman"/>
          <w:sz w:val="28"/>
          <w:szCs w:val="28"/>
        </w:rPr>
        <w:t xml:space="preserve"> communication when expressly authorized by law to do so.”</w:t>
      </w:r>
      <w:r>
        <w:rPr>
          <w:rFonts w:ascii="Times New Roman" w:hAnsi="Times New Roman"/>
          <w:sz w:val="28"/>
          <w:szCs w:val="28"/>
        </w:rPr>
        <w:t xml:space="preserve"> AGO finds the exception inapplicable because no other rule expressly refers to allowing </w:t>
      </w:r>
      <w:r w:rsidR="008E20B8">
        <w:rPr>
          <w:rFonts w:ascii="Times New Roman" w:hAnsi="Times New Roman"/>
          <w:sz w:val="28"/>
          <w:szCs w:val="28"/>
        </w:rPr>
        <w:t>ex parte</w:t>
      </w:r>
      <w:r>
        <w:rPr>
          <w:rFonts w:ascii="Times New Roman" w:hAnsi="Times New Roman"/>
          <w:sz w:val="28"/>
          <w:szCs w:val="28"/>
        </w:rPr>
        <w:t xml:space="preserve"> hearings for discovery matters. AGO Comment at 2</w:t>
      </w:r>
      <w:r w:rsidR="002728CA">
        <w:rPr>
          <w:rFonts w:ascii="Times New Roman" w:hAnsi="Times New Roman"/>
          <w:sz w:val="28"/>
          <w:szCs w:val="28"/>
        </w:rPr>
        <w:t>-3</w:t>
      </w:r>
      <w:r>
        <w:rPr>
          <w:rFonts w:ascii="Times New Roman" w:hAnsi="Times New Roman"/>
          <w:sz w:val="28"/>
          <w:szCs w:val="28"/>
        </w:rPr>
        <w:t>.</w:t>
      </w:r>
      <w:r w:rsidR="002728CA">
        <w:rPr>
          <w:rFonts w:ascii="Times New Roman" w:hAnsi="Times New Roman"/>
          <w:sz w:val="28"/>
          <w:szCs w:val="28"/>
        </w:rPr>
        <w:t xml:space="preserve"> </w:t>
      </w:r>
    </w:p>
    <w:p w14:paraId="0EB91EB3" w14:textId="2F22497B" w:rsidR="00E319A1" w:rsidRDefault="002728CA" w:rsidP="00EE6D4E">
      <w:pPr>
        <w:spacing w:line="480" w:lineRule="auto"/>
        <w:ind w:firstLine="720"/>
        <w:jc w:val="both"/>
        <w:rPr>
          <w:rFonts w:ascii="Times New Roman" w:hAnsi="Times New Roman"/>
          <w:sz w:val="28"/>
          <w:szCs w:val="28"/>
        </w:rPr>
      </w:pPr>
      <w:r>
        <w:rPr>
          <w:rFonts w:ascii="Times New Roman" w:hAnsi="Times New Roman"/>
          <w:sz w:val="28"/>
          <w:szCs w:val="28"/>
        </w:rPr>
        <w:t>AGO disputes this Court authorized</w:t>
      </w:r>
      <w:r w:rsidR="004C380E">
        <w:rPr>
          <w:rFonts w:ascii="Times New Roman" w:hAnsi="Times New Roman"/>
          <w:sz w:val="28"/>
          <w:szCs w:val="28"/>
        </w:rPr>
        <w:t xml:space="preserve"> trial courts to hold</w:t>
      </w:r>
      <w:r>
        <w:rPr>
          <w:rFonts w:ascii="Times New Roman" w:hAnsi="Times New Roman"/>
          <w:sz w:val="28"/>
          <w:szCs w:val="28"/>
        </w:rPr>
        <w:t xml:space="preserve"> </w:t>
      </w:r>
      <w:r w:rsidR="008E20B8">
        <w:rPr>
          <w:rFonts w:ascii="Times New Roman" w:hAnsi="Times New Roman"/>
          <w:sz w:val="28"/>
          <w:szCs w:val="28"/>
        </w:rPr>
        <w:t>ex parte</w:t>
      </w:r>
      <w:r>
        <w:rPr>
          <w:rFonts w:ascii="Times New Roman" w:hAnsi="Times New Roman"/>
          <w:sz w:val="28"/>
          <w:szCs w:val="28"/>
        </w:rPr>
        <w:t xml:space="preserve"> proceedings in </w:t>
      </w:r>
      <w:r w:rsidR="004C380E" w:rsidRPr="00C5503F">
        <w:rPr>
          <w:rFonts w:ascii="Times New Roman" w:hAnsi="Times New Roman"/>
          <w:i/>
          <w:iCs/>
          <w:sz w:val="28"/>
          <w:szCs w:val="28"/>
        </w:rPr>
        <w:t>Morehart v. Barton</w:t>
      </w:r>
      <w:r w:rsidR="004C380E">
        <w:rPr>
          <w:rFonts w:ascii="Times New Roman" w:hAnsi="Times New Roman"/>
          <w:sz w:val="28"/>
          <w:szCs w:val="28"/>
        </w:rPr>
        <w:t xml:space="preserve">, 226 Ariz. 510 (2011), and </w:t>
      </w:r>
      <w:r w:rsidR="004C380E" w:rsidRPr="00242A00">
        <w:rPr>
          <w:rFonts w:ascii="Times New Roman" w:hAnsi="Times New Roman"/>
          <w:i/>
          <w:iCs/>
          <w:sz w:val="28"/>
          <w:szCs w:val="28"/>
        </w:rPr>
        <w:t>State v. VanWinkle</w:t>
      </w:r>
      <w:r w:rsidR="004C380E">
        <w:rPr>
          <w:rFonts w:ascii="Times New Roman" w:hAnsi="Times New Roman"/>
          <w:sz w:val="28"/>
          <w:szCs w:val="28"/>
        </w:rPr>
        <w:t>, 230 Ariz. 387 (2012).</w:t>
      </w:r>
      <w:r w:rsidR="00253A0B">
        <w:rPr>
          <w:rFonts w:ascii="Times New Roman" w:hAnsi="Times New Roman"/>
          <w:sz w:val="28"/>
          <w:szCs w:val="28"/>
        </w:rPr>
        <w:t xml:space="preserve"> AGO is wrong. It is true that in </w:t>
      </w:r>
      <w:r w:rsidR="00253A0B" w:rsidRPr="00253A0B">
        <w:rPr>
          <w:rFonts w:ascii="Times New Roman" w:hAnsi="Times New Roman"/>
          <w:i/>
          <w:iCs/>
          <w:sz w:val="28"/>
          <w:szCs w:val="28"/>
        </w:rPr>
        <w:t>Morehart</w:t>
      </w:r>
      <w:r w:rsidR="00253A0B">
        <w:rPr>
          <w:rFonts w:ascii="Times New Roman" w:hAnsi="Times New Roman"/>
          <w:sz w:val="28"/>
          <w:szCs w:val="28"/>
        </w:rPr>
        <w:t xml:space="preserve"> the State never contested whether </w:t>
      </w:r>
      <w:r w:rsidR="008E20B8">
        <w:rPr>
          <w:rFonts w:ascii="Times New Roman" w:hAnsi="Times New Roman"/>
          <w:sz w:val="28"/>
          <w:szCs w:val="28"/>
        </w:rPr>
        <w:t>ex parte</w:t>
      </w:r>
      <w:r w:rsidR="00253A0B">
        <w:rPr>
          <w:rFonts w:ascii="Times New Roman" w:hAnsi="Times New Roman"/>
          <w:sz w:val="28"/>
          <w:szCs w:val="28"/>
        </w:rPr>
        <w:t xml:space="preserve"> hearings are allowed for discovery purposes, and for that reason this Court assumed that then-Rule 15.9 “authorizes such a proceeding ancillary to the court’s appointment of a mitigation specialist…” 226 Ariz. at 513 ¶ 12. But </w:t>
      </w:r>
      <w:r w:rsidR="00E319A1">
        <w:rPr>
          <w:rFonts w:ascii="Times New Roman" w:hAnsi="Times New Roman"/>
          <w:sz w:val="28"/>
          <w:szCs w:val="28"/>
        </w:rPr>
        <w:t>this Court nevertheless stated:</w:t>
      </w:r>
    </w:p>
    <w:p w14:paraId="751AF167" w14:textId="77777777" w:rsidR="00E319A1" w:rsidRDefault="00E319A1" w:rsidP="00E319A1">
      <w:pPr>
        <w:spacing w:line="240" w:lineRule="auto"/>
        <w:ind w:left="720" w:right="720"/>
        <w:jc w:val="both"/>
        <w:rPr>
          <w:rFonts w:ascii="Times New Roman" w:hAnsi="Times New Roman"/>
          <w:sz w:val="28"/>
          <w:szCs w:val="28"/>
        </w:rPr>
      </w:pPr>
      <w:r w:rsidRPr="00E319A1">
        <w:rPr>
          <w:rFonts w:ascii="Times New Roman" w:hAnsi="Times New Roman"/>
          <w:sz w:val="28"/>
          <w:szCs w:val="28"/>
        </w:rPr>
        <w:t xml:space="preserve">Our holding today respects these provisions while ensuring capital cases are conducted in the manner the United States Supreme Court has said is constitutionally required. </w:t>
      </w:r>
      <w:r w:rsidRPr="00E319A1">
        <w:rPr>
          <w:rFonts w:ascii="Times New Roman" w:hAnsi="Times New Roman"/>
          <w:b/>
          <w:bCs/>
          <w:sz w:val="28"/>
          <w:szCs w:val="28"/>
        </w:rPr>
        <w:t>To summarize, an ex parte hearing related to pretrial mitigation discovery is permitted under Rule 15.9(b) only when the defense has made a proper showing of a need for confidentiality</w:t>
      </w:r>
      <w:r w:rsidRPr="00E319A1">
        <w:rPr>
          <w:rFonts w:ascii="Times New Roman" w:hAnsi="Times New Roman"/>
          <w:sz w:val="28"/>
          <w:szCs w:val="28"/>
        </w:rPr>
        <w:t>.</w:t>
      </w:r>
      <w:r>
        <w:rPr>
          <w:rFonts w:ascii="Times New Roman" w:hAnsi="Times New Roman"/>
          <w:sz w:val="28"/>
          <w:szCs w:val="28"/>
        </w:rPr>
        <w:t xml:space="preserve"> </w:t>
      </w:r>
    </w:p>
    <w:p w14:paraId="51F75471" w14:textId="77777777" w:rsidR="00E319A1" w:rsidRDefault="00E319A1" w:rsidP="00E319A1">
      <w:pPr>
        <w:spacing w:line="240" w:lineRule="auto"/>
        <w:jc w:val="both"/>
        <w:rPr>
          <w:rFonts w:ascii="Times New Roman" w:hAnsi="Times New Roman"/>
          <w:sz w:val="28"/>
          <w:szCs w:val="28"/>
        </w:rPr>
      </w:pPr>
    </w:p>
    <w:p w14:paraId="28E5B5B5" w14:textId="4A54715B" w:rsidR="007E0020" w:rsidRDefault="00E319A1" w:rsidP="00E319A1">
      <w:pPr>
        <w:spacing w:line="480" w:lineRule="auto"/>
        <w:jc w:val="both"/>
        <w:rPr>
          <w:rFonts w:ascii="Times New Roman" w:hAnsi="Times New Roman"/>
          <w:sz w:val="28"/>
          <w:szCs w:val="28"/>
        </w:rPr>
      </w:pPr>
      <w:r w:rsidRPr="00E319A1">
        <w:rPr>
          <w:rFonts w:ascii="Times New Roman" w:hAnsi="Times New Roman"/>
          <w:i/>
          <w:iCs/>
          <w:sz w:val="28"/>
          <w:szCs w:val="28"/>
        </w:rPr>
        <w:t>Id</w:t>
      </w:r>
      <w:r>
        <w:rPr>
          <w:rFonts w:ascii="Times New Roman" w:hAnsi="Times New Roman"/>
          <w:sz w:val="28"/>
          <w:szCs w:val="28"/>
        </w:rPr>
        <w:t xml:space="preserve">. at 515-16 ¶ 22 (emphasis added). And </w:t>
      </w:r>
      <w:r w:rsidR="00253A0B">
        <w:rPr>
          <w:rFonts w:ascii="Times New Roman" w:hAnsi="Times New Roman"/>
          <w:sz w:val="28"/>
          <w:szCs w:val="28"/>
        </w:rPr>
        <w:t xml:space="preserve">in </w:t>
      </w:r>
      <w:r w:rsidR="00253A0B" w:rsidRPr="00253A0B">
        <w:rPr>
          <w:rFonts w:ascii="Times New Roman" w:hAnsi="Times New Roman"/>
          <w:i/>
          <w:iCs/>
          <w:sz w:val="28"/>
          <w:szCs w:val="28"/>
        </w:rPr>
        <w:t>VanWinkle</w:t>
      </w:r>
      <w:r w:rsidR="00253A0B">
        <w:rPr>
          <w:rFonts w:ascii="Times New Roman" w:hAnsi="Times New Roman"/>
          <w:sz w:val="28"/>
          <w:szCs w:val="28"/>
        </w:rPr>
        <w:t xml:space="preserve"> this Court plainly authorized such proceedings: “[I]</w:t>
      </w:r>
      <w:r w:rsidR="00253A0B" w:rsidRPr="00253A0B">
        <w:rPr>
          <w:rFonts w:ascii="Times New Roman" w:hAnsi="Times New Roman"/>
          <w:sz w:val="28"/>
          <w:szCs w:val="28"/>
        </w:rPr>
        <w:t xml:space="preserve">f VanWinkle was concerned about disclosing matters of trial </w:t>
      </w:r>
      <w:r w:rsidR="00253A0B" w:rsidRPr="00253A0B">
        <w:rPr>
          <w:rFonts w:ascii="Times New Roman" w:hAnsi="Times New Roman"/>
          <w:sz w:val="28"/>
          <w:szCs w:val="28"/>
        </w:rPr>
        <w:lastRenderedPageBreak/>
        <w:t xml:space="preserve">strategy or work product, he could have requested an ex parte hearing. </w:t>
      </w:r>
      <w:r w:rsidR="00253A0B" w:rsidRPr="00253A0B">
        <w:rPr>
          <w:rFonts w:ascii="Times New Roman" w:hAnsi="Times New Roman"/>
          <w:i/>
          <w:iCs/>
          <w:sz w:val="28"/>
          <w:szCs w:val="28"/>
        </w:rPr>
        <w:t>See</w:t>
      </w:r>
      <w:r w:rsidR="00253A0B" w:rsidRPr="00253A0B">
        <w:rPr>
          <w:rFonts w:ascii="Times New Roman" w:hAnsi="Times New Roman"/>
          <w:sz w:val="28"/>
          <w:szCs w:val="28"/>
        </w:rPr>
        <w:t xml:space="preserve"> Ariz. R.</w:t>
      </w:r>
      <w:r w:rsidR="00253A0B">
        <w:rPr>
          <w:rFonts w:ascii="Times New Roman" w:hAnsi="Times New Roman"/>
          <w:sz w:val="28"/>
          <w:szCs w:val="28"/>
        </w:rPr>
        <w:t xml:space="preserve"> </w:t>
      </w:r>
      <w:r w:rsidR="00253A0B" w:rsidRPr="00253A0B">
        <w:rPr>
          <w:rFonts w:ascii="Times New Roman" w:hAnsi="Times New Roman"/>
          <w:sz w:val="28"/>
          <w:szCs w:val="28"/>
        </w:rPr>
        <w:t>Crim. P. 15.9(b) (allowing ex parte proceedings when defendant requires confidentiality).</w:t>
      </w:r>
      <w:r w:rsidR="00253A0B">
        <w:rPr>
          <w:rFonts w:ascii="Times New Roman" w:hAnsi="Times New Roman"/>
          <w:sz w:val="28"/>
          <w:szCs w:val="28"/>
        </w:rPr>
        <w:t>” 230 Ariz. at 391 ¶ 11.</w:t>
      </w:r>
      <w:r w:rsidR="00190113">
        <w:rPr>
          <w:rFonts w:ascii="Times New Roman" w:hAnsi="Times New Roman"/>
          <w:sz w:val="28"/>
          <w:szCs w:val="28"/>
        </w:rPr>
        <w:t xml:space="preserve"> Th</w:t>
      </w:r>
      <w:r w:rsidR="00C87254">
        <w:rPr>
          <w:rFonts w:ascii="Times New Roman" w:hAnsi="Times New Roman"/>
          <w:sz w:val="28"/>
          <w:szCs w:val="28"/>
        </w:rPr>
        <w:t>ese</w:t>
      </w:r>
      <w:r w:rsidR="00190113">
        <w:rPr>
          <w:rFonts w:ascii="Times New Roman" w:hAnsi="Times New Roman"/>
          <w:sz w:val="28"/>
          <w:szCs w:val="28"/>
        </w:rPr>
        <w:t xml:space="preserve"> quote</w:t>
      </w:r>
      <w:r w:rsidR="00C87254">
        <w:rPr>
          <w:rFonts w:ascii="Times New Roman" w:hAnsi="Times New Roman"/>
          <w:sz w:val="28"/>
          <w:szCs w:val="28"/>
        </w:rPr>
        <w:t>s</w:t>
      </w:r>
      <w:r w:rsidR="00190113">
        <w:rPr>
          <w:rFonts w:ascii="Times New Roman" w:hAnsi="Times New Roman"/>
          <w:sz w:val="28"/>
          <w:szCs w:val="28"/>
        </w:rPr>
        <w:t xml:space="preserve"> plainly constitute “express authorization” under Canon 2.9(A)(5).</w:t>
      </w:r>
      <w:r w:rsidR="007E0020">
        <w:rPr>
          <w:rFonts w:ascii="Times New Roman" w:hAnsi="Times New Roman"/>
          <w:sz w:val="28"/>
          <w:szCs w:val="28"/>
        </w:rPr>
        <w:t xml:space="preserve"> </w:t>
      </w:r>
    </w:p>
    <w:p w14:paraId="511B57DD" w14:textId="28C2EC42" w:rsidR="003658D4" w:rsidRDefault="007E0020" w:rsidP="00EE6D4E">
      <w:pPr>
        <w:spacing w:line="480" w:lineRule="auto"/>
        <w:ind w:firstLine="720"/>
        <w:jc w:val="both"/>
        <w:rPr>
          <w:rFonts w:ascii="Times New Roman" w:hAnsi="Times New Roman"/>
          <w:sz w:val="28"/>
          <w:szCs w:val="28"/>
        </w:rPr>
      </w:pPr>
      <w:r>
        <w:rPr>
          <w:rFonts w:ascii="Times New Roman" w:hAnsi="Times New Roman"/>
          <w:sz w:val="28"/>
          <w:szCs w:val="28"/>
        </w:rPr>
        <w:t xml:space="preserve">AGO’s argument against </w:t>
      </w:r>
      <w:r w:rsidR="004A6D42" w:rsidRPr="00253A0B">
        <w:rPr>
          <w:rFonts w:ascii="Times New Roman" w:hAnsi="Times New Roman"/>
          <w:i/>
          <w:iCs/>
          <w:sz w:val="28"/>
          <w:szCs w:val="28"/>
        </w:rPr>
        <w:t>VanWinkle</w:t>
      </w:r>
      <w:r w:rsidR="004A6D42">
        <w:rPr>
          <w:rFonts w:ascii="Times New Roman" w:hAnsi="Times New Roman"/>
          <w:sz w:val="28"/>
          <w:szCs w:val="28"/>
        </w:rPr>
        <w:t xml:space="preserve"> </w:t>
      </w:r>
      <w:r>
        <w:rPr>
          <w:rFonts w:ascii="Times New Roman" w:hAnsi="Times New Roman"/>
          <w:sz w:val="28"/>
          <w:szCs w:val="28"/>
        </w:rPr>
        <w:t xml:space="preserve">is nothing more than </w:t>
      </w:r>
      <w:r w:rsidR="00BA2639">
        <w:rPr>
          <w:rFonts w:ascii="Times New Roman" w:hAnsi="Times New Roman"/>
          <w:sz w:val="28"/>
          <w:szCs w:val="28"/>
        </w:rPr>
        <w:t xml:space="preserve">asserting </w:t>
      </w:r>
      <w:r>
        <w:rPr>
          <w:rFonts w:ascii="Times New Roman" w:hAnsi="Times New Roman"/>
          <w:sz w:val="28"/>
          <w:szCs w:val="28"/>
        </w:rPr>
        <w:t xml:space="preserve">the statement is dictum. AGO mistakenly assumes that dictum cannot “expressly authorize.” AGO Comment at 5-6. This reflects a misunderstanding of the power of dictum. What dictum cannot do is control the question on a particular point. But if dictum expressly authorizes a particular action, then the action is “expressly authorized by law.” Obviously this Court would never have said VanWinkle could do something that he legally cannot. Notably, AGO fails to respond to the claim that “it is far-fetched to imagine that this Court used dictum to suborn ethical violations.” Petition at 5. “The State’s reticence </w:t>
      </w:r>
      <w:r w:rsidRPr="007E0020">
        <w:rPr>
          <w:rFonts w:ascii="Times New Roman" w:hAnsi="Times New Roman"/>
          <w:sz w:val="28"/>
          <w:szCs w:val="28"/>
        </w:rPr>
        <w:t>perhaps reflects that there is no convincing argument</w:t>
      </w:r>
      <w:r>
        <w:rPr>
          <w:rFonts w:ascii="Times New Roman" w:hAnsi="Times New Roman"/>
          <w:sz w:val="28"/>
          <w:szCs w:val="28"/>
        </w:rPr>
        <w:t xml:space="preserve">” against that position. </w:t>
      </w:r>
      <w:r w:rsidRPr="007E0020">
        <w:rPr>
          <w:rFonts w:ascii="Times New Roman" w:hAnsi="Times New Roman"/>
          <w:i/>
          <w:iCs/>
          <w:sz w:val="28"/>
          <w:szCs w:val="28"/>
        </w:rPr>
        <w:t>State v. Glissendorf</w:t>
      </w:r>
      <w:r>
        <w:rPr>
          <w:rFonts w:ascii="Times New Roman" w:hAnsi="Times New Roman"/>
          <w:sz w:val="28"/>
          <w:szCs w:val="28"/>
        </w:rPr>
        <w:t>, 235 Ariz. 147, 153 ¶ 24 (2014).</w:t>
      </w:r>
    </w:p>
    <w:p w14:paraId="17FE797E" w14:textId="1C8A2323" w:rsidR="003658D4" w:rsidRPr="003658D4" w:rsidRDefault="007E0020" w:rsidP="004A6D42">
      <w:pPr>
        <w:spacing w:line="480" w:lineRule="auto"/>
        <w:ind w:firstLine="720"/>
        <w:jc w:val="both"/>
        <w:rPr>
          <w:rFonts w:ascii="Times New Roman" w:hAnsi="Times New Roman"/>
          <w:sz w:val="28"/>
          <w:szCs w:val="28"/>
        </w:rPr>
      </w:pPr>
      <w:r>
        <w:rPr>
          <w:rFonts w:ascii="Times New Roman" w:hAnsi="Times New Roman"/>
          <w:sz w:val="28"/>
          <w:szCs w:val="28"/>
        </w:rPr>
        <w:t xml:space="preserve">Even </w:t>
      </w:r>
      <w:r w:rsidR="00E77622">
        <w:rPr>
          <w:rFonts w:ascii="Times New Roman" w:hAnsi="Times New Roman"/>
          <w:sz w:val="28"/>
          <w:szCs w:val="28"/>
        </w:rPr>
        <w:t>supposing</w:t>
      </w:r>
      <w:r>
        <w:rPr>
          <w:rFonts w:ascii="Times New Roman" w:hAnsi="Times New Roman"/>
          <w:sz w:val="28"/>
          <w:szCs w:val="28"/>
        </w:rPr>
        <w:t xml:space="preserve"> AGO were correct that no law expressly authorizes </w:t>
      </w:r>
      <w:r w:rsidR="008E20B8">
        <w:rPr>
          <w:rFonts w:ascii="Times New Roman" w:hAnsi="Times New Roman"/>
          <w:sz w:val="28"/>
          <w:szCs w:val="28"/>
        </w:rPr>
        <w:t>ex parte</w:t>
      </w:r>
      <w:r>
        <w:rPr>
          <w:rFonts w:ascii="Times New Roman" w:hAnsi="Times New Roman"/>
          <w:sz w:val="28"/>
          <w:szCs w:val="28"/>
        </w:rPr>
        <w:t xml:space="preserve"> hearings on discovery, </w:t>
      </w:r>
      <w:r w:rsidR="00E77622">
        <w:rPr>
          <w:rFonts w:ascii="Times New Roman" w:hAnsi="Times New Roman"/>
          <w:sz w:val="28"/>
          <w:szCs w:val="28"/>
        </w:rPr>
        <w:t>adopting</w:t>
      </w:r>
      <w:r>
        <w:rPr>
          <w:rFonts w:ascii="Times New Roman" w:hAnsi="Times New Roman"/>
          <w:sz w:val="28"/>
          <w:szCs w:val="28"/>
        </w:rPr>
        <w:t xml:space="preserve"> the rule change petition would </w:t>
      </w:r>
      <w:r w:rsidR="00B81A4C">
        <w:rPr>
          <w:rFonts w:ascii="Times New Roman" w:hAnsi="Times New Roman"/>
          <w:sz w:val="28"/>
          <w:szCs w:val="28"/>
        </w:rPr>
        <w:t>indisputably</w:t>
      </w:r>
      <w:r>
        <w:rPr>
          <w:rFonts w:ascii="Times New Roman" w:hAnsi="Times New Roman"/>
          <w:sz w:val="28"/>
          <w:szCs w:val="28"/>
        </w:rPr>
        <w:t xml:space="preserve"> expressly authorize </w:t>
      </w:r>
      <w:r w:rsidR="004A6D42">
        <w:rPr>
          <w:rFonts w:ascii="Times New Roman" w:hAnsi="Times New Roman"/>
          <w:sz w:val="28"/>
          <w:szCs w:val="28"/>
        </w:rPr>
        <w:t>them</w:t>
      </w:r>
      <w:r>
        <w:rPr>
          <w:rFonts w:ascii="Times New Roman" w:hAnsi="Times New Roman"/>
          <w:sz w:val="28"/>
          <w:szCs w:val="28"/>
        </w:rPr>
        <w:t>.</w:t>
      </w:r>
    </w:p>
    <w:p w14:paraId="1428F4CA" w14:textId="09961A35" w:rsidR="003658D4" w:rsidRPr="00B81A4C" w:rsidRDefault="00B81A4C" w:rsidP="00B81A4C">
      <w:pPr>
        <w:pStyle w:val="ListParagraph"/>
        <w:numPr>
          <w:ilvl w:val="0"/>
          <w:numId w:val="12"/>
        </w:numPr>
        <w:spacing w:line="240" w:lineRule="auto"/>
        <w:jc w:val="both"/>
        <w:rPr>
          <w:rFonts w:ascii="Times New Roman" w:hAnsi="Times New Roman"/>
          <w:b/>
          <w:bCs/>
          <w:sz w:val="28"/>
          <w:szCs w:val="28"/>
        </w:rPr>
      </w:pPr>
      <w:r w:rsidRPr="008E20B8">
        <w:rPr>
          <w:rFonts w:ascii="Times New Roman" w:hAnsi="Times New Roman"/>
          <w:b/>
          <w:bCs/>
          <w:sz w:val="28"/>
          <w:szCs w:val="28"/>
        </w:rPr>
        <w:t>Ex parte</w:t>
      </w:r>
      <w:r w:rsidRPr="00B81A4C">
        <w:rPr>
          <w:rFonts w:ascii="Times New Roman" w:hAnsi="Times New Roman"/>
          <w:b/>
          <w:bCs/>
          <w:sz w:val="28"/>
          <w:szCs w:val="28"/>
        </w:rPr>
        <w:t xml:space="preserve"> hearings are appropriate for criminal defendants’ discovery requests</w:t>
      </w:r>
      <w:r w:rsidR="004C4953">
        <w:rPr>
          <w:rFonts w:ascii="Times New Roman" w:hAnsi="Times New Roman"/>
          <w:b/>
          <w:bCs/>
          <w:sz w:val="28"/>
          <w:szCs w:val="28"/>
        </w:rPr>
        <w:t xml:space="preserve"> and should not be subject to blanket prohibition</w:t>
      </w:r>
      <w:r w:rsidRPr="00B81A4C">
        <w:rPr>
          <w:rFonts w:ascii="Times New Roman" w:hAnsi="Times New Roman"/>
          <w:b/>
          <w:bCs/>
          <w:sz w:val="28"/>
          <w:szCs w:val="28"/>
        </w:rPr>
        <w:t>.</w:t>
      </w:r>
    </w:p>
    <w:p w14:paraId="77FE0E9B" w14:textId="77777777" w:rsidR="003126FA" w:rsidRDefault="003126FA" w:rsidP="003126FA">
      <w:pPr>
        <w:spacing w:line="240" w:lineRule="auto"/>
        <w:ind w:firstLine="720"/>
        <w:jc w:val="both"/>
        <w:rPr>
          <w:rFonts w:ascii="Times New Roman" w:hAnsi="Times New Roman"/>
          <w:sz w:val="28"/>
          <w:szCs w:val="28"/>
        </w:rPr>
      </w:pPr>
    </w:p>
    <w:p w14:paraId="463AD03A" w14:textId="133C6D05" w:rsidR="009B0982" w:rsidRDefault="009B0982"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takes no issue with the assertion that ex parte proceedings are “disfavored” and “generally prohibited.” AGO Comment at 1, 3, 16; MCAO </w:t>
      </w:r>
      <w:r>
        <w:rPr>
          <w:rFonts w:ascii="Times New Roman" w:hAnsi="Times New Roman"/>
          <w:sz w:val="28"/>
          <w:szCs w:val="28"/>
        </w:rPr>
        <w:lastRenderedPageBreak/>
        <w:t xml:space="preserve">Comment at 2, 3, 5, 6. </w:t>
      </w:r>
      <w:r w:rsidR="00784A24">
        <w:rPr>
          <w:rFonts w:ascii="Times New Roman" w:hAnsi="Times New Roman"/>
          <w:sz w:val="28"/>
          <w:szCs w:val="28"/>
        </w:rPr>
        <w:t>Both terms imply exceptions to the general rule, including ex parte discovery requests by defendants under limited circumstances (as shown above). The general rule applies to all kinds of cases and all kinds of issues. The exception applies in narrow circumstances contemplated in this petition.</w:t>
      </w:r>
    </w:p>
    <w:p w14:paraId="65AD3D81" w14:textId="68C770AF" w:rsidR="00CC43B4" w:rsidRDefault="003126FA"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Many authorities cited by AGO for the proposition that </w:t>
      </w:r>
      <w:r w:rsidR="008E20B8">
        <w:rPr>
          <w:rFonts w:ascii="Times New Roman" w:hAnsi="Times New Roman"/>
          <w:sz w:val="28"/>
          <w:szCs w:val="28"/>
        </w:rPr>
        <w:t>ex parte</w:t>
      </w:r>
      <w:r>
        <w:rPr>
          <w:rFonts w:ascii="Times New Roman" w:hAnsi="Times New Roman"/>
          <w:sz w:val="28"/>
          <w:szCs w:val="28"/>
        </w:rPr>
        <w:t xml:space="preserve"> proceedings are common until criticized by a higher court have nothing to do with discovery. AGO Comment at 7-8. The general prohibition on </w:t>
      </w:r>
      <w:r w:rsidR="008E20B8">
        <w:rPr>
          <w:rFonts w:ascii="Times New Roman" w:hAnsi="Times New Roman"/>
          <w:sz w:val="28"/>
          <w:szCs w:val="28"/>
        </w:rPr>
        <w:t>ex parte</w:t>
      </w:r>
      <w:r>
        <w:rPr>
          <w:rFonts w:ascii="Times New Roman" w:hAnsi="Times New Roman"/>
          <w:sz w:val="28"/>
          <w:szCs w:val="28"/>
        </w:rPr>
        <w:t xml:space="preserve"> proceedings is to ensure that other parties’ interests are protected. AGO relies on cases where the ex parte proceedings were found to be improper precisely because they infringed on the rights of the party that was given no notice. In </w:t>
      </w:r>
      <w:r w:rsidRPr="003126FA">
        <w:rPr>
          <w:rFonts w:ascii="Times New Roman" w:hAnsi="Times New Roman"/>
          <w:i/>
          <w:iCs/>
          <w:sz w:val="28"/>
          <w:szCs w:val="28"/>
        </w:rPr>
        <w:t>Glenn H. v. Hoskins</w:t>
      </w:r>
      <w:r>
        <w:rPr>
          <w:rFonts w:ascii="Times New Roman" w:hAnsi="Times New Roman"/>
          <w:sz w:val="28"/>
          <w:szCs w:val="28"/>
        </w:rPr>
        <w:t>, the case “</w:t>
      </w:r>
      <w:r w:rsidRPr="003126FA">
        <w:rPr>
          <w:rFonts w:ascii="Times New Roman" w:hAnsi="Times New Roman"/>
          <w:sz w:val="28"/>
          <w:szCs w:val="28"/>
        </w:rPr>
        <w:t>addresse</w:t>
      </w:r>
      <w:r>
        <w:rPr>
          <w:rFonts w:ascii="Times New Roman" w:hAnsi="Times New Roman"/>
          <w:sz w:val="28"/>
          <w:szCs w:val="28"/>
        </w:rPr>
        <w:t>[d]</w:t>
      </w:r>
      <w:r w:rsidRPr="003126FA">
        <w:rPr>
          <w:rFonts w:ascii="Times New Roman" w:hAnsi="Times New Roman"/>
          <w:sz w:val="28"/>
          <w:szCs w:val="28"/>
        </w:rPr>
        <w:t xml:space="preserve"> a single issue: whether the superior court had subject matter jurisdiction to grant a hospital</w:t>
      </w:r>
      <w:r>
        <w:rPr>
          <w:rFonts w:ascii="Times New Roman" w:hAnsi="Times New Roman"/>
          <w:sz w:val="28"/>
          <w:szCs w:val="28"/>
        </w:rPr>
        <w:t>’</w:t>
      </w:r>
      <w:r w:rsidRPr="003126FA">
        <w:rPr>
          <w:rFonts w:ascii="Times New Roman" w:hAnsi="Times New Roman"/>
          <w:sz w:val="28"/>
          <w:szCs w:val="28"/>
        </w:rPr>
        <w:t>s employees’ oral requests, made via an emergency telephone line, to authorize medical procedures for a minor patient whose parents did not consent.</w:t>
      </w:r>
      <w:r>
        <w:rPr>
          <w:rFonts w:ascii="Times New Roman" w:hAnsi="Times New Roman"/>
          <w:sz w:val="28"/>
          <w:szCs w:val="28"/>
        </w:rPr>
        <w:t>” 244 Ariz. 404, 406 ¶ 1 (App. 2018).</w:t>
      </w:r>
      <w:r w:rsidR="006701AA">
        <w:rPr>
          <w:rFonts w:ascii="Times New Roman" w:hAnsi="Times New Roman"/>
          <w:sz w:val="28"/>
          <w:szCs w:val="28"/>
        </w:rPr>
        <w:t xml:space="preserve"> </w:t>
      </w:r>
    </w:p>
    <w:p w14:paraId="6C51F911" w14:textId="1B48B22A" w:rsidR="003126FA" w:rsidRDefault="006701AA" w:rsidP="00B81A4C">
      <w:pPr>
        <w:spacing w:line="480" w:lineRule="auto"/>
        <w:ind w:firstLine="720"/>
        <w:jc w:val="both"/>
        <w:rPr>
          <w:rFonts w:ascii="Times New Roman" w:hAnsi="Times New Roman"/>
          <w:sz w:val="28"/>
          <w:szCs w:val="28"/>
        </w:rPr>
      </w:pPr>
      <w:r w:rsidRPr="006701AA">
        <w:rPr>
          <w:rFonts w:ascii="Times New Roman" w:hAnsi="Times New Roman"/>
          <w:i/>
          <w:iCs/>
          <w:sz w:val="28"/>
          <w:szCs w:val="28"/>
        </w:rPr>
        <w:t>In re Peck</w:t>
      </w:r>
      <w:r>
        <w:rPr>
          <w:rFonts w:ascii="Times New Roman" w:hAnsi="Times New Roman"/>
          <w:sz w:val="28"/>
          <w:szCs w:val="28"/>
        </w:rPr>
        <w:t xml:space="preserve">, 177 Ariz. 283 (1994), involved a corrupt </w:t>
      </w:r>
      <w:r w:rsidR="00CC43B4">
        <w:rPr>
          <w:rFonts w:ascii="Times New Roman" w:hAnsi="Times New Roman"/>
          <w:sz w:val="28"/>
          <w:szCs w:val="28"/>
        </w:rPr>
        <w:t xml:space="preserve">nonlawyer </w:t>
      </w:r>
      <w:r>
        <w:rPr>
          <w:rFonts w:ascii="Times New Roman" w:hAnsi="Times New Roman"/>
          <w:sz w:val="28"/>
          <w:szCs w:val="28"/>
        </w:rPr>
        <w:t xml:space="preserve">justice of the peace who used his office to injure three people who opposed his election or had a personal grievance with him. One count involved ex parte communications with a defendant’s family and then calling the police to report his opinion of the weight of the evidence; hardly a judicial function. </w:t>
      </w:r>
      <w:r w:rsidRPr="006701AA">
        <w:rPr>
          <w:rFonts w:ascii="Times New Roman" w:hAnsi="Times New Roman"/>
          <w:i/>
          <w:iCs/>
          <w:sz w:val="28"/>
          <w:szCs w:val="28"/>
        </w:rPr>
        <w:t>Id</w:t>
      </w:r>
      <w:r>
        <w:rPr>
          <w:rFonts w:ascii="Times New Roman" w:hAnsi="Times New Roman"/>
          <w:sz w:val="28"/>
          <w:szCs w:val="28"/>
        </w:rPr>
        <w:t xml:space="preserve">. at 285-86. AGO quotes </w:t>
      </w:r>
      <w:r w:rsidRPr="00CC43B4">
        <w:rPr>
          <w:rFonts w:ascii="Times New Roman" w:hAnsi="Times New Roman"/>
          <w:i/>
          <w:iCs/>
          <w:sz w:val="28"/>
          <w:szCs w:val="28"/>
        </w:rPr>
        <w:t>Peck</w:t>
      </w:r>
      <w:r>
        <w:rPr>
          <w:rFonts w:ascii="Times New Roman" w:hAnsi="Times New Roman"/>
          <w:sz w:val="28"/>
          <w:szCs w:val="28"/>
        </w:rPr>
        <w:t xml:space="preserve"> as saying: </w:t>
      </w:r>
      <w:r w:rsidRPr="006701AA">
        <w:rPr>
          <w:rFonts w:ascii="Times New Roman" w:hAnsi="Times New Roman"/>
          <w:sz w:val="28"/>
          <w:szCs w:val="28"/>
        </w:rPr>
        <w:t xml:space="preserve">“other cases suggest, unfortunately, that [the ex parte practice] may occur all too </w:t>
      </w:r>
      <w:r w:rsidRPr="006701AA">
        <w:rPr>
          <w:rFonts w:ascii="Times New Roman" w:hAnsi="Times New Roman"/>
          <w:sz w:val="28"/>
          <w:szCs w:val="28"/>
        </w:rPr>
        <w:lastRenderedPageBreak/>
        <w:t>often</w:t>
      </w:r>
      <w:r>
        <w:rPr>
          <w:rFonts w:ascii="Times New Roman" w:hAnsi="Times New Roman"/>
          <w:sz w:val="28"/>
          <w:szCs w:val="28"/>
        </w:rPr>
        <w:t>.</w:t>
      </w:r>
      <w:r w:rsidRPr="006701AA">
        <w:rPr>
          <w:rFonts w:ascii="Times New Roman" w:hAnsi="Times New Roman"/>
          <w:sz w:val="28"/>
          <w:szCs w:val="28"/>
        </w:rPr>
        <w:t>”</w:t>
      </w:r>
      <w:r>
        <w:rPr>
          <w:rFonts w:ascii="Times New Roman" w:hAnsi="Times New Roman"/>
          <w:sz w:val="28"/>
          <w:szCs w:val="28"/>
        </w:rPr>
        <w:t xml:space="preserve"> AGO Comment at 7 (quoting </w:t>
      </w:r>
      <w:r w:rsidRPr="006701AA">
        <w:rPr>
          <w:rFonts w:ascii="Times New Roman" w:hAnsi="Times New Roman"/>
          <w:i/>
          <w:iCs/>
          <w:sz w:val="28"/>
          <w:szCs w:val="28"/>
        </w:rPr>
        <w:t>Peck</w:t>
      </w:r>
      <w:r>
        <w:rPr>
          <w:rFonts w:ascii="Times New Roman" w:hAnsi="Times New Roman"/>
          <w:sz w:val="28"/>
          <w:szCs w:val="28"/>
        </w:rPr>
        <w:t>, 177 Ariz. at 286). The dependent clause beginning the quoted sentence says: “</w:t>
      </w:r>
      <w:r w:rsidRPr="006701AA">
        <w:rPr>
          <w:rFonts w:ascii="Times New Roman" w:hAnsi="Times New Roman"/>
          <w:sz w:val="28"/>
          <w:szCs w:val="28"/>
        </w:rPr>
        <w:t>Although we hope the claim is unfounded</w:t>
      </w:r>
      <w:r>
        <w:rPr>
          <w:rFonts w:ascii="Times New Roman" w:hAnsi="Times New Roman"/>
          <w:sz w:val="28"/>
          <w:szCs w:val="28"/>
        </w:rPr>
        <w:t xml:space="preserve">…” </w:t>
      </w:r>
      <w:r w:rsidRPr="006701AA">
        <w:rPr>
          <w:rFonts w:ascii="Times New Roman" w:hAnsi="Times New Roman"/>
          <w:i/>
          <w:iCs/>
          <w:sz w:val="28"/>
          <w:szCs w:val="28"/>
        </w:rPr>
        <w:t>Peck</w:t>
      </w:r>
      <w:r>
        <w:rPr>
          <w:rFonts w:ascii="Times New Roman" w:hAnsi="Times New Roman"/>
          <w:sz w:val="28"/>
          <w:szCs w:val="28"/>
        </w:rPr>
        <w:t>, 177 Ariz. at 286.</w:t>
      </w:r>
      <w:r w:rsidR="00CC43B4">
        <w:rPr>
          <w:rFonts w:ascii="Times New Roman" w:hAnsi="Times New Roman"/>
          <w:sz w:val="28"/>
          <w:szCs w:val="28"/>
        </w:rPr>
        <w:t xml:space="preserve"> As evidence of the Court’s concern that ex parte proceedings “may occur all too often,” </w:t>
      </w:r>
      <w:r w:rsidR="00CC43B4" w:rsidRPr="00CC43B4">
        <w:rPr>
          <w:rFonts w:ascii="Times New Roman" w:hAnsi="Times New Roman"/>
          <w:i/>
          <w:iCs/>
          <w:sz w:val="28"/>
          <w:szCs w:val="28"/>
        </w:rPr>
        <w:t>Peck</w:t>
      </w:r>
      <w:r w:rsidR="00CC43B4">
        <w:rPr>
          <w:rFonts w:ascii="Times New Roman" w:hAnsi="Times New Roman"/>
          <w:sz w:val="28"/>
          <w:szCs w:val="28"/>
        </w:rPr>
        <w:t xml:space="preserve"> cited </w:t>
      </w:r>
      <w:r w:rsidR="00CC43B4" w:rsidRPr="00CC43B4">
        <w:rPr>
          <w:rFonts w:ascii="Times New Roman" w:hAnsi="Times New Roman"/>
          <w:i/>
          <w:iCs/>
          <w:sz w:val="28"/>
          <w:szCs w:val="28"/>
        </w:rPr>
        <w:t>In re Gumaer</w:t>
      </w:r>
      <w:r w:rsidR="00CC43B4">
        <w:rPr>
          <w:rFonts w:ascii="Times New Roman" w:hAnsi="Times New Roman"/>
          <w:sz w:val="28"/>
          <w:szCs w:val="28"/>
        </w:rPr>
        <w:t xml:space="preserve">, 177 Ariz. 280 (1994)—another case involving a nonlawyer justice of the peace whose misconduct in office went far beyond excessive </w:t>
      </w:r>
      <w:r w:rsidR="008E20B8">
        <w:rPr>
          <w:rFonts w:ascii="Times New Roman" w:hAnsi="Times New Roman"/>
          <w:sz w:val="28"/>
          <w:szCs w:val="28"/>
        </w:rPr>
        <w:t>ex parte</w:t>
      </w:r>
      <w:r w:rsidR="00CC43B4">
        <w:rPr>
          <w:rFonts w:ascii="Times New Roman" w:hAnsi="Times New Roman"/>
          <w:sz w:val="28"/>
          <w:szCs w:val="28"/>
        </w:rPr>
        <w:t xml:space="preserve"> proceedings.</w:t>
      </w:r>
    </w:p>
    <w:p w14:paraId="2F33A4A7" w14:textId="6392734C" w:rsidR="00C52281" w:rsidRDefault="00CC43B4"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Perhaps realizing that Arizona law is not as helpful to its cause, AGO reaches outside the state for help. </w:t>
      </w:r>
      <w:r w:rsidRPr="00CC43B4">
        <w:rPr>
          <w:rFonts w:ascii="Times New Roman" w:hAnsi="Times New Roman"/>
          <w:i/>
          <w:iCs/>
          <w:sz w:val="28"/>
          <w:szCs w:val="28"/>
        </w:rPr>
        <w:t>United States v. Earley</w:t>
      </w:r>
      <w:r>
        <w:rPr>
          <w:rFonts w:ascii="Times New Roman" w:hAnsi="Times New Roman"/>
          <w:sz w:val="28"/>
          <w:szCs w:val="28"/>
        </w:rPr>
        <w:t>, 746 F.2d 412</w:t>
      </w:r>
      <w:r w:rsidR="00010C55">
        <w:rPr>
          <w:rFonts w:ascii="Times New Roman" w:hAnsi="Times New Roman"/>
          <w:sz w:val="28"/>
          <w:szCs w:val="28"/>
        </w:rPr>
        <w:t>, 413</w:t>
      </w:r>
      <w:r>
        <w:rPr>
          <w:rFonts w:ascii="Times New Roman" w:hAnsi="Times New Roman"/>
          <w:sz w:val="28"/>
          <w:szCs w:val="28"/>
        </w:rPr>
        <w:t xml:space="preserve"> (8th Cir. 1984), involved a trial judge</w:t>
      </w:r>
      <w:r w:rsidR="00010C55">
        <w:rPr>
          <w:rFonts w:ascii="Times New Roman" w:hAnsi="Times New Roman"/>
          <w:sz w:val="28"/>
          <w:szCs w:val="28"/>
        </w:rPr>
        <w:t>, after</w:t>
      </w:r>
      <w:r>
        <w:rPr>
          <w:rFonts w:ascii="Times New Roman" w:hAnsi="Times New Roman"/>
          <w:sz w:val="28"/>
          <w:szCs w:val="28"/>
        </w:rPr>
        <w:t xml:space="preserve"> receiving from the prosecutor a “trial brief”</w:t>
      </w:r>
      <w:r w:rsidR="00010C55">
        <w:rPr>
          <w:rFonts w:ascii="Times New Roman" w:hAnsi="Times New Roman"/>
          <w:sz w:val="28"/>
          <w:szCs w:val="28"/>
        </w:rPr>
        <w:t xml:space="preserve"> that tells the court what witnesses would testify about,</w:t>
      </w:r>
      <w:r>
        <w:rPr>
          <w:rFonts w:ascii="Times New Roman" w:hAnsi="Times New Roman"/>
          <w:sz w:val="28"/>
          <w:szCs w:val="28"/>
        </w:rPr>
        <w:t xml:space="preserve"> refusing to provide a copy to the defense</w:t>
      </w:r>
      <w:r w:rsidR="00010C55">
        <w:rPr>
          <w:rFonts w:ascii="Times New Roman" w:hAnsi="Times New Roman"/>
          <w:sz w:val="28"/>
          <w:szCs w:val="28"/>
        </w:rPr>
        <w:t>. This is improper because the judge may receive information about the case without giving the other party an opportunity to respond to inaccuracies.</w:t>
      </w:r>
      <w:r w:rsidR="005D186C">
        <w:rPr>
          <w:rFonts w:ascii="Times New Roman" w:hAnsi="Times New Roman"/>
          <w:sz w:val="28"/>
          <w:szCs w:val="28"/>
        </w:rPr>
        <w:t xml:space="preserve"> </w:t>
      </w:r>
      <w:r w:rsidR="005D186C" w:rsidRPr="005D186C">
        <w:rPr>
          <w:rFonts w:ascii="Times New Roman" w:hAnsi="Times New Roman"/>
          <w:i/>
          <w:iCs/>
          <w:sz w:val="28"/>
          <w:szCs w:val="28"/>
        </w:rPr>
        <w:t>Commonwealth v. Carman</w:t>
      </w:r>
      <w:r w:rsidR="005D186C">
        <w:rPr>
          <w:rFonts w:ascii="Times New Roman" w:hAnsi="Times New Roman"/>
          <w:sz w:val="28"/>
          <w:szCs w:val="28"/>
        </w:rPr>
        <w:t xml:space="preserve">, 455 S.W.3d 916, 926 (Ky. 2015), involved a practice of modifying bail conditions after initial appearance, based on an (erroneous) interpretation of what constituted an “initial fixing of bail.” It goes without saying that both sides have substantive interests in bail hearings; and in Arizona, </w:t>
      </w:r>
      <w:r w:rsidR="00417063">
        <w:rPr>
          <w:rFonts w:ascii="Times New Roman" w:hAnsi="Times New Roman"/>
          <w:sz w:val="28"/>
          <w:szCs w:val="28"/>
        </w:rPr>
        <w:t>the V</w:t>
      </w:r>
      <w:r w:rsidR="005D186C">
        <w:rPr>
          <w:rFonts w:ascii="Times New Roman" w:hAnsi="Times New Roman"/>
          <w:sz w:val="28"/>
          <w:szCs w:val="28"/>
        </w:rPr>
        <w:t>ictims</w:t>
      </w:r>
      <w:r w:rsidR="00417063">
        <w:rPr>
          <w:rFonts w:ascii="Times New Roman" w:hAnsi="Times New Roman"/>
          <w:sz w:val="28"/>
          <w:szCs w:val="28"/>
        </w:rPr>
        <w:t>’</w:t>
      </w:r>
      <w:r w:rsidR="005D186C">
        <w:rPr>
          <w:rFonts w:ascii="Times New Roman" w:hAnsi="Times New Roman"/>
          <w:sz w:val="28"/>
          <w:szCs w:val="28"/>
        </w:rPr>
        <w:t xml:space="preserve"> </w:t>
      </w:r>
      <w:r w:rsidR="00417063">
        <w:rPr>
          <w:rFonts w:ascii="Times New Roman" w:hAnsi="Times New Roman"/>
          <w:sz w:val="28"/>
          <w:szCs w:val="28"/>
        </w:rPr>
        <w:t>Bill of Rights</w:t>
      </w:r>
      <w:r w:rsidR="005D186C">
        <w:rPr>
          <w:rFonts w:ascii="Times New Roman" w:hAnsi="Times New Roman"/>
          <w:sz w:val="28"/>
          <w:szCs w:val="28"/>
        </w:rPr>
        <w:t xml:space="preserve"> </w:t>
      </w:r>
      <w:r w:rsidR="00417063">
        <w:rPr>
          <w:rFonts w:ascii="Times New Roman" w:hAnsi="Times New Roman"/>
          <w:sz w:val="28"/>
          <w:szCs w:val="28"/>
        </w:rPr>
        <w:t>(VBR) guarantees</w:t>
      </w:r>
      <w:r w:rsidR="005D186C">
        <w:rPr>
          <w:rFonts w:ascii="Times New Roman" w:hAnsi="Times New Roman"/>
          <w:sz w:val="28"/>
          <w:szCs w:val="28"/>
        </w:rPr>
        <w:t xml:space="preserve"> notice of such hearings. </w:t>
      </w:r>
      <w:r w:rsidR="005D186C" w:rsidRPr="00417063">
        <w:rPr>
          <w:rFonts w:ascii="Times New Roman" w:hAnsi="Times New Roman"/>
          <w:smallCaps/>
          <w:sz w:val="28"/>
          <w:szCs w:val="28"/>
        </w:rPr>
        <w:t>Ariz. Const</w:t>
      </w:r>
      <w:r w:rsidR="005D186C">
        <w:rPr>
          <w:rFonts w:ascii="Times New Roman" w:hAnsi="Times New Roman"/>
          <w:sz w:val="28"/>
          <w:szCs w:val="28"/>
        </w:rPr>
        <w:t>. art. 2, § 2.1(A)(</w:t>
      </w:r>
      <w:r w:rsidR="001029B6">
        <w:rPr>
          <w:rFonts w:ascii="Times New Roman" w:hAnsi="Times New Roman"/>
          <w:sz w:val="28"/>
          <w:szCs w:val="28"/>
        </w:rPr>
        <w:t>3), (4).</w:t>
      </w:r>
    </w:p>
    <w:p w14:paraId="782F7D41" w14:textId="11437D4A" w:rsidR="00CC43B4" w:rsidRDefault="00C52281"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It is not clear why AGO relies on </w:t>
      </w:r>
      <w:r w:rsidRPr="00C52281">
        <w:rPr>
          <w:rFonts w:ascii="Times New Roman" w:hAnsi="Times New Roman"/>
          <w:i/>
          <w:iCs/>
          <w:sz w:val="28"/>
          <w:szCs w:val="28"/>
        </w:rPr>
        <w:t>Ex parte Prudential Ins. Co. of America</w:t>
      </w:r>
      <w:r>
        <w:rPr>
          <w:rFonts w:ascii="Times New Roman" w:hAnsi="Times New Roman"/>
          <w:sz w:val="28"/>
          <w:szCs w:val="28"/>
        </w:rPr>
        <w:t xml:space="preserve">, 721 So.2d 1135 (Ala. 1998). The Alabama Supreme Court overturned the process of allowing class certification by ex parte proceeding in several cases; but in each of </w:t>
      </w:r>
      <w:r>
        <w:rPr>
          <w:rFonts w:ascii="Times New Roman" w:hAnsi="Times New Roman"/>
          <w:sz w:val="28"/>
          <w:szCs w:val="28"/>
        </w:rPr>
        <w:lastRenderedPageBreak/>
        <w:t>those cases, the practice had been expressly authorized by a published opinion of the state court of appeals</w:t>
      </w:r>
      <w:r w:rsidR="00B5788D">
        <w:rPr>
          <w:rFonts w:ascii="Times New Roman" w:hAnsi="Times New Roman"/>
          <w:sz w:val="28"/>
          <w:szCs w:val="28"/>
        </w:rPr>
        <w:t xml:space="preserve"> that had not yet been reversed by the </w:t>
      </w:r>
      <w:r w:rsidR="00A613F3">
        <w:rPr>
          <w:rFonts w:ascii="Times New Roman" w:hAnsi="Times New Roman"/>
          <w:sz w:val="28"/>
          <w:szCs w:val="28"/>
        </w:rPr>
        <w:t>higher</w:t>
      </w:r>
      <w:r w:rsidR="00B5788D">
        <w:rPr>
          <w:rFonts w:ascii="Times New Roman" w:hAnsi="Times New Roman"/>
          <w:sz w:val="28"/>
          <w:szCs w:val="28"/>
        </w:rPr>
        <w:t xml:space="preserve"> court.</w:t>
      </w:r>
      <w:r w:rsidR="00A613F3">
        <w:rPr>
          <w:rFonts w:ascii="Times New Roman" w:hAnsi="Times New Roman"/>
          <w:sz w:val="28"/>
          <w:szCs w:val="28"/>
        </w:rPr>
        <w:t xml:space="preserve"> As stated above, such proceedings affect the rights of the opposing party. Its citation to </w:t>
      </w:r>
      <w:r w:rsidR="00A613F3" w:rsidRPr="00A613F3">
        <w:rPr>
          <w:rFonts w:ascii="Times New Roman" w:hAnsi="Times New Roman"/>
          <w:i/>
          <w:iCs/>
          <w:sz w:val="28"/>
          <w:szCs w:val="28"/>
        </w:rPr>
        <w:t>In re Miller</w:t>
      </w:r>
      <w:r w:rsidR="00A613F3">
        <w:rPr>
          <w:rFonts w:ascii="Times New Roman" w:hAnsi="Times New Roman"/>
          <w:sz w:val="28"/>
          <w:szCs w:val="28"/>
        </w:rPr>
        <w:t xml:space="preserve">, 644 So.2d 75, 78 (Fla. 1994), is even more puzzling, because the </w:t>
      </w:r>
      <w:r w:rsidR="008E20B8">
        <w:rPr>
          <w:rFonts w:ascii="Times New Roman" w:hAnsi="Times New Roman"/>
          <w:sz w:val="28"/>
          <w:szCs w:val="28"/>
        </w:rPr>
        <w:t>ex parte</w:t>
      </w:r>
      <w:r w:rsidR="00A613F3">
        <w:rPr>
          <w:rFonts w:ascii="Times New Roman" w:hAnsi="Times New Roman"/>
          <w:sz w:val="28"/>
          <w:szCs w:val="28"/>
        </w:rPr>
        <w:t xml:space="preserve"> communication criticized in that opinion, consulting with other judges, is expressly authorized by our Canon 2.9(A)(3).</w:t>
      </w:r>
    </w:p>
    <w:p w14:paraId="0EE22880" w14:textId="40D9FD98" w:rsidR="004F30AF" w:rsidRDefault="004F30AF" w:rsidP="004F30AF">
      <w:pPr>
        <w:spacing w:line="480" w:lineRule="auto"/>
        <w:ind w:firstLine="720"/>
        <w:jc w:val="both"/>
        <w:rPr>
          <w:rFonts w:ascii="Times New Roman" w:hAnsi="Times New Roman"/>
          <w:sz w:val="28"/>
          <w:szCs w:val="28"/>
        </w:rPr>
      </w:pPr>
      <w:r>
        <w:rPr>
          <w:rFonts w:ascii="Times New Roman" w:hAnsi="Times New Roman"/>
          <w:sz w:val="28"/>
          <w:szCs w:val="28"/>
        </w:rPr>
        <w:t xml:space="preserve">The cases that MCAO cites are equally irrelevant. MCAO Comment at 3-4. </w:t>
      </w:r>
      <w:r w:rsidRPr="007A0E60">
        <w:rPr>
          <w:rFonts w:ascii="Times New Roman" w:hAnsi="Times New Roman"/>
          <w:i/>
          <w:iCs/>
          <w:sz w:val="28"/>
          <w:szCs w:val="28"/>
        </w:rPr>
        <w:t>Herring v. New York</w:t>
      </w:r>
      <w:r>
        <w:rPr>
          <w:rFonts w:ascii="Times New Roman" w:hAnsi="Times New Roman"/>
          <w:sz w:val="28"/>
          <w:szCs w:val="28"/>
        </w:rPr>
        <w:t xml:space="preserve">, 422 U.S. 853 (1975), held unconstitutional a state law that allowed a judge to deny defense counsel the opportunity to make a closing argument. </w:t>
      </w:r>
      <w:r w:rsidRPr="004F30AF">
        <w:rPr>
          <w:rFonts w:ascii="Times New Roman" w:hAnsi="Times New Roman"/>
          <w:i/>
          <w:iCs/>
          <w:sz w:val="28"/>
          <w:szCs w:val="28"/>
        </w:rPr>
        <w:t>Carroll v. President and Comm’rs of Princess Anne</w:t>
      </w:r>
      <w:r>
        <w:rPr>
          <w:rFonts w:ascii="Times New Roman" w:hAnsi="Times New Roman"/>
          <w:sz w:val="28"/>
          <w:szCs w:val="28"/>
        </w:rPr>
        <w:t xml:space="preserve">, </w:t>
      </w:r>
      <w:r w:rsidRPr="004F30AF">
        <w:rPr>
          <w:rFonts w:ascii="Times New Roman" w:hAnsi="Times New Roman"/>
          <w:sz w:val="28"/>
          <w:szCs w:val="28"/>
        </w:rPr>
        <w:t>393 U.S. 175</w:t>
      </w:r>
      <w:r>
        <w:rPr>
          <w:rFonts w:ascii="Times New Roman" w:hAnsi="Times New Roman"/>
          <w:sz w:val="28"/>
          <w:szCs w:val="28"/>
        </w:rPr>
        <w:t xml:space="preserve"> (1968), involved an ex parte order that constituted a prior restraint on free speech. </w:t>
      </w:r>
      <w:r w:rsidRPr="004F30AF">
        <w:rPr>
          <w:rFonts w:ascii="Times New Roman" w:hAnsi="Times New Roman"/>
          <w:i/>
          <w:iCs/>
          <w:sz w:val="28"/>
          <w:szCs w:val="28"/>
        </w:rPr>
        <w:t>Kaley v. United States</w:t>
      </w:r>
      <w:r>
        <w:rPr>
          <w:rFonts w:ascii="Times New Roman" w:hAnsi="Times New Roman"/>
          <w:sz w:val="28"/>
          <w:szCs w:val="28"/>
        </w:rPr>
        <w:t xml:space="preserve">, 571 U.S. 320 (2014), involved seizure of a criminal defendant’s assets by ex parte order. </w:t>
      </w:r>
      <w:r w:rsidRPr="004F30AF">
        <w:rPr>
          <w:rFonts w:ascii="Times New Roman" w:hAnsi="Times New Roman"/>
          <w:i/>
          <w:iCs/>
          <w:sz w:val="28"/>
          <w:szCs w:val="28"/>
        </w:rPr>
        <w:t>San Carlos Apache Tribe v. Bolton</w:t>
      </w:r>
      <w:r>
        <w:rPr>
          <w:rFonts w:ascii="Times New Roman" w:hAnsi="Times New Roman"/>
          <w:sz w:val="28"/>
          <w:szCs w:val="28"/>
        </w:rPr>
        <w:t>, 194 Ariz. 68 (1999),</w:t>
      </w:r>
      <w:r w:rsidR="007C406B">
        <w:rPr>
          <w:rFonts w:ascii="Times New Roman" w:hAnsi="Times New Roman"/>
          <w:sz w:val="28"/>
          <w:szCs w:val="28"/>
        </w:rPr>
        <w:t xml:space="preserve"> is a water rights case, and while the ex parte communication was authorized by statute, it could have had an effect on a party’s rights in litigation. </w:t>
      </w:r>
      <w:r w:rsidR="00DE1B62">
        <w:rPr>
          <w:rFonts w:ascii="Times New Roman" w:hAnsi="Times New Roman"/>
          <w:sz w:val="28"/>
          <w:szCs w:val="28"/>
        </w:rPr>
        <w:t xml:space="preserve">The subject matter of the ex parte conference at issue in </w:t>
      </w:r>
      <w:r w:rsidR="00DE1B62" w:rsidRPr="00DE1B62">
        <w:rPr>
          <w:rFonts w:ascii="Times New Roman" w:hAnsi="Times New Roman"/>
          <w:i/>
          <w:iCs/>
          <w:sz w:val="28"/>
          <w:szCs w:val="28"/>
        </w:rPr>
        <w:t>McElhanon v. Hing</w:t>
      </w:r>
      <w:r w:rsidR="00DE1B62">
        <w:rPr>
          <w:rFonts w:ascii="Times New Roman" w:hAnsi="Times New Roman"/>
          <w:sz w:val="28"/>
          <w:szCs w:val="28"/>
        </w:rPr>
        <w:t xml:space="preserve">, 151 Ariz. 403 (1986), easily could have been conducted with all parties present. </w:t>
      </w:r>
      <w:r w:rsidR="007C406B">
        <w:rPr>
          <w:rFonts w:ascii="Times New Roman" w:hAnsi="Times New Roman"/>
          <w:sz w:val="28"/>
          <w:szCs w:val="28"/>
        </w:rPr>
        <w:t xml:space="preserve">MCAO puts great weight behind </w:t>
      </w:r>
      <w:r w:rsidR="007C406B" w:rsidRPr="007C406B">
        <w:rPr>
          <w:rFonts w:ascii="Times New Roman" w:hAnsi="Times New Roman"/>
          <w:i/>
          <w:iCs/>
          <w:sz w:val="28"/>
          <w:szCs w:val="28"/>
        </w:rPr>
        <w:t>Kaufman v. Am. Fam. Mut. Ins. Co</w:t>
      </w:r>
      <w:r w:rsidR="007C406B" w:rsidRPr="007C406B">
        <w:rPr>
          <w:rFonts w:ascii="Times New Roman" w:hAnsi="Times New Roman"/>
          <w:sz w:val="28"/>
          <w:szCs w:val="28"/>
        </w:rPr>
        <w:t>., 601 F.3d 1088</w:t>
      </w:r>
      <w:r w:rsidR="007C406B">
        <w:rPr>
          <w:rFonts w:ascii="Times New Roman" w:hAnsi="Times New Roman"/>
          <w:sz w:val="28"/>
          <w:szCs w:val="28"/>
        </w:rPr>
        <w:t xml:space="preserve"> (10th Cir. 2010), MCAO Comment at 4, 6, but all that is known about the ex parte communication there is it was improper and the other side received attorney fees for litigation related to it. </w:t>
      </w:r>
    </w:p>
    <w:p w14:paraId="2BDE565A" w14:textId="6DDF1166" w:rsidR="00B81A4C" w:rsidRDefault="001029B6" w:rsidP="00B81A4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 only case AGO cites that bears </w:t>
      </w:r>
      <w:r w:rsidR="004C4953">
        <w:rPr>
          <w:rFonts w:ascii="Times New Roman" w:hAnsi="Times New Roman"/>
          <w:sz w:val="28"/>
          <w:szCs w:val="28"/>
        </w:rPr>
        <w:t>any</w:t>
      </w:r>
      <w:r>
        <w:rPr>
          <w:rFonts w:ascii="Times New Roman" w:hAnsi="Times New Roman"/>
          <w:sz w:val="28"/>
          <w:szCs w:val="28"/>
        </w:rPr>
        <w:t xml:space="preserve"> resemblance to the discovery issue present in this petition is</w:t>
      </w:r>
      <w:r w:rsidR="003126FA">
        <w:rPr>
          <w:rFonts w:ascii="Times New Roman" w:hAnsi="Times New Roman"/>
          <w:sz w:val="28"/>
          <w:szCs w:val="28"/>
        </w:rPr>
        <w:t xml:space="preserve"> </w:t>
      </w:r>
      <w:r w:rsidR="003126FA" w:rsidRPr="003126FA">
        <w:rPr>
          <w:rFonts w:ascii="Times New Roman" w:hAnsi="Times New Roman"/>
          <w:i/>
          <w:iCs/>
          <w:sz w:val="28"/>
          <w:szCs w:val="28"/>
        </w:rPr>
        <w:t>Commonwealth v. Cambron</w:t>
      </w:r>
      <w:r w:rsidR="003126FA">
        <w:rPr>
          <w:rFonts w:ascii="Times New Roman" w:hAnsi="Times New Roman"/>
          <w:sz w:val="28"/>
          <w:szCs w:val="28"/>
        </w:rPr>
        <w:t xml:space="preserve">, </w:t>
      </w:r>
      <w:r w:rsidRPr="001029B6">
        <w:rPr>
          <w:rFonts w:ascii="Times New Roman" w:hAnsi="Times New Roman"/>
          <w:sz w:val="28"/>
          <w:szCs w:val="28"/>
        </w:rPr>
        <w:t xml:space="preserve">546 S.W.3d 556 (Ky. App. 2018). </w:t>
      </w:r>
      <w:r>
        <w:rPr>
          <w:rFonts w:ascii="Times New Roman" w:hAnsi="Times New Roman"/>
          <w:sz w:val="28"/>
          <w:szCs w:val="28"/>
        </w:rPr>
        <w:t xml:space="preserve">In that case, </w:t>
      </w:r>
      <w:r w:rsidR="003126FA">
        <w:rPr>
          <w:rFonts w:ascii="Times New Roman" w:hAnsi="Times New Roman"/>
          <w:sz w:val="28"/>
          <w:szCs w:val="28"/>
        </w:rPr>
        <w:t xml:space="preserve">the trial judge </w:t>
      </w:r>
      <w:r w:rsidR="004C4953">
        <w:rPr>
          <w:rFonts w:ascii="Times New Roman" w:hAnsi="Times New Roman"/>
          <w:sz w:val="28"/>
          <w:szCs w:val="28"/>
        </w:rPr>
        <w:t>granted</w:t>
      </w:r>
      <w:r w:rsidR="003126FA">
        <w:rPr>
          <w:rFonts w:ascii="Times New Roman" w:hAnsi="Times New Roman"/>
          <w:sz w:val="28"/>
          <w:szCs w:val="28"/>
        </w:rPr>
        <w:t xml:space="preserve"> 30</w:t>
      </w:r>
      <w:r>
        <w:rPr>
          <w:rFonts w:ascii="Times New Roman" w:hAnsi="Times New Roman"/>
          <w:sz w:val="28"/>
          <w:szCs w:val="28"/>
        </w:rPr>
        <w:t xml:space="preserve"> separate</w:t>
      </w:r>
      <w:r w:rsidR="003126FA">
        <w:rPr>
          <w:rFonts w:ascii="Times New Roman" w:hAnsi="Times New Roman"/>
          <w:sz w:val="28"/>
          <w:szCs w:val="28"/>
        </w:rPr>
        <w:t xml:space="preserve"> </w:t>
      </w:r>
      <w:r w:rsidR="008E20B8">
        <w:rPr>
          <w:rFonts w:ascii="Times New Roman" w:hAnsi="Times New Roman"/>
          <w:sz w:val="28"/>
          <w:szCs w:val="28"/>
        </w:rPr>
        <w:t>ex parte</w:t>
      </w:r>
      <w:r w:rsidR="003126FA">
        <w:rPr>
          <w:rFonts w:ascii="Times New Roman" w:hAnsi="Times New Roman"/>
          <w:sz w:val="28"/>
          <w:szCs w:val="28"/>
        </w:rPr>
        <w:t xml:space="preserve"> </w:t>
      </w:r>
      <w:r w:rsidR="004C4953">
        <w:rPr>
          <w:rFonts w:ascii="Times New Roman" w:hAnsi="Times New Roman"/>
          <w:sz w:val="28"/>
          <w:szCs w:val="28"/>
        </w:rPr>
        <w:t xml:space="preserve">oral </w:t>
      </w:r>
      <w:r w:rsidR="003126FA">
        <w:rPr>
          <w:rFonts w:ascii="Times New Roman" w:hAnsi="Times New Roman"/>
          <w:sz w:val="28"/>
          <w:szCs w:val="28"/>
        </w:rPr>
        <w:t>requests without a</w:t>
      </w:r>
      <w:r w:rsidR="004C4953">
        <w:rPr>
          <w:rFonts w:ascii="Times New Roman" w:hAnsi="Times New Roman"/>
          <w:sz w:val="28"/>
          <w:szCs w:val="28"/>
        </w:rPr>
        <w:t>ny</w:t>
      </w:r>
      <w:r w:rsidR="003126FA">
        <w:rPr>
          <w:rFonts w:ascii="Times New Roman" w:hAnsi="Times New Roman"/>
          <w:sz w:val="28"/>
          <w:szCs w:val="28"/>
        </w:rPr>
        <w:t xml:space="preserve"> record </w:t>
      </w:r>
      <w:r w:rsidR="005E5101">
        <w:rPr>
          <w:rFonts w:ascii="Times New Roman" w:hAnsi="Times New Roman"/>
          <w:sz w:val="28"/>
          <w:szCs w:val="28"/>
        </w:rPr>
        <w:t xml:space="preserve">of </w:t>
      </w:r>
      <w:r w:rsidR="004C4953">
        <w:rPr>
          <w:rFonts w:ascii="Times New Roman" w:hAnsi="Times New Roman"/>
          <w:sz w:val="28"/>
          <w:szCs w:val="28"/>
        </w:rPr>
        <w:t>the substance of the</w:t>
      </w:r>
      <w:r w:rsidR="003126FA">
        <w:rPr>
          <w:rFonts w:ascii="Times New Roman" w:hAnsi="Times New Roman"/>
          <w:sz w:val="28"/>
          <w:szCs w:val="28"/>
        </w:rPr>
        <w:t xml:space="preserve"> requests and why </w:t>
      </w:r>
      <w:r w:rsidR="004C4953">
        <w:rPr>
          <w:rFonts w:ascii="Times New Roman" w:hAnsi="Times New Roman"/>
          <w:sz w:val="28"/>
          <w:szCs w:val="28"/>
        </w:rPr>
        <w:t>it was</w:t>
      </w:r>
      <w:r w:rsidR="003126FA">
        <w:rPr>
          <w:rFonts w:ascii="Times New Roman" w:hAnsi="Times New Roman"/>
          <w:sz w:val="28"/>
          <w:szCs w:val="28"/>
        </w:rPr>
        <w:t xml:space="preserve"> appropriate</w:t>
      </w:r>
      <w:r w:rsidR="004C4953">
        <w:rPr>
          <w:rFonts w:ascii="Times New Roman" w:hAnsi="Times New Roman"/>
          <w:sz w:val="28"/>
          <w:szCs w:val="28"/>
        </w:rPr>
        <w:t xml:space="preserve"> to grant them </w:t>
      </w:r>
      <w:r w:rsidR="008E20B8">
        <w:rPr>
          <w:rFonts w:ascii="Times New Roman" w:hAnsi="Times New Roman"/>
          <w:sz w:val="28"/>
          <w:szCs w:val="28"/>
        </w:rPr>
        <w:t>ex parte</w:t>
      </w:r>
      <w:r>
        <w:rPr>
          <w:rFonts w:ascii="Times New Roman" w:hAnsi="Times New Roman"/>
          <w:sz w:val="28"/>
          <w:szCs w:val="28"/>
        </w:rPr>
        <w:t>. U</w:t>
      </w:r>
      <w:r w:rsidR="003126FA">
        <w:rPr>
          <w:rFonts w:ascii="Times New Roman" w:hAnsi="Times New Roman"/>
          <w:sz w:val="28"/>
          <w:szCs w:val="28"/>
        </w:rPr>
        <w:t xml:space="preserve">nlike in Arizona, Kentucky defendants </w:t>
      </w:r>
      <w:r>
        <w:rPr>
          <w:rFonts w:ascii="Times New Roman" w:hAnsi="Times New Roman"/>
          <w:sz w:val="28"/>
          <w:szCs w:val="28"/>
        </w:rPr>
        <w:t xml:space="preserve">can obtain a subpoena </w:t>
      </w:r>
      <w:r w:rsidRPr="001029B6">
        <w:rPr>
          <w:rFonts w:ascii="Times New Roman" w:hAnsi="Times New Roman"/>
          <w:i/>
          <w:iCs/>
          <w:sz w:val="28"/>
          <w:szCs w:val="28"/>
        </w:rPr>
        <w:t>duces tecum</w:t>
      </w:r>
      <w:r>
        <w:rPr>
          <w:rFonts w:ascii="Times New Roman" w:hAnsi="Times New Roman"/>
          <w:sz w:val="28"/>
          <w:szCs w:val="28"/>
        </w:rPr>
        <w:t xml:space="preserve">. </w:t>
      </w:r>
      <w:r w:rsidRPr="001029B6">
        <w:rPr>
          <w:rFonts w:ascii="Times New Roman" w:hAnsi="Times New Roman"/>
          <w:i/>
          <w:iCs/>
          <w:sz w:val="28"/>
          <w:szCs w:val="28"/>
        </w:rPr>
        <w:t>Id</w:t>
      </w:r>
      <w:r>
        <w:rPr>
          <w:rFonts w:ascii="Times New Roman" w:hAnsi="Times New Roman"/>
          <w:sz w:val="28"/>
          <w:szCs w:val="28"/>
        </w:rPr>
        <w:t>. at 560. A.R.S. § 13-4071(D) prohibits the court from issuing subpoenas in criminal cases. Petition at 8. AGO neglects to note this distinction.</w:t>
      </w:r>
      <w:r w:rsidR="004C4953">
        <w:rPr>
          <w:rFonts w:ascii="Times New Roman" w:hAnsi="Times New Roman"/>
          <w:sz w:val="28"/>
          <w:szCs w:val="28"/>
        </w:rPr>
        <w:t xml:space="preserve"> One can only wonder why the attorney in </w:t>
      </w:r>
      <w:r w:rsidR="004C4953" w:rsidRPr="004C4953">
        <w:rPr>
          <w:rFonts w:ascii="Times New Roman" w:hAnsi="Times New Roman"/>
          <w:i/>
          <w:iCs/>
          <w:sz w:val="28"/>
          <w:szCs w:val="28"/>
        </w:rPr>
        <w:t>Cambron</w:t>
      </w:r>
      <w:r w:rsidR="004C4953">
        <w:rPr>
          <w:rFonts w:ascii="Times New Roman" w:hAnsi="Times New Roman"/>
          <w:sz w:val="28"/>
          <w:szCs w:val="28"/>
        </w:rPr>
        <w:t xml:space="preserve"> would seek to involve the judge when the court’s subpoena power was readily available; but Petitioner confidently asserts that Arizona criminal defense attorneys would prefer the subpoena.</w:t>
      </w:r>
      <w:r w:rsidR="00E77622">
        <w:rPr>
          <w:rFonts w:ascii="Times New Roman" w:hAnsi="Times New Roman"/>
          <w:sz w:val="28"/>
          <w:szCs w:val="28"/>
        </w:rPr>
        <w:t xml:space="preserve"> AGO’s reliance on </w:t>
      </w:r>
      <w:r w:rsidR="00E77622" w:rsidRPr="00E77622">
        <w:rPr>
          <w:rFonts w:ascii="Times New Roman" w:hAnsi="Times New Roman"/>
          <w:i/>
          <w:iCs/>
          <w:sz w:val="28"/>
          <w:szCs w:val="28"/>
        </w:rPr>
        <w:t>Cambron</w:t>
      </w:r>
      <w:r w:rsidR="00E77622">
        <w:rPr>
          <w:rFonts w:ascii="Times New Roman" w:hAnsi="Times New Roman"/>
          <w:sz w:val="28"/>
          <w:szCs w:val="28"/>
        </w:rPr>
        <w:t xml:space="preserve"> for the assertion that ex parte proceedings “s</w:t>
      </w:r>
      <w:r w:rsidR="00E77622" w:rsidRPr="00E77622">
        <w:rPr>
          <w:rFonts w:ascii="Times New Roman" w:hAnsi="Times New Roman"/>
          <w:sz w:val="28"/>
          <w:szCs w:val="28"/>
        </w:rPr>
        <w:t>kew</w:t>
      </w:r>
      <w:r w:rsidR="00E77622">
        <w:rPr>
          <w:rFonts w:ascii="Times New Roman" w:hAnsi="Times New Roman"/>
          <w:sz w:val="28"/>
          <w:szCs w:val="28"/>
        </w:rPr>
        <w:t>[]</w:t>
      </w:r>
      <w:r w:rsidR="00E77622" w:rsidRPr="00E77622">
        <w:rPr>
          <w:rFonts w:ascii="Times New Roman" w:hAnsi="Times New Roman"/>
          <w:sz w:val="28"/>
          <w:szCs w:val="28"/>
        </w:rPr>
        <w:t xml:space="preserve"> the adversarial process to one side and allows one party to the proceedings to subvert the allowable methods of discovery</w:t>
      </w:r>
      <w:r w:rsidR="00E77622">
        <w:rPr>
          <w:rFonts w:ascii="Times New Roman" w:hAnsi="Times New Roman"/>
          <w:sz w:val="28"/>
          <w:szCs w:val="28"/>
        </w:rPr>
        <w:t>,” AGO Comment at 11, ignores that Kentucky law permitted not just defendants but also prosecutors to use the court’s subpoena powers. Thus, the parties were already on a level playing field with discovery.</w:t>
      </w:r>
    </w:p>
    <w:p w14:paraId="2FE7BE12" w14:textId="7A72B94C" w:rsidR="00BE2E4A" w:rsidRDefault="00863E5A"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AGO and MCAO cite cases showing search warrants are ex parte proceedings </w:t>
      </w:r>
      <w:r w:rsidR="00E77622">
        <w:rPr>
          <w:rFonts w:ascii="Times New Roman" w:hAnsi="Times New Roman"/>
          <w:sz w:val="28"/>
          <w:szCs w:val="28"/>
        </w:rPr>
        <w:t xml:space="preserve">that </w:t>
      </w:r>
      <w:r>
        <w:rPr>
          <w:rFonts w:ascii="Times New Roman" w:hAnsi="Times New Roman"/>
          <w:sz w:val="28"/>
          <w:szCs w:val="28"/>
        </w:rPr>
        <w:t xml:space="preserve">are permitted; but only AGO admits that neither the constitution nor statutes “expressly authorize” the court to conduct an ex parte proceeding. AGO Comment at 9-11; MCAO Comment at 9-10. AGO fails to appreciate that its own argument in </w:t>
      </w:r>
      <w:r w:rsidRPr="00863E5A">
        <w:rPr>
          <w:rFonts w:ascii="Times New Roman" w:hAnsi="Times New Roman"/>
          <w:i/>
          <w:iCs/>
          <w:sz w:val="28"/>
          <w:szCs w:val="28"/>
        </w:rPr>
        <w:t>Smith</w:t>
      </w:r>
      <w:r>
        <w:rPr>
          <w:rFonts w:ascii="Times New Roman" w:hAnsi="Times New Roman"/>
          <w:sz w:val="28"/>
          <w:szCs w:val="28"/>
        </w:rPr>
        <w:t xml:space="preserve">—and here—requires it to ignore case law in favor of the text of the </w:t>
      </w:r>
      <w:r>
        <w:rPr>
          <w:rFonts w:ascii="Times New Roman" w:hAnsi="Times New Roman"/>
          <w:sz w:val="28"/>
          <w:szCs w:val="28"/>
        </w:rPr>
        <w:lastRenderedPageBreak/>
        <w:t xml:space="preserve">constitution, statutes, and rules. AGO cannot have its cake and eat it too; it must admit that its argument is fundamentally flawed, or else it must </w:t>
      </w:r>
      <w:r w:rsidR="00E77622">
        <w:rPr>
          <w:rFonts w:ascii="Times New Roman" w:hAnsi="Times New Roman"/>
          <w:sz w:val="28"/>
          <w:szCs w:val="28"/>
        </w:rPr>
        <w:t>foreswear, on behalf of all agents of the government, ex parte access to judges to apply for search warrants. The Petition does not sincerely seek to end ex parte search warrant applications; it merely points out the absurd results that flow from AGO’s argument.</w:t>
      </w:r>
    </w:p>
    <w:p w14:paraId="0C69A4C3" w14:textId="2D971B07" w:rsidR="00BE2E4A" w:rsidRPr="00B81A4C" w:rsidRDefault="00BE2E4A" w:rsidP="00BE2E4A">
      <w:pPr>
        <w:pStyle w:val="ListParagraph"/>
        <w:numPr>
          <w:ilvl w:val="0"/>
          <w:numId w:val="12"/>
        </w:numPr>
        <w:spacing w:line="240" w:lineRule="auto"/>
        <w:jc w:val="both"/>
        <w:rPr>
          <w:rFonts w:ascii="Times New Roman" w:hAnsi="Times New Roman"/>
          <w:b/>
          <w:bCs/>
          <w:sz w:val="28"/>
          <w:szCs w:val="28"/>
        </w:rPr>
      </w:pPr>
      <w:r>
        <w:rPr>
          <w:rFonts w:ascii="Times New Roman" w:hAnsi="Times New Roman"/>
          <w:b/>
          <w:bCs/>
          <w:sz w:val="28"/>
          <w:szCs w:val="28"/>
        </w:rPr>
        <w:t xml:space="preserve">As long as the discovery request is not from or </w:t>
      </w:r>
      <w:r w:rsidR="009546FC">
        <w:rPr>
          <w:rFonts w:ascii="Times New Roman" w:hAnsi="Times New Roman"/>
          <w:b/>
          <w:bCs/>
          <w:sz w:val="28"/>
          <w:szCs w:val="28"/>
        </w:rPr>
        <w:t>for</w:t>
      </w:r>
      <w:r>
        <w:rPr>
          <w:rFonts w:ascii="Times New Roman" w:hAnsi="Times New Roman"/>
          <w:b/>
          <w:bCs/>
          <w:sz w:val="28"/>
          <w:szCs w:val="28"/>
        </w:rPr>
        <w:t xml:space="preserve"> a victim, neither the State nor the victim has standing to object</w:t>
      </w:r>
      <w:r w:rsidRPr="00B81A4C">
        <w:rPr>
          <w:rFonts w:ascii="Times New Roman" w:hAnsi="Times New Roman"/>
          <w:b/>
          <w:bCs/>
          <w:sz w:val="28"/>
          <w:szCs w:val="28"/>
        </w:rPr>
        <w:t>.</w:t>
      </w:r>
    </w:p>
    <w:p w14:paraId="4BE2820A" w14:textId="77777777" w:rsidR="00BE2E4A" w:rsidRDefault="00BE2E4A" w:rsidP="00BE2E4A">
      <w:pPr>
        <w:spacing w:line="240" w:lineRule="auto"/>
        <w:ind w:firstLine="720"/>
        <w:jc w:val="both"/>
        <w:rPr>
          <w:rFonts w:ascii="Times New Roman" w:hAnsi="Times New Roman"/>
          <w:sz w:val="28"/>
          <w:szCs w:val="28"/>
        </w:rPr>
      </w:pPr>
    </w:p>
    <w:p w14:paraId="5C55FC1D" w14:textId="1B98A66A" w:rsidR="00BE2E4A" w:rsidRDefault="00BE2E4A" w:rsidP="00BE2E4A">
      <w:pPr>
        <w:spacing w:line="480" w:lineRule="auto"/>
        <w:ind w:firstLine="720"/>
        <w:jc w:val="both"/>
        <w:rPr>
          <w:rFonts w:ascii="Times New Roman" w:hAnsi="Times New Roman"/>
          <w:sz w:val="28"/>
          <w:szCs w:val="28"/>
        </w:rPr>
      </w:pPr>
      <w:r>
        <w:rPr>
          <w:rFonts w:ascii="Times New Roman" w:hAnsi="Times New Roman"/>
          <w:sz w:val="28"/>
          <w:szCs w:val="28"/>
        </w:rPr>
        <w:t xml:space="preserve">AGO’s argument that ex parte hearings violate the </w:t>
      </w:r>
      <w:r w:rsidR="00417063">
        <w:rPr>
          <w:rFonts w:ascii="Times New Roman" w:hAnsi="Times New Roman"/>
          <w:sz w:val="28"/>
          <w:szCs w:val="28"/>
        </w:rPr>
        <w:t>VBR</w:t>
      </w:r>
      <w:r>
        <w:rPr>
          <w:rFonts w:ascii="Times New Roman" w:hAnsi="Times New Roman"/>
          <w:sz w:val="28"/>
          <w:szCs w:val="28"/>
        </w:rPr>
        <w:t xml:space="preserve">, AGO Comment at 19, is foreclosed by </w:t>
      </w:r>
      <w:r w:rsidRPr="00BE2E4A">
        <w:rPr>
          <w:rFonts w:ascii="Times New Roman" w:hAnsi="Times New Roman"/>
          <w:i/>
          <w:iCs/>
          <w:sz w:val="28"/>
          <w:szCs w:val="28"/>
        </w:rPr>
        <w:t>Morehart</w:t>
      </w:r>
      <w:r w:rsidR="00417063">
        <w:rPr>
          <w:rFonts w:ascii="Times New Roman" w:hAnsi="Times New Roman"/>
          <w:sz w:val="28"/>
          <w:szCs w:val="28"/>
        </w:rPr>
        <w:t>:</w:t>
      </w:r>
      <w:r w:rsidRPr="009D69B1">
        <w:rPr>
          <w:rFonts w:ascii="Times New Roman" w:hAnsi="Times New Roman"/>
          <w:sz w:val="28"/>
          <w:szCs w:val="28"/>
        </w:rPr>
        <w:t xml:space="preserve"> </w:t>
      </w:r>
      <w:r w:rsidR="00417063">
        <w:rPr>
          <w:rFonts w:ascii="Times New Roman" w:hAnsi="Times New Roman"/>
          <w:sz w:val="28"/>
          <w:szCs w:val="28"/>
        </w:rPr>
        <w:t>“</w:t>
      </w:r>
      <w:r w:rsidR="00417063" w:rsidRPr="00417063">
        <w:rPr>
          <w:rFonts w:ascii="Times New Roman" w:hAnsi="Times New Roman"/>
          <w:sz w:val="28"/>
          <w:szCs w:val="28"/>
        </w:rPr>
        <w:t xml:space="preserve">The issue here is whether </w:t>
      </w:r>
      <w:r w:rsidR="00417063">
        <w:rPr>
          <w:rFonts w:ascii="Times New Roman" w:hAnsi="Times New Roman"/>
          <w:sz w:val="28"/>
          <w:szCs w:val="28"/>
        </w:rPr>
        <w:t>[VBR]</w:t>
      </w:r>
      <w:r w:rsidR="00417063" w:rsidRPr="00417063">
        <w:rPr>
          <w:rFonts w:ascii="Times New Roman" w:hAnsi="Times New Roman"/>
          <w:sz w:val="28"/>
          <w:szCs w:val="28"/>
        </w:rPr>
        <w:t xml:space="preserve"> entitles victims to attend an ex parte hearing on the return of summonses issued as part of defense counsel</w:t>
      </w:r>
      <w:r w:rsidR="00417063">
        <w:rPr>
          <w:rFonts w:ascii="Times New Roman" w:hAnsi="Times New Roman"/>
          <w:sz w:val="28"/>
          <w:szCs w:val="28"/>
        </w:rPr>
        <w:t>’</w:t>
      </w:r>
      <w:r w:rsidR="00417063" w:rsidRPr="00417063">
        <w:rPr>
          <w:rFonts w:ascii="Times New Roman" w:hAnsi="Times New Roman"/>
          <w:sz w:val="28"/>
          <w:szCs w:val="28"/>
        </w:rPr>
        <w:t>s pretrial investigation of mitigation evidence in a capital case. Because the defendant has no right to attend such a purely procedural hearing, victims also have no right to attend.</w:t>
      </w:r>
      <w:r w:rsidR="00417063">
        <w:rPr>
          <w:rFonts w:ascii="Times New Roman" w:hAnsi="Times New Roman"/>
          <w:sz w:val="28"/>
          <w:szCs w:val="28"/>
        </w:rPr>
        <w:t xml:space="preserve">” 226 Ariz. at 511 ¶ 1. AGO cites the exception to the rule for discovery related to victims, </w:t>
      </w:r>
      <w:r w:rsidR="00417063" w:rsidRPr="00AA7BAE">
        <w:rPr>
          <w:rFonts w:ascii="Times New Roman" w:hAnsi="Times New Roman"/>
          <w:i/>
          <w:iCs/>
          <w:sz w:val="28"/>
          <w:szCs w:val="28"/>
        </w:rPr>
        <w:t>id</w:t>
      </w:r>
      <w:r w:rsidR="00417063">
        <w:rPr>
          <w:rFonts w:ascii="Times New Roman" w:hAnsi="Times New Roman"/>
          <w:sz w:val="28"/>
          <w:szCs w:val="28"/>
        </w:rPr>
        <w:t>. at</w:t>
      </w:r>
      <w:r w:rsidR="00AA7BAE">
        <w:rPr>
          <w:rFonts w:ascii="Times New Roman" w:hAnsi="Times New Roman"/>
          <w:sz w:val="28"/>
          <w:szCs w:val="28"/>
        </w:rPr>
        <w:t xml:space="preserve"> 516</w:t>
      </w:r>
      <w:r w:rsidR="00417063">
        <w:rPr>
          <w:rFonts w:ascii="Times New Roman" w:hAnsi="Times New Roman"/>
          <w:sz w:val="28"/>
          <w:szCs w:val="28"/>
        </w:rPr>
        <w:t xml:space="preserve"> </w:t>
      </w:r>
      <w:r w:rsidR="00AA7BAE">
        <w:rPr>
          <w:rFonts w:ascii="Times New Roman" w:hAnsi="Times New Roman"/>
          <w:sz w:val="28"/>
          <w:szCs w:val="28"/>
        </w:rPr>
        <w:t xml:space="preserve">¶ 23, and tries to turn this </w:t>
      </w:r>
      <w:r w:rsidR="00EE07E2">
        <w:rPr>
          <w:rFonts w:ascii="Times New Roman" w:hAnsi="Times New Roman"/>
          <w:sz w:val="28"/>
          <w:szCs w:val="28"/>
        </w:rPr>
        <w:t>exception</w:t>
      </w:r>
      <w:r w:rsidR="00AA7BAE">
        <w:rPr>
          <w:rFonts w:ascii="Times New Roman" w:hAnsi="Times New Roman"/>
          <w:sz w:val="28"/>
          <w:szCs w:val="28"/>
        </w:rPr>
        <w:t xml:space="preserve"> into the rule itself. The victims’ right to be present “</w:t>
      </w:r>
      <w:r w:rsidR="00AA7BAE" w:rsidRPr="00AA7BAE">
        <w:rPr>
          <w:rFonts w:ascii="Times New Roman" w:hAnsi="Times New Roman"/>
          <w:sz w:val="28"/>
          <w:szCs w:val="28"/>
        </w:rPr>
        <w:t>at any proceeding involving a post-arrest release decision, a negotiated plea, and sentencing</w:t>
      </w:r>
      <w:r w:rsidR="00AA7BAE">
        <w:rPr>
          <w:rFonts w:ascii="Times New Roman" w:hAnsi="Times New Roman"/>
          <w:sz w:val="28"/>
          <w:szCs w:val="28"/>
        </w:rPr>
        <w:t>,</w:t>
      </w:r>
      <w:r w:rsidR="00AA7BAE" w:rsidRPr="00AA7BAE">
        <w:rPr>
          <w:rFonts w:ascii="Times New Roman" w:hAnsi="Times New Roman"/>
          <w:sz w:val="28"/>
          <w:szCs w:val="28"/>
        </w:rPr>
        <w:t>”</w:t>
      </w:r>
      <w:r w:rsidR="00AA7BAE">
        <w:rPr>
          <w:rFonts w:ascii="Times New Roman" w:hAnsi="Times New Roman"/>
          <w:sz w:val="28"/>
          <w:szCs w:val="28"/>
        </w:rPr>
        <w:t xml:space="preserve"> AGO Comment at 19-20 (quoting </w:t>
      </w:r>
      <w:r w:rsidR="00AA7BAE" w:rsidRPr="00417063">
        <w:rPr>
          <w:rFonts w:ascii="Times New Roman" w:hAnsi="Times New Roman"/>
          <w:smallCaps/>
          <w:sz w:val="28"/>
          <w:szCs w:val="28"/>
        </w:rPr>
        <w:t>Ariz. Const</w:t>
      </w:r>
      <w:r w:rsidR="00AA7BAE">
        <w:rPr>
          <w:rFonts w:ascii="Times New Roman" w:hAnsi="Times New Roman"/>
          <w:sz w:val="28"/>
          <w:szCs w:val="28"/>
        </w:rPr>
        <w:t>. art. 2, § 2.1</w:t>
      </w:r>
      <w:r w:rsidR="00AA7BAE" w:rsidRPr="00AA7BAE">
        <w:rPr>
          <w:rFonts w:ascii="Times New Roman" w:hAnsi="Times New Roman"/>
          <w:sz w:val="28"/>
          <w:szCs w:val="28"/>
        </w:rPr>
        <w:t>(A)(4)</w:t>
      </w:r>
      <w:r w:rsidR="00AA7BAE">
        <w:rPr>
          <w:rFonts w:ascii="Times New Roman" w:hAnsi="Times New Roman"/>
          <w:sz w:val="28"/>
          <w:szCs w:val="28"/>
        </w:rPr>
        <w:t>), does not apply in discovery proceedings.</w:t>
      </w:r>
      <w:r w:rsidR="00BA5195" w:rsidRPr="00733C8C">
        <w:rPr>
          <w:rStyle w:val="FootnoteReference"/>
          <w:rFonts w:ascii="Times New Roman" w:hAnsi="Times New Roman"/>
          <w:sz w:val="28"/>
          <w:szCs w:val="28"/>
        </w:rPr>
        <w:footnoteReference w:id="3"/>
      </w:r>
    </w:p>
    <w:p w14:paraId="2CD5C356" w14:textId="1DDE4FBE" w:rsidR="00591D0E" w:rsidRDefault="0090269C" w:rsidP="00BE2E4A">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 State has no standing to object to discovery requests from third parties. In </w:t>
      </w:r>
      <w:r w:rsidRPr="0090269C">
        <w:rPr>
          <w:rFonts w:ascii="Times New Roman" w:hAnsi="Times New Roman"/>
          <w:i/>
          <w:iCs/>
          <w:sz w:val="28"/>
          <w:szCs w:val="28"/>
        </w:rPr>
        <w:t>Lopez v. State</w:t>
      </w:r>
      <w:r>
        <w:rPr>
          <w:rFonts w:ascii="Times New Roman" w:hAnsi="Times New Roman"/>
          <w:sz w:val="28"/>
          <w:szCs w:val="28"/>
        </w:rPr>
        <w:t>, 581 P.3d 741</w:t>
      </w:r>
      <w:r w:rsidR="00461B86">
        <w:rPr>
          <w:rFonts w:ascii="Times New Roman" w:hAnsi="Times New Roman"/>
          <w:sz w:val="28"/>
          <w:szCs w:val="28"/>
        </w:rPr>
        <w:t xml:space="preserve"> </w:t>
      </w:r>
      <w:r>
        <w:rPr>
          <w:rFonts w:ascii="Times New Roman" w:hAnsi="Times New Roman"/>
          <w:sz w:val="28"/>
          <w:szCs w:val="28"/>
        </w:rPr>
        <w:t>(</w:t>
      </w:r>
      <w:r w:rsidR="00EE07E2">
        <w:rPr>
          <w:rFonts w:ascii="Times New Roman" w:hAnsi="Times New Roman"/>
          <w:sz w:val="28"/>
          <w:szCs w:val="28"/>
        </w:rPr>
        <w:t xml:space="preserve">Ariz. </w:t>
      </w:r>
      <w:r>
        <w:rPr>
          <w:rFonts w:ascii="Times New Roman" w:hAnsi="Times New Roman"/>
          <w:sz w:val="28"/>
          <w:szCs w:val="28"/>
        </w:rPr>
        <w:t xml:space="preserve">App. 2025), the court of appeals </w:t>
      </w:r>
      <w:r w:rsidR="00461B86">
        <w:rPr>
          <w:rFonts w:ascii="Times New Roman" w:hAnsi="Times New Roman"/>
          <w:sz w:val="28"/>
          <w:szCs w:val="28"/>
        </w:rPr>
        <w:t xml:space="preserve">repeated longstanding law limiting the prosecution’s authority to object to discovery from another state agency. </w:t>
      </w:r>
      <w:r w:rsidR="00461B86" w:rsidRPr="00461B86">
        <w:rPr>
          <w:rFonts w:ascii="Times New Roman" w:hAnsi="Times New Roman"/>
          <w:i/>
          <w:iCs/>
          <w:sz w:val="28"/>
          <w:szCs w:val="28"/>
        </w:rPr>
        <w:t>Id</w:t>
      </w:r>
      <w:r w:rsidR="00461B86">
        <w:rPr>
          <w:rFonts w:ascii="Times New Roman" w:hAnsi="Times New Roman"/>
          <w:sz w:val="28"/>
          <w:szCs w:val="28"/>
        </w:rPr>
        <w:t>. at 746 ¶ 16 (“</w:t>
      </w:r>
      <w:r w:rsidR="00461B86" w:rsidRPr="00461B86">
        <w:rPr>
          <w:rFonts w:ascii="Times New Roman" w:hAnsi="Times New Roman"/>
          <w:sz w:val="28"/>
          <w:szCs w:val="28"/>
        </w:rPr>
        <w:t>Generally, a party may not challenge a discovery order directed to a nonparty witness, the right to object being reserved solely for the witness subpoenaed</w:t>
      </w:r>
      <w:r w:rsidR="00461B86">
        <w:rPr>
          <w:rFonts w:ascii="Times New Roman" w:hAnsi="Times New Roman"/>
          <w:sz w:val="28"/>
          <w:szCs w:val="28"/>
        </w:rPr>
        <w:t xml:space="preserve">.” (quoting </w:t>
      </w:r>
      <w:r w:rsidR="00461B86" w:rsidRPr="00461B86">
        <w:rPr>
          <w:rFonts w:ascii="Times New Roman" w:hAnsi="Times New Roman"/>
          <w:i/>
          <w:iCs/>
          <w:sz w:val="28"/>
          <w:szCs w:val="28"/>
        </w:rPr>
        <w:t>Humana Hosp. Desert Valley v. Superior Ct.</w:t>
      </w:r>
      <w:r w:rsidR="00461B86" w:rsidRPr="00461B86">
        <w:rPr>
          <w:rFonts w:ascii="Times New Roman" w:hAnsi="Times New Roman"/>
          <w:sz w:val="28"/>
          <w:szCs w:val="28"/>
        </w:rPr>
        <w:t>, 154 Ariz. 396, 403 (App. 1987)</w:t>
      </w:r>
      <w:r w:rsidR="00461B86">
        <w:rPr>
          <w:rFonts w:ascii="Times New Roman" w:hAnsi="Times New Roman"/>
          <w:sz w:val="28"/>
          <w:szCs w:val="28"/>
        </w:rPr>
        <w:t xml:space="preserve">); </w:t>
      </w:r>
      <w:r w:rsidR="00461B86" w:rsidRPr="00461B86">
        <w:rPr>
          <w:rFonts w:ascii="Times New Roman" w:hAnsi="Times New Roman"/>
          <w:i/>
          <w:iCs/>
          <w:sz w:val="28"/>
          <w:szCs w:val="28"/>
        </w:rPr>
        <w:t>id</w:t>
      </w:r>
      <w:r w:rsidR="00461B86">
        <w:rPr>
          <w:rFonts w:ascii="Times New Roman" w:hAnsi="Times New Roman"/>
          <w:sz w:val="28"/>
          <w:szCs w:val="28"/>
        </w:rPr>
        <w:t>. ¶ 17 (</w:t>
      </w:r>
      <w:r w:rsidR="00461B86" w:rsidRPr="00461B86">
        <w:rPr>
          <w:rFonts w:ascii="Times New Roman" w:hAnsi="Times New Roman"/>
          <w:sz w:val="28"/>
          <w:szCs w:val="28"/>
        </w:rPr>
        <w:t>“The prosecution has no right to interfere with or prevent a defendant</w:t>
      </w:r>
      <w:r w:rsidR="00461B86">
        <w:rPr>
          <w:rFonts w:ascii="Times New Roman" w:hAnsi="Times New Roman"/>
          <w:sz w:val="28"/>
          <w:szCs w:val="28"/>
        </w:rPr>
        <w:t>’</w:t>
      </w:r>
      <w:r w:rsidR="00461B86" w:rsidRPr="00461B86">
        <w:rPr>
          <w:rFonts w:ascii="Times New Roman" w:hAnsi="Times New Roman"/>
          <w:sz w:val="28"/>
          <w:szCs w:val="28"/>
        </w:rPr>
        <w:t>s access to a witness.”)</w:t>
      </w:r>
      <w:r w:rsidR="00461B86">
        <w:rPr>
          <w:rFonts w:ascii="Times New Roman" w:hAnsi="Times New Roman"/>
          <w:sz w:val="28"/>
          <w:szCs w:val="28"/>
        </w:rPr>
        <w:t xml:space="preserve"> (quoting </w:t>
      </w:r>
      <w:r w:rsidR="00461B86">
        <w:rPr>
          <w:rFonts w:ascii="Times New Roman" w:hAnsi="Times New Roman"/>
          <w:i/>
          <w:iCs/>
          <w:sz w:val="28"/>
          <w:szCs w:val="28"/>
        </w:rPr>
        <w:t>Mota</w:t>
      </w:r>
      <w:r w:rsidR="00461B86" w:rsidRPr="00461B86">
        <w:rPr>
          <w:rFonts w:ascii="Times New Roman" w:hAnsi="Times New Roman"/>
          <w:i/>
          <w:iCs/>
          <w:sz w:val="28"/>
          <w:szCs w:val="28"/>
        </w:rPr>
        <w:t xml:space="preserve"> v. </w:t>
      </w:r>
      <w:r w:rsidR="00461B86">
        <w:rPr>
          <w:rFonts w:ascii="Times New Roman" w:hAnsi="Times New Roman"/>
          <w:i/>
          <w:iCs/>
          <w:sz w:val="28"/>
          <w:szCs w:val="28"/>
        </w:rPr>
        <w:t>Buchanan</w:t>
      </w:r>
      <w:r w:rsidR="00461B86">
        <w:rPr>
          <w:rFonts w:ascii="Times New Roman" w:hAnsi="Times New Roman"/>
          <w:sz w:val="28"/>
          <w:szCs w:val="28"/>
        </w:rPr>
        <w:t>, 26 Ariz. App. 246, 249 (1976))</w:t>
      </w:r>
      <w:r w:rsidR="00461B86" w:rsidRPr="00461B86">
        <w:rPr>
          <w:rFonts w:ascii="Times New Roman" w:hAnsi="Times New Roman"/>
          <w:sz w:val="28"/>
          <w:szCs w:val="28"/>
        </w:rPr>
        <w:t>;</w:t>
      </w:r>
      <w:r w:rsidR="00461B86">
        <w:rPr>
          <w:rFonts w:ascii="Times New Roman" w:hAnsi="Times New Roman"/>
          <w:sz w:val="28"/>
          <w:szCs w:val="28"/>
        </w:rPr>
        <w:t xml:space="preserve"> </w:t>
      </w:r>
      <w:r w:rsidR="00461B86" w:rsidRPr="00461B86">
        <w:rPr>
          <w:rFonts w:ascii="Times New Roman" w:hAnsi="Times New Roman"/>
          <w:i/>
          <w:iCs/>
          <w:sz w:val="28"/>
          <w:szCs w:val="28"/>
        </w:rPr>
        <w:t>id</w:t>
      </w:r>
      <w:r w:rsidR="00461B86">
        <w:rPr>
          <w:rFonts w:ascii="Times New Roman" w:hAnsi="Times New Roman"/>
          <w:sz w:val="28"/>
          <w:szCs w:val="28"/>
        </w:rPr>
        <w:t>. (“</w:t>
      </w:r>
      <w:r w:rsidR="00461B86" w:rsidRPr="00461B86">
        <w:rPr>
          <w:rFonts w:ascii="Times New Roman" w:hAnsi="Times New Roman"/>
          <w:sz w:val="28"/>
          <w:szCs w:val="28"/>
        </w:rPr>
        <w:t>Unless a party to an action can make claim to some personal right or privilege in respect to the subject matter of a subpoena duces tecum directed to a nonparty witness, the party to the action has no right to relief.”</w:t>
      </w:r>
      <w:r w:rsidR="00461B86">
        <w:rPr>
          <w:rFonts w:ascii="Times New Roman" w:hAnsi="Times New Roman"/>
          <w:sz w:val="28"/>
          <w:szCs w:val="28"/>
        </w:rPr>
        <w:t xml:space="preserve">) (quoting </w:t>
      </w:r>
      <w:r w:rsidR="00461B86" w:rsidRPr="00461B86">
        <w:rPr>
          <w:rFonts w:ascii="Times New Roman" w:hAnsi="Times New Roman"/>
          <w:i/>
          <w:iCs/>
          <w:sz w:val="28"/>
          <w:szCs w:val="28"/>
        </w:rPr>
        <w:t>MacDonald v. Hyder</w:t>
      </w:r>
      <w:r w:rsidR="00461B86">
        <w:rPr>
          <w:rFonts w:ascii="Times New Roman" w:hAnsi="Times New Roman"/>
          <w:sz w:val="28"/>
          <w:szCs w:val="28"/>
        </w:rPr>
        <w:t>,</w:t>
      </w:r>
      <w:r w:rsidR="00461B86" w:rsidRPr="00461B86">
        <w:rPr>
          <w:rFonts w:ascii="Times New Roman" w:hAnsi="Times New Roman"/>
          <w:sz w:val="28"/>
          <w:szCs w:val="28"/>
        </w:rPr>
        <w:t xml:space="preserve"> </w:t>
      </w:r>
      <w:r w:rsidR="00461B86">
        <w:rPr>
          <w:rFonts w:ascii="Times New Roman" w:hAnsi="Times New Roman"/>
          <w:sz w:val="28"/>
          <w:szCs w:val="28"/>
        </w:rPr>
        <w:t>12 Ariz. App. 411, 417 (1970))</w:t>
      </w:r>
      <w:r w:rsidR="00E22834">
        <w:rPr>
          <w:rFonts w:ascii="Times New Roman" w:hAnsi="Times New Roman"/>
          <w:sz w:val="28"/>
          <w:szCs w:val="28"/>
        </w:rPr>
        <w:t>.</w:t>
      </w:r>
    </w:p>
    <w:p w14:paraId="4571CBE4" w14:textId="1E3B92AC" w:rsidR="00190EF0" w:rsidRDefault="00E22834" w:rsidP="00B81A4C">
      <w:pPr>
        <w:spacing w:line="480" w:lineRule="auto"/>
        <w:ind w:firstLine="720"/>
        <w:jc w:val="both"/>
        <w:rPr>
          <w:rFonts w:ascii="Times New Roman" w:hAnsi="Times New Roman"/>
          <w:sz w:val="28"/>
          <w:szCs w:val="28"/>
        </w:rPr>
      </w:pPr>
      <w:r>
        <w:rPr>
          <w:rFonts w:ascii="Times New Roman" w:hAnsi="Times New Roman"/>
          <w:sz w:val="28"/>
          <w:szCs w:val="28"/>
        </w:rPr>
        <w:t>Thus, even if the State were present for a hearing on discovery of records, the court should not even ask the prosecutors for their position; they are</w:t>
      </w:r>
      <w:r w:rsidR="00D466DB">
        <w:rPr>
          <w:rFonts w:ascii="Times New Roman" w:hAnsi="Times New Roman"/>
          <w:sz w:val="28"/>
          <w:szCs w:val="28"/>
        </w:rPr>
        <w:t>,</w:t>
      </w:r>
      <w:r w:rsidR="005A4413">
        <w:rPr>
          <w:rFonts w:ascii="Times New Roman" w:hAnsi="Times New Roman"/>
          <w:sz w:val="28"/>
          <w:szCs w:val="28"/>
        </w:rPr>
        <w:t xml:space="preserve"> at most, </w:t>
      </w:r>
      <w:r>
        <w:rPr>
          <w:rFonts w:ascii="Times New Roman" w:hAnsi="Times New Roman"/>
          <w:sz w:val="28"/>
          <w:szCs w:val="28"/>
        </w:rPr>
        <w:t>passive observers.</w:t>
      </w:r>
      <w:r w:rsidR="00591D0E">
        <w:rPr>
          <w:rFonts w:ascii="Times New Roman" w:hAnsi="Times New Roman"/>
          <w:sz w:val="28"/>
          <w:szCs w:val="28"/>
        </w:rPr>
        <w:t xml:space="preserve"> For this reason, the authorities MCAO relies upon for the proposition that ex parte proceedings deprive the other party of the opportunity to be heard, MCAO Comment at 3-4, are inapplicable.</w:t>
      </w:r>
      <w:r w:rsidR="001C15B6">
        <w:rPr>
          <w:rFonts w:ascii="Times New Roman" w:hAnsi="Times New Roman"/>
          <w:sz w:val="28"/>
          <w:szCs w:val="28"/>
        </w:rPr>
        <w:t xml:space="preserve"> And its reliance on </w:t>
      </w:r>
      <w:r w:rsidR="001C15B6" w:rsidRPr="001C15B6">
        <w:rPr>
          <w:rFonts w:ascii="Times New Roman" w:hAnsi="Times New Roman"/>
          <w:i/>
          <w:iCs/>
          <w:sz w:val="28"/>
          <w:szCs w:val="28"/>
        </w:rPr>
        <w:t>Draper v. Gentry</w:t>
      </w:r>
      <w:r w:rsidR="001C15B6">
        <w:rPr>
          <w:rFonts w:ascii="Times New Roman" w:hAnsi="Times New Roman"/>
          <w:sz w:val="28"/>
          <w:szCs w:val="28"/>
        </w:rPr>
        <w:t xml:space="preserve">, 255 Ariz. 417 (2023), is misplaced, because that involved disclosure directly from a victim, which implicates not only the victim’s right to be heard but also to refuse the defendant’s discovery request. </w:t>
      </w:r>
      <w:r w:rsidR="001C15B6" w:rsidRPr="00417063">
        <w:rPr>
          <w:rFonts w:ascii="Times New Roman" w:hAnsi="Times New Roman"/>
          <w:smallCaps/>
          <w:sz w:val="28"/>
          <w:szCs w:val="28"/>
        </w:rPr>
        <w:t>Ariz. Const</w:t>
      </w:r>
      <w:r w:rsidR="001C15B6">
        <w:rPr>
          <w:rFonts w:ascii="Times New Roman" w:hAnsi="Times New Roman"/>
          <w:sz w:val="28"/>
          <w:szCs w:val="28"/>
        </w:rPr>
        <w:t>. art. 2, § 2.1(A)(3), (5).</w:t>
      </w:r>
    </w:p>
    <w:p w14:paraId="33B2B794" w14:textId="1E552CE3" w:rsidR="00190EF0" w:rsidRPr="00B81A4C" w:rsidRDefault="00190EF0" w:rsidP="00190EF0">
      <w:pPr>
        <w:pStyle w:val="ListParagraph"/>
        <w:numPr>
          <w:ilvl w:val="0"/>
          <w:numId w:val="12"/>
        </w:numPr>
        <w:spacing w:line="240" w:lineRule="auto"/>
        <w:jc w:val="both"/>
        <w:rPr>
          <w:rFonts w:ascii="Times New Roman" w:hAnsi="Times New Roman"/>
          <w:b/>
          <w:bCs/>
          <w:sz w:val="28"/>
          <w:szCs w:val="28"/>
        </w:rPr>
      </w:pPr>
      <w:r>
        <w:rPr>
          <w:rFonts w:ascii="Times New Roman" w:hAnsi="Times New Roman"/>
          <w:b/>
          <w:bCs/>
          <w:sz w:val="28"/>
          <w:szCs w:val="28"/>
        </w:rPr>
        <w:lastRenderedPageBreak/>
        <w:t xml:space="preserve">Having a rule in place, instead of the ad hoc practice that currently exists, will guide trial courts in their exercise of discretion and help ensure that </w:t>
      </w:r>
      <w:r w:rsidRPr="008E20B8">
        <w:rPr>
          <w:rFonts w:ascii="Times New Roman" w:hAnsi="Times New Roman"/>
          <w:b/>
          <w:bCs/>
          <w:sz w:val="28"/>
          <w:szCs w:val="28"/>
        </w:rPr>
        <w:t>ex parte</w:t>
      </w:r>
      <w:r w:rsidRPr="00B81A4C">
        <w:rPr>
          <w:rFonts w:ascii="Times New Roman" w:hAnsi="Times New Roman"/>
          <w:b/>
          <w:bCs/>
          <w:sz w:val="28"/>
          <w:szCs w:val="28"/>
        </w:rPr>
        <w:t xml:space="preserve"> </w:t>
      </w:r>
      <w:r>
        <w:rPr>
          <w:rFonts w:ascii="Times New Roman" w:hAnsi="Times New Roman"/>
          <w:b/>
          <w:bCs/>
          <w:sz w:val="28"/>
          <w:szCs w:val="28"/>
        </w:rPr>
        <w:t>discovery motions and hearings are not abused</w:t>
      </w:r>
      <w:r w:rsidRPr="00B81A4C">
        <w:rPr>
          <w:rFonts w:ascii="Times New Roman" w:hAnsi="Times New Roman"/>
          <w:b/>
          <w:bCs/>
          <w:sz w:val="28"/>
          <w:szCs w:val="28"/>
        </w:rPr>
        <w:t>.</w:t>
      </w:r>
    </w:p>
    <w:p w14:paraId="6A397F28" w14:textId="77777777" w:rsidR="00190EF0" w:rsidRDefault="00190EF0" w:rsidP="00190EF0">
      <w:pPr>
        <w:spacing w:line="240" w:lineRule="auto"/>
        <w:ind w:firstLine="720"/>
        <w:jc w:val="both"/>
        <w:rPr>
          <w:rFonts w:ascii="Times New Roman" w:hAnsi="Times New Roman"/>
          <w:sz w:val="28"/>
          <w:szCs w:val="28"/>
        </w:rPr>
      </w:pPr>
    </w:p>
    <w:p w14:paraId="6EF93E18" w14:textId="7468FC3E" w:rsidR="00FE15C5" w:rsidRDefault="006B2625"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While </w:t>
      </w:r>
      <w:r w:rsidR="00190EF0">
        <w:rPr>
          <w:rFonts w:ascii="Times New Roman" w:hAnsi="Times New Roman"/>
          <w:sz w:val="28"/>
          <w:szCs w:val="28"/>
        </w:rPr>
        <w:t>MCAO and AGO oppose</w:t>
      </w:r>
      <w:r w:rsidR="00017AB0">
        <w:rPr>
          <w:rFonts w:ascii="Times New Roman" w:hAnsi="Times New Roman"/>
          <w:sz w:val="28"/>
          <w:szCs w:val="28"/>
        </w:rPr>
        <w:t xml:space="preserve"> the petition, neither opposes the continuing practice of having </w:t>
      </w:r>
      <w:r w:rsidR="008E20B8">
        <w:rPr>
          <w:rFonts w:ascii="Times New Roman" w:hAnsi="Times New Roman"/>
          <w:sz w:val="28"/>
          <w:szCs w:val="28"/>
        </w:rPr>
        <w:t>ex parte</w:t>
      </w:r>
      <w:r w:rsidR="00017AB0">
        <w:rPr>
          <w:rFonts w:ascii="Times New Roman" w:hAnsi="Times New Roman"/>
          <w:sz w:val="28"/>
          <w:szCs w:val="28"/>
        </w:rPr>
        <w:t xml:space="preserve"> discovery hearings in trial courts. </w:t>
      </w:r>
      <w:r w:rsidR="009D69B1">
        <w:rPr>
          <w:rFonts w:ascii="Times New Roman" w:hAnsi="Times New Roman"/>
          <w:sz w:val="28"/>
          <w:szCs w:val="28"/>
        </w:rPr>
        <w:t>AGO Comment at 9 (“</w:t>
      </w:r>
      <w:r w:rsidR="009D69B1" w:rsidRPr="009D69B1">
        <w:rPr>
          <w:rFonts w:ascii="Times New Roman" w:hAnsi="Times New Roman"/>
          <w:sz w:val="28"/>
          <w:szCs w:val="28"/>
        </w:rPr>
        <w:t xml:space="preserve">But that does not change the fact that </w:t>
      </w:r>
      <w:r w:rsidR="009D69B1" w:rsidRPr="009D69B1">
        <w:rPr>
          <w:rFonts w:ascii="Times New Roman" w:hAnsi="Times New Roman"/>
          <w:i/>
          <w:iCs/>
          <w:sz w:val="28"/>
          <w:szCs w:val="28"/>
        </w:rPr>
        <w:t>Smith</w:t>
      </w:r>
      <w:r w:rsidR="009D69B1" w:rsidRPr="009D69B1">
        <w:rPr>
          <w:rFonts w:ascii="Times New Roman" w:hAnsi="Times New Roman"/>
          <w:sz w:val="28"/>
          <w:szCs w:val="28"/>
        </w:rPr>
        <w:t>’s holding applies only to ex parte discovery in the post-conviction context and not to other ex parte practices or to other contexts. Litigants cannot change that fact.</w:t>
      </w:r>
      <w:r w:rsidR="009D69B1">
        <w:rPr>
          <w:rFonts w:ascii="Times New Roman" w:hAnsi="Times New Roman"/>
          <w:sz w:val="28"/>
          <w:szCs w:val="28"/>
        </w:rPr>
        <w:t xml:space="preserve">”); MCAO Comment at </w:t>
      </w:r>
      <w:r w:rsidR="006D7172">
        <w:rPr>
          <w:rFonts w:ascii="Times New Roman" w:hAnsi="Times New Roman"/>
          <w:sz w:val="28"/>
          <w:szCs w:val="28"/>
        </w:rPr>
        <w:t>9 (“[</w:t>
      </w:r>
      <w:r w:rsidR="006D7172" w:rsidRPr="006D7172">
        <w:rPr>
          <w:rFonts w:ascii="Times New Roman" w:hAnsi="Times New Roman"/>
          <w:i/>
          <w:iCs/>
          <w:sz w:val="28"/>
          <w:szCs w:val="28"/>
        </w:rPr>
        <w:t>Smith</w:t>
      </w:r>
      <w:r w:rsidR="006D7172">
        <w:rPr>
          <w:rFonts w:ascii="Times New Roman" w:hAnsi="Times New Roman"/>
          <w:sz w:val="28"/>
          <w:szCs w:val="28"/>
        </w:rPr>
        <w:t>’s] limited holding has no impact on discovery matters pursuant to Rule 15</w:t>
      </w:r>
      <w:r w:rsidR="009D69B1">
        <w:rPr>
          <w:rFonts w:ascii="Times New Roman" w:hAnsi="Times New Roman"/>
          <w:sz w:val="28"/>
          <w:szCs w:val="28"/>
        </w:rPr>
        <w:t>.</w:t>
      </w:r>
      <w:r w:rsidR="006D7172">
        <w:rPr>
          <w:rFonts w:ascii="Times New Roman" w:hAnsi="Times New Roman"/>
          <w:sz w:val="28"/>
          <w:szCs w:val="28"/>
        </w:rPr>
        <w:t>”).</w:t>
      </w:r>
      <w:r w:rsidR="009D69B1">
        <w:rPr>
          <w:rFonts w:ascii="Times New Roman" w:hAnsi="Times New Roman"/>
          <w:sz w:val="28"/>
          <w:szCs w:val="28"/>
        </w:rPr>
        <w:t xml:space="preserve"> These positions are inherently contradictory. If the practice properly exists, then a clear rule should guide the practice. MCAO puts a lot of emphasis on the abuses it has observed in the ex parte discovery process. </w:t>
      </w:r>
      <w:r w:rsidR="00FE15C5">
        <w:rPr>
          <w:rFonts w:ascii="Times New Roman" w:hAnsi="Times New Roman"/>
          <w:sz w:val="28"/>
          <w:szCs w:val="28"/>
        </w:rPr>
        <w:t xml:space="preserve">MCAO Comment at 6. </w:t>
      </w:r>
      <w:r w:rsidR="009D69B1">
        <w:rPr>
          <w:rFonts w:ascii="Times New Roman" w:hAnsi="Times New Roman"/>
          <w:sz w:val="28"/>
          <w:szCs w:val="28"/>
        </w:rPr>
        <w:t xml:space="preserve">No doubt this is </w:t>
      </w:r>
      <w:r w:rsidR="00FE15C5">
        <w:rPr>
          <w:rFonts w:ascii="Times New Roman" w:hAnsi="Times New Roman"/>
          <w:sz w:val="28"/>
          <w:szCs w:val="28"/>
        </w:rPr>
        <w:t>because</w:t>
      </w:r>
      <w:r w:rsidR="009D69B1">
        <w:rPr>
          <w:rFonts w:ascii="Times New Roman" w:hAnsi="Times New Roman"/>
          <w:sz w:val="28"/>
          <w:szCs w:val="28"/>
        </w:rPr>
        <w:t xml:space="preserve"> everyone is figuring it out on the fly</w:t>
      </w:r>
      <w:r w:rsidR="00FE15C5">
        <w:rPr>
          <w:rFonts w:ascii="Times New Roman" w:hAnsi="Times New Roman"/>
          <w:sz w:val="28"/>
          <w:szCs w:val="28"/>
        </w:rPr>
        <w:t xml:space="preserve"> in absence of a clear rule</w:t>
      </w:r>
      <w:r w:rsidR="009D69B1">
        <w:rPr>
          <w:rFonts w:ascii="Times New Roman" w:hAnsi="Times New Roman"/>
          <w:sz w:val="28"/>
          <w:szCs w:val="28"/>
        </w:rPr>
        <w:t>.</w:t>
      </w:r>
    </w:p>
    <w:p w14:paraId="756EB8C1" w14:textId="0F55CA23" w:rsidR="00190EF0" w:rsidRDefault="00FE15C5"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MCAO’s primary concern is the lack of notice that an ex parte motion was filed. This is a valid point, and Petitioner agrees that additional language is necessary to the proposed change to Rule 1.9 to account for that. </w:t>
      </w:r>
      <w:r w:rsidR="008E20B8">
        <w:rPr>
          <w:rFonts w:ascii="Times New Roman" w:hAnsi="Times New Roman"/>
          <w:sz w:val="28"/>
          <w:szCs w:val="28"/>
        </w:rPr>
        <w:t>It is Petitioner’s understanding that the common practice is for defense counsel to file a notice of lodging of the ex parte motion, which would alert the State to the fact of the filing. This might not be the case. If such a requirement were built into the rule, then judges would have the necessary guidance from this Court and could reject non-compliant filings.</w:t>
      </w:r>
    </w:p>
    <w:p w14:paraId="3344737B" w14:textId="4EFC6AD9" w:rsidR="008E20B8" w:rsidRDefault="008E20B8" w:rsidP="00B81A4C">
      <w:pPr>
        <w:spacing w:line="480" w:lineRule="auto"/>
        <w:ind w:firstLine="720"/>
        <w:jc w:val="both"/>
        <w:rPr>
          <w:rFonts w:ascii="Times New Roman" w:hAnsi="Times New Roman"/>
          <w:sz w:val="28"/>
          <w:szCs w:val="28"/>
        </w:rPr>
      </w:pPr>
      <w:r>
        <w:rPr>
          <w:rFonts w:ascii="Times New Roman" w:hAnsi="Times New Roman"/>
          <w:sz w:val="28"/>
          <w:szCs w:val="28"/>
        </w:rPr>
        <w:lastRenderedPageBreak/>
        <w:t>MCAO’s secondary concern is that trial judges sometimes grant overbroad motions. This is true in every facet of law, and it is inconceivable to draft a rule that would protect against this. The participation of a prosecutor in a hearing on a defense request for discovery from a third party would not necessarily help (of course, “another set of eyes” always helps), because the third party affected by the discovery request still would not be present.</w:t>
      </w:r>
      <w:r w:rsidR="003E2041">
        <w:rPr>
          <w:rFonts w:ascii="Times New Roman" w:hAnsi="Times New Roman"/>
          <w:sz w:val="28"/>
          <w:szCs w:val="28"/>
        </w:rPr>
        <w:t xml:space="preserve"> MCAO </w:t>
      </w:r>
      <w:r w:rsidR="00591D0E">
        <w:rPr>
          <w:rFonts w:ascii="Times New Roman" w:hAnsi="Times New Roman"/>
          <w:sz w:val="28"/>
          <w:szCs w:val="28"/>
        </w:rPr>
        <w:t xml:space="preserve">provided in its attachment an order from </w:t>
      </w:r>
      <w:r w:rsidR="00591D0E" w:rsidRPr="00591D0E">
        <w:rPr>
          <w:rFonts w:ascii="Times New Roman" w:hAnsi="Times New Roman"/>
          <w:i/>
          <w:iCs/>
          <w:sz w:val="28"/>
          <w:szCs w:val="28"/>
        </w:rPr>
        <w:t>State v. Woodman</w:t>
      </w:r>
      <w:r w:rsidR="00591D0E">
        <w:rPr>
          <w:rFonts w:ascii="Times New Roman" w:hAnsi="Times New Roman"/>
          <w:sz w:val="28"/>
          <w:szCs w:val="28"/>
        </w:rPr>
        <w:t>,</w:t>
      </w:r>
      <w:r w:rsidR="00B3374A">
        <w:rPr>
          <w:rFonts w:ascii="Times New Roman" w:hAnsi="Times New Roman"/>
          <w:sz w:val="28"/>
          <w:szCs w:val="28"/>
        </w:rPr>
        <w:t xml:space="preserve"> </w:t>
      </w:r>
      <w:r w:rsidR="003E2041">
        <w:rPr>
          <w:rFonts w:ascii="Times New Roman" w:hAnsi="Times New Roman"/>
          <w:sz w:val="28"/>
          <w:szCs w:val="28"/>
        </w:rPr>
        <w:t>Maricopa County Superior Court No. CR2020-104765-002</w:t>
      </w:r>
      <w:r w:rsidR="00B3374A">
        <w:rPr>
          <w:rFonts w:ascii="Times New Roman" w:hAnsi="Times New Roman"/>
          <w:sz w:val="28"/>
          <w:szCs w:val="28"/>
        </w:rPr>
        <w:t xml:space="preserve"> </w:t>
      </w:r>
      <w:r w:rsidR="00591D0E">
        <w:rPr>
          <w:rFonts w:ascii="Times New Roman" w:hAnsi="Times New Roman"/>
          <w:sz w:val="28"/>
          <w:szCs w:val="28"/>
        </w:rPr>
        <w:t>(</w:t>
      </w:r>
      <w:r w:rsidR="00B3374A">
        <w:rPr>
          <w:rFonts w:ascii="Times New Roman" w:hAnsi="Times New Roman"/>
          <w:sz w:val="28"/>
          <w:szCs w:val="28"/>
        </w:rPr>
        <w:t>order dated 9/15/2022)</w:t>
      </w:r>
      <w:r w:rsidR="00591D0E">
        <w:rPr>
          <w:rFonts w:ascii="Times New Roman" w:hAnsi="Times New Roman"/>
          <w:sz w:val="28"/>
          <w:szCs w:val="28"/>
        </w:rPr>
        <w:t>. This order</w:t>
      </w:r>
      <w:r w:rsidR="003E2041">
        <w:rPr>
          <w:rFonts w:ascii="Times New Roman" w:hAnsi="Times New Roman"/>
          <w:sz w:val="28"/>
          <w:szCs w:val="28"/>
        </w:rPr>
        <w:t xml:space="preserve"> </w:t>
      </w:r>
      <w:r w:rsidR="00B3374A">
        <w:rPr>
          <w:rFonts w:ascii="Times New Roman" w:hAnsi="Times New Roman"/>
          <w:sz w:val="28"/>
          <w:szCs w:val="28"/>
        </w:rPr>
        <w:t xml:space="preserve">shows the court’s acknowledgment that the original ex parte order </w:t>
      </w:r>
      <w:r w:rsidR="003E2041">
        <w:rPr>
          <w:rFonts w:ascii="Times New Roman" w:hAnsi="Times New Roman"/>
          <w:sz w:val="28"/>
          <w:szCs w:val="28"/>
        </w:rPr>
        <w:t xml:space="preserve">was plainly erroneous because it had the effect of limiting another party’s access to information through an independent source, i.e., its own request. </w:t>
      </w:r>
      <w:r w:rsidR="00B3374A">
        <w:rPr>
          <w:rFonts w:ascii="Times New Roman" w:hAnsi="Times New Roman"/>
          <w:sz w:val="28"/>
          <w:szCs w:val="28"/>
        </w:rPr>
        <w:t>Judges should always scrutinize proposed orders drafted by counsel—not just for ex parte discovery requests.</w:t>
      </w:r>
    </w:p>
    <w:p w14:paraId="12AAB132" w14:textId="7502075F" w:rsidR="006D7172" w:rsidRDefault="006D7172"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MCAO’s attachment of the order in </w:t>
      </w:r>
      <w:r w:rsidRPr="00591D0E">
        <w:rPr>
          <w:rFonts w:ascii="Times New Roman" w:hAnsi="Times New Roman"/>
          <w:i/>
          <w:iCs/>
          <w:sz w:val="28"/>
          <w:szCs w:val="28"/>
        </w:rPr>
        <w:t>State v. Lamar</w:t>
      </w:r>
      <w:r>
        <w:rPr>
          <w:rFonts w:ascii="Times New Roman" w:hAnsi="Times New Roman"/>
          <w:sz w:val="28"/>
          <w:szCs w:val="28"/>
        </w:rPr>
        <w:t xml:space="preserve">, Maricopa County Superior Court No. CR2017-130352-001 (order dated </w:t>
      </w:r>
      <w:r w:rsidR="006B2625">
        <w:rPr>
          <w:rFonts w:ascii="Times New Roman" w:hAnsi="Times New Roman"/>
          <w:sz w:val="28"/>
          <w:szCs w:val="28"/>
        </w:rPr>
        <w:t>3/</w:t>
      </w:r>
      <w:r>
        <w:rPr>
          <w:rFonts w:ascii="Times New Roman" w:hAnsi="Times New Roman"/>
          <w:sz w:val="28"/>
          <w:szCs w:val="28"/>
        </w:rPr>
        <w:t>5</w:t>
      </w:r>
      <w:r w:rsidR="006B2625">
        <w:rPr>
          <w:rFonts w:ascii="Times New Roman" w:hAnsi="Times New Roman"/>
          <w:sz w:val="28"/>
          <w:szCs w:val="28"/>
        </w:rPr>
        <w:t>/</w:t>
      </w:r>
      <w:r>
        <w:rPr>
          <w:rFonts w:ascii="Times New Roman" w:hAnsi="Times New Roman"/>
          <w:sz w:val="28"/>
          <w:szCs w:val="28"/>
        </w:rPr>
        <w:t xml:space="preserve">2020), is helpful. </w:t>
      </w:r>
      <w:r w:rsidR="00591D0E">
        <w:rPr>
          <w:rFonts w:ascii="Times New Roman" w:hAnsi="Times New Roman"/>
          <w:sz w:val="28"/>
          <w:szCs w:val="28"/>
        </w:rPr>
        <w:t>It</w:t>
      </w:r>
      <w:r>
        <w:rPr>
          <w:rFonts w:ascii="Times New Roman" w:hAnsi="Times New Roman"/>
          <w:sz w:val="28"/>
          <w:szCs w:val="28"/>
        </w:rPr>
        <w:t xml:space="preserve"> is proof positive that judges </w:t>
      </w:r>
      <w:r w:rsidR="00591D0E">
        <w:rPr>
          <w:rFonts w:ascii="Times New Roman" w:hAnsi="Times New Roman"/>
          <w:sz w:val="28"/>
          <w:szCs w:val="28"/>
        </w:rPr>
        <w:t>can apply</w:t>
      </w:r>
      <w:r>
        <w:rPr>
          <w:rFonts w:ascii="Times New Roman" w:hAnsi="Times New Roman"/>
          <w:sz w:val="28"/>
          <w:szCs w:val="28"/>
        </w:rPr>
        <w:t xml:space="preserve"> the law</w:t>
      </w:r>
      <w:r w:rsidR="00591D0E">
        <w:rPr>
          <w:rFonts w:ascii="Times New Roman" w:hAnsi="Times New Roman"/>
          <w:sz w:val="28"/>
          <w:szCs w:val="28"/>
        </w:rPr>
        <w:t>. MCAO should want a rule that makes orders like this the norm. Why MCAO would prefer the status quo, where some judges allow motions without even requiring the defense to give notice of lodging the ex parte motion, is confusing. Clarity is always better.</w:t>
      </w:r>
    </w:p>
    <w:p w14:paraId="3A246106" w14:textId="6E767FE9" w:rsidR="00863E5A" w:rsidRDefault="00863E5A"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MCAO is right; discovery “is not a game.” MCAO Comment at 7 (quoting </w:t>
      </w:r>
      <w:r w:rsidRPr="001C15B6">
        <w:rPr>
          <w:rFonts w:ascii="Times New Roman" w:hAnsi="Times New Roman"/>
          <w:i/>
          <w:iCs/>
          <w:sz w:val="28"/>
          <w:szCs w:val="28"/>
        </w:rPr>
        <w:t>Wells v. Fell</w:t>
      </w:r>
      <w:r>
        <w:rPr>
          <w:rFonts w:ascii="Times New Roman" w:hAnsi="Times New Roman"/>
          <w:sz w:val="28"/>
          <w:szCs w:val="28"/>
        </w:rPr>
        <w:t xml:space="preserve">, 231 Ariz. 525, 529 ¶ 13 (App. 2013)). Yet, its own arguments not only </w:t>
      </w:r>
      <w:r>
        <w:rPr>
          <w:rFonts w:ascii="Times New Roman" w:hAnsi="Times New Roman"/>
          <w:sz w:val="28"/>
          <w:szCs w:val="28"/>
        </w:rPr>
        <w:lastRenderedPageBreak/>
        <w:t>turn defense discovery requests into prosecutorial gamesmanship, but MCAO would do so without any rules—a courtroom version of TEGWAR.</w:t>
      </w:r>
      <w:r w:rsidRPr="00733C8C">
        <w:rPr>
          <w:rStyle w:val="FootnoteReference"/>
          <w:rFonts w:ascii="Times New Roman" w:hAnsi="Times New Roman"/>
          <w:sz w:val="28"/>
          <w:szCs w:val="28"/>
        </w:rPr>
        <w:footnoteReference w:id="4"/>
      </w:r>
      <w:r>
        <w:rPr>
          <w:rFonts w:ascii="Times New Roman" w:hAnsi="Times New Roman"/>
          <w:sz w:val="28"/>
          <w:szCs w:val="28"/>
        </w:rPr>
        <w:t xml:space="preserve"> </w:t>
      </w:r>
    </w:p>
    <w:p w14:paraId="2D5B1513" w14:textId="05F6E401" w:rsidR="0079016E" w:rsidRPr="00B81A4C" w:rsidRDefault="0079016E" w:rsidP="0079016E">
      <w:pPr>
        <w:pStyle w:val="ListParagraph"/>
        <w:numPr>
          <w:ilvl w:val="0"/>
          <w:numId w:val="12"/>
        </w:numPr>
        <w:spacing w:line="240" w:lineRule="auto"/>
        <w:jc w:val="both"/>
        <w:rPr>
          <w:rFonts w:ascii="Times New Roman" w:hAnsi="Times New Roman"/>
          <w:b/>
          <w:bCs/>
          <w:sz w:val="28"/>
          <w:szCs w:val="28"/>
        </w:rPr>
      </w:pPr>
      <w:r>
        <w:rPr>
          <w:rFonts w:ascii="Times New Roman" w:hAnsi="Times New Roman"/>
          <w:b/>
          <w:bCs/>
          <w:sz w:val="28"/>
          <w:szCs w:val="28"/>
        </w:rPr>
        <w:t xml:space="preserve">The Petition does not seek “expansive” </w:t>
      </w:r>
      <w:r w:rsidR="008A308B">
        <w:rPr>
          <w:rFonts w:ascii="Times New Roman" w:hAnsi="Times New Roman"/>
          <w:b/>
          <w:bCs/>
          <w:sz w:val="28"/>
          <w:szCs w:val="28"/>
        </w:rPr>
        <w:t xml:space="preserve">or broad </w:t>
      </w:r>
      <w:r>
        <w:rPr>
          <w:rFonts w:ascii="Times New Roman" w:hAnsi="Times New Roman"/>
          <w:b/>
          <w:bCs/>
          <w:sz w:val="28"/>
          <w:szCs w:val="28"/>
        </w:rPr>
        <w:t xml:space="preserve">discovery; it seeks only to maintain the </w:t>
      </w:r>
      <w:r w:rsidRPr="0079016E">
        <w:rPr>
          <w:rFonts w:ascii="Times New Roman" w:hAnsi="Times New Roman"/>
          <w:b/>
          <w:bCs/>
          <w:i/>
          <w:iCs/>
          <w:sz w:val="28"/>
          <w:szCs w:val="28"/>
        </w:rPr>
        <w:t>status quo ante Smith</w:t>
      </w:r>
      <w:r w:rsidRPr="00B81A4C">
        <w:rPr>
          <w:rFonts w:ascii="Times New Roman" w:hAnsi="Times New Roman"/>
          <w:b/>
          <w:bCs/>
          <w:sz w:val="28"/>
          <w:szCs w:val="28"/>
        </w:rPr>
        <w:t>.</w:t>
      </w:r>
    </w:p>
    <w:p w14:paraId="1A445518" w14:textId="77777777" w:rsidR="0079016E" w:rsidRDefault="0079016E" w:rsidP="0079016E">
      <w:pPr>
        <w:spacing w:line="240" w:lineRule="auto"/>
        <w:ind w:firstLine="720"/>
        <w:jc w:val="both"/>
        <w:rPr>
          <w:rFonts w:ascii="Times New Roman" w:hAnsi="Times New Roman"/>
          <w:sz w:val="28"/>
          <w:szCs w:val="28"/>
        </w:rPr>
      </w:pPr>
    </w:p>
    <w:p w14:paraId="6B56AC21" w14:textId="0B9EAACD" w:rsidR="00BE2E4A" w:rsidRDefault="008A308B"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AGO uses the word “expansive” to describe the petition’s scope. AGO Comment at 12, 17. Nothing could be further from the truth. As stated in the petition, the purpose is only to restore the status quo prior to </w:t>
      </w:r>
      <w:r w:rsidR="004A6D42" w:rsidRPr="008A308B">
        <w:rPr>
          <w:rFonts w:ascii="Times New Roman" w:hAnsi="Times New Roman"/>
          <w:i/>
          <w:iCs/>
          <w:sz w:val="28"/>
          <w:szCs w:val="28"/>
        </w:rPr>
        <w:t>Smith</w:t>
      </w:r>
      <w:r>
        <w:rPr>
          <w:rFonts w:ascii="Times New Roman" w:hAnsi="Times New Roman"/>
          <w:sz w:val="28"/>
          <w:szCs w:val="28"/>
        </w:rPr>
        <w:t>.</w:t>
      </w:r>
    </w:p>
    <w:p w14:paraId="2E3FBDF0" w14:textId="610B42ED" w:rsidR="00BF0A5B" w:rsidRDefault="00ED158D" w:rsidP="00ED158D">
      <w:pPr>
        <w:spacing w:line="480" w:lineRule="auto"/>
        <w:ind w:firstLine="720"/>
        <w:jc w:val="both"/>
        <w:rPr>
          <w:rFonts w:ascii="Times New Roman" w:hAnsi="Times New Roman"/>
          <w:sz w:val="28"/>
          <w:szCs w:val="28"/>
        </w:rPr>
      </w:pPr>
      <w:r>
        <w:rPr>
          <w:rFonts w:ascii="Times New Roman" w:hAnsi="Times New Roman"/>
          <w:sz w:val="28"/>
          <w:szCs w:val="28"/>
        </w:rPr>
        <w:t>MCAO makes a valid point when it says: “</w:t>
      </w:r>
      <w:r w:rsidRPr="00ED158D">
        <w:rPr>
          <w:rFonts w:ascii="Times New Roman" w:hAnsi="Times New Roman"/>
          <w:sz w:val="28"/>
          <w:szCs w:val="28"/>
        </w:rPr>
        <w:t>An additional concern is that Proposed Rule 15.1(g)(3) may allow the defense</w:t>
      </w:r>
      <w:r>
        <w:rPr>
          <w:rFonts w:ascii="Times New Roman" w:hAnsi="Times New Roman"/>
          <w:sz w:val="28"/>
          <w:szCs w:val="28"/>
        </w:rPr>
        <w:t xml:space="preserve"> </w:t>
      </w:r>
      <w:r w:rsidRPr="00ED158D">
        <w:rPr>
          <w:rFonts w:ascii="Times New Roman" w:hAnsi="Times New Roman"/>
          <w:sz w:val="28"/>
          <w:szCs w:val="28"/>
        </w:rPr>
        <w:t>to circumvent the requirements of Rule 15.1 whereby they must make a showing of</w:t>
      </w:r>
      <w:r>
        <w:rPr>
          <w:rFonts w:ascii="Times New Roman" w:hAnsi="Times New Roman"/>
          <w:sz w:val="28"/>
          <w:szCs w:val="28"/>
        </w:rPr>
        <w:t xml:space="preserve"> </w:t>
      </w:r>
      <w:r w:rsidRPr="00ED158D">
        <w:rPr>
          <w:rFonts w:ascii="Times New Roman" w:hAnsi="Times New Roman"/>
          <w:sz w:val="28"/>
          <w:szCs w:val="28"/>
        </w:rPr>
        <w:t>substantial need for discovery requests outside the normal course of materials in the</w:t>
      </w:r>
      <w:r>
        <w:rPr>
          <w:rFonts w:ascii="Times New Roman" w:hAnsi="Times New Roman"/>
          <w:sz w:val="28"/>
          <w:szCs w:val="28"/>
        </w:rPr>
        <w:t xml:space="preserve"> </w:t>
      </w:r>
      <w:r w:rsidRPr="00ED158D">
        <w:rPr>
          <w:rFonts w:ascii="Times New Roman" w:hAnsi="Times New Roman"/>
          <w:sz w:val="28"/>
          <w:szCs w:val="28"/>
        </w:rPr>
        <w:t>State’s possession.</w:t>
      </w:r>
      <w:r>
        <w:rPr>
          <w:rFonts w:ascii="Times New Roman" w:hAnsi="Times New Roman"/>
          <w:sz w:val="28"/>
          <w:szCs w:val="28"/>
        </w:rPr>
        <w:t>” MCAO Comment at 7-8 (citing Rule 15.1(g)(1)(A) &amp; (B)). It was not Petitioner’s intent to circumvent those requirements, rather it was an oversight in drafting due to the haste in filing a petition by the deadline for consideration this year. Attached to this reply is an amendment to the proposal that accounts for MCAO’s c</w:t>
      </w:r>
      <w:r w:rsidR="00F37CE8">
        <w:rPr>
          <w:rFonts w:ascii="Times New Roman" w:hAnsi="Times New Roman"/>
          <w:sz w:val="28"/>
          <w:szCs w:val="28"/>
        </w:rPr>
        <w:t>ritique on this point.</w:t>
      </w:r>
    </w:p>
    <w:p w14:paraId="5B08CAF3" w14:textId="551A9792" w:rsidR="00BF0A5B" w:rsidRPr="00B81A4C" w:rsidRDefault="002765A0" w:rsidP="00BF0A5B">
      <w:pPr>
        <w:pStyle w:val="ListParagraph"/>
        <w:numPr>
          <w:ilvl w:val="0"/>
          <w:numId w:val="12"/>
        </w:numPr>
        <w:spacing w:line="240" w:lineRule="auto"/>
        <w:jc w:val="both"/>
        <w:rPr>
          <w:rFonts w:ascii="Times New Roman" w:hAnsi="Times New Roman"/>
          <w:b/>
          <w:bCs/>
          <w:sz w:val="28"/>
          <w:szCs w:val="28"/>
        </w:rPr>
      </w:pPr>
      <w:r>
        <w:rPr>
          <w:rFonts w:ascii="Times New Roman" w:hAnsi="Times New Roman"/>
          <w:b/>
          <w:bCs/>
          <w:sz w:val="28"/>
          <w:szCs w:val="28"/>
        </w:rPr>
        <w:t>Prosecutors’ fears that</w:t>
      </w:r>
      <w:r w:rsidR="00BF0A5B">
        <w:rPr>
          <w:rFonts w:ascii="Times New Roman" w:hAnsi="Times New Roman"/>
          <w:b/>
          <w:bCs/>
          <w:sz w:val="28"/>
          <w:szCs w:val="28"/>
        </w:rPr>
        <w:t xml:space="preserve"> defense counsel and judges </w:t>
      </w:r>
      <w:r>
        <w:rPr>
          <w:rFonts w:ascii="Times New Roman" w:hAnsi="Times New Roman"/>
          <w:b/>
          <w:bCs/>
          <w:sz w:val="28"/>
          <w:szCs w:val="28"/>
        </w:rPr>
        <w:t>will act unethically are unfounded</w:t>
      </w:r>
      <w:r w:rsidR="00BF0A5B" w:rsidRPr="00B81A4C">
        <w:rPr>
          <w:rFonts w:ascii="Times New Roman" w:hAnsi="Times New Roman"/>
          <w:b/>
          <w:bCs/>
          <w:sz w:val="28"/>
          <w:szCs w:val="28"/>
        </w:rPr>
        <w:t>.</w:t>
      </w:r>
    </w:p>
    <w:p w14:paraId="7B5EAC55" w14:textId="77777777" w:rsidR="00BF0A5B" w:rsidRDefault="00BF0A5B" w:rsidP="00BF0A5B">
      <w:pPr>
        <w:spacing w:line="240" w:lineRule="auto"/>
        <w:ind w:firstLine="720"/>
        <w:jc w:val="both"/>
        <w:rPr>
          <w:rFonts w:ascii="Times New Roman" w:hAnsi="Times New Roman"/>
          <w:sz w:val="28"/>
          <w:szCs w:val="28"/>
        </w:rPr>
      </w:pPr>
    </w:p>
    <w:p w14:paraId="7A0633D5" w14:textId="7C2C8EC7" w:rsidR="00BF0A5B" w:rsidRDefault="00BF0A5B" w:rsidP="00BF0A5B">
      <w:pPr>
        <w:spacing w:line="480" w:lineRule="auto"/>
        <w:ind w:firstLine="720"/>
        <w:jc w:val="both"/>
        <w:rPr>
          <w:rFonts w:ascii="Times New Roman" w:hAnsi="Times New Roman"/>
          <w:sz w:val="28"/>
          <w:szCs w:val="28"/>
        </w:rPr>
      </w:pPr>
      <w:r>
        <w:rPr>
          <w:rFonts w:ascii="Times New Roman" w:hAnsi="Times New Roman"/>
          <w:sz w:val="28"/>
          <w:szCs w:val="28"/>
        </w:rPr>
        <w:t>AGO express</w:t>
      </w:r>
      <w:r w:rsidR="003C3629">
        <w:rPr>
          <w:rFonts w:ascii="Times New Roman" w:hAnsi="Times New Roman"/>
          <w:sz w:val="28"/>
          <w:szCs w:val="28"/>
        </w:rPr>
        <w:t>es</w:t>
      </w:r>
      <w:r>
        <w:rPr>
          <w:rFonts w:ascii="Times New Roman" w:hAnsi="Times New Roman"/>
          <w:sz w:val="28"/>
          <w:szCs w:val="28"/>
        </w:rPr>
        <w:t xml:space="preserve"> generalized concerns that attorneys and judges will act unethically in ex parte proceedings. </w:t>
      </w:r>
      <w:r w:rsidR="00F33B01">
        <w:rPr>
          <w:rFonts w:ascii="Times New Roman" w:hAnsi="Times New Roman"/>
          <w:sz w:val="28"/>
          <w:szCs w:val="28"/>
        </w:rPr>
        <w:t xml:space="preserve">AGO Comment at 7-9, 18-19; </w:t>
      </w:r>
      <w:r>
        <w:rPr>
          <w:rFonts w:ascii="Times New Roman" w:hAnsi="Times New Roman"/>
          <w:sz w:val="28"/>
          <w:szCs w:val="28"/>
        </w:rPr>
        <w:t xml:space="preserve">Attorneys are </w:t>
      </w:r>
      <w:r>
        <w:rPr>
          <w:rFonts w:ascii="Times New Roman" w:hAnsi="Times New Roman"/>
          <w:sz w:val="28"/>
          <w:szCs w:val="28"/>
        </w:rPr>
        <w:lastRenderedPageBreak/>
        <w:t>bound by ER 3.3</w:t>
      </w:r>
      <w:r w:rsidR="002765A0">
        <w:rPr>
          <w:rFonts w:ascii="Times New Roman" w:hAnsi="Times New Roman"/>
          <w:sz w:val="28"/>
          <w:szCs w:val="28"/>
        </w:rPr>
        <w:t>; t</w:t>
      </w:r>
      <w:r>
        <w:rPr>
          <w:rFonts w:ascii="Times New Roman" w:hAnsi="Times New Roman"/>
          <w:sz w:val="28"/>
          <w:szCs w:val="28"/>
        </w:rPr>
        <w:t>he duty of candor to the tribunal trumps the obligation to assist the client.</w:t>
      </w:r>
      <w:r w:rsidR="00950579">
        <w:rPr>
          <w:rFonts w:ascii="Times New Roman" w:hAnsi="Times New Roman"/>
          <w:sz w:val="28"/>
          <w:szCs w:val="28"/>
        </w:rPr>
        <w:t xml:space="preserve"> </w:t>
      </w:r>
      <w:r w:rsidR="00950579" w:rsidRPr="00950579">
        <w:rPr>
          <w:rFonts w:ascii="Times New Roman" w:hAnsi="Times New Roman"/>
          <w:i/>
          <w:iCs/>
          <w:sz w:val="28"/>
          <w:szCs w:val="28"/>
        </w:rPr>
        <w:t>In re Higgins</w:t>
      </w:r>
      <w:r w:rsidR="00950579">
        <w:rPr>
          <w:rFonts w:ascii="Times New Roman" w:hAnsi="Times New Roman"/>
          <w:sz w:val="28"/>
          <w:szCs w:val="28"/>
        </w:rPr>
        <w:t>, 180 Ariz. 396, 398 (1994)</w:t>
      </w:r>
      <w:r w:rsidR="002765A0">
        <w:rPr>
          <w:rFonts w:ascii="Times New Roman" w:hAnsi="Times New Roman"/>
          <w:sz w:val="28"/>
          <w:szCs w:val="28"/>
        </w:rPr>
        <w:t xml:space="preserve">. </w:t>
      </w:r>
      <w:r w:rsidR="002765A0" w:rsidRPr="002765A0">
        <w:rPr>
          <w:rFonts w:ascii="Times New Roman" w:hAnsi="Times New Roman"/>
          <w:i/>
          <w:iCs/>
          <w:sz w:val="28"/>
          <w:szCs w:val="28"/>
        </w:rPr>
        <w:t>See also</w:t>
      </w:r>
      <w:r w:rsidR="002765A0">
        <w:rPr>
          <w:rFonts w:ascii="Times New Roman" w:hAnsi="Times New Roman"/>
          <w:sz w:val="28"/>
          <w:szCs w:val="28"/>
        </w:rPr>
        <w:t xml:space="preserve"> </w:t>
      </w:r>
      <w:r w:rsidR="002765A0" w:rsidRPr="002765A0">
        <w:rPr>
          <w:rFonts w:ascii="Times New Roman" w:hAnsi="Times New Roman"/>
          <w:i/>
          <w:iCs/>
          <w:sz w:val="28"/>
          <w:szCs w:val="28"/>
        </w:rPr>
        <w:t xml:space="preserve">State v. Kruchten, </w:t>
      </w:r>
      <w:r w:rsidR="002765A0" w:rsidRPr="002765A0">
        <w:rPr>
          <w:rFonts w:ascii="Times New Roman" w:hAnsi="Times New Roman"/>
          <w:sz w:val="28"/>
          <w:szCs w:val="28"/>
        </w:rPr>
        <w:t>101 Ariz. 186, 191 (1966)</w:t>
      </w:r>
      <w:r w:rsidR="002765A0">
        <w:rPr>
          <w:rFonts w:ascii="Times New Roman" w:hAnsi="Times New Roman"/>
          <w:sz w:val="28"/>
          <w:szCs w:val="28"/>
        </w:rPr>
        <w:t xml:space="preserve"> (“</w:t>
      </w:r>
      <w:r w:rsidR="002765A0" w:rsidRPr="002765A0">
        <w:rPr>
          <w:rFonts w:ascii="Times New Roman" w:hAnsi="Times New Roman"/>
          <w:sz w:val="28"/>
          <w:szCs w:val="28"/>
        </w:rPr>
        <w:t>The duty of an attorney to a client, whether in a private or criminal proceeding, is subordinate to his responsibility for the due and proper administration of justice.</w:t>
      </w:r>
      <w:r w:rsidR="002765A0">
        <w:rPr>
          <w:rFonts w:ascii="Times New Roman" w:hAnsi="Times New Roman"/>
          <w:sz w:val="28"/>
          <w:szCs w:val="28"/>
        </w:rPr>
        <w:t>”).</w:t>
      </w:r>
    </w:p>
    <w:p w14:paraId="005B29B1" w14:textId="5F868570" w:rsidR="008A308B" w:rsidRDefault="002765A0" w:rsidP="00B81A4C">
      <w:pPr>
        <w:spacing w:line="480" w:lineRule="auto"/>
        <w:ind w:firstLine="720"/>
        <w:jc w:val="both"/>
        <w:rPr>
          <w:rFonts w:ascii="Times New Roman" w:hAnsi="Times New Roman"/>
          <w:sz w:val="28"/>
          <w:szCs w:val="28"/>
        </w:rPr>
      </w:pPr>
      <w:r>
        <w:rPr>
          <w:rFonts w:ascii="Times New Roman" w:hAnsi="Times New Roman"/>
          <w:sz w:val="28"/>
          <w:szCs w:val="28"/>
        </w:rPr>
        <w:t xml:space="preserve">The orders issued by the trial judge in </w:t>
      </w:r>
      <w:r w:rsidRPr="00B3374A">
        <w:rPr>
          <w:rFonts w:ascii="Times New Roman" w:hAnsi="Times New Roman"/>
          <w:i/>
          <w:iCs/>
          <w:sz w:val="28"/>
          <w:szCs w:val="28"/>
        </w:rPr>
        <w:t>Smith</w:t>
      </w:r>
      <w:r>
        <w:rPr>
          <w:rFonts w:ascii="Times New Roman" w:hAnsi="Times New Roman"/>
          <w:sz w:val="28"/>
          <w:szCs w:val="28"/>
        </w:rPr>
        <w:t xml:space="preserve"> </w:t>
      </w:r>
      <w:r w:rsidR="004A6D42">
        <w:rPr>
          <w:rFonts w:ascii="Times New Roman" w:hAnsi="Times New Roman"/>
          <w:sz w:val="28"/>
          <w:szCs w:val="28"/>
        </w:rPr>
        <w:t>prove</w:t>
      </w:r>
      <w:r>
        <w:rPr>
          <w:rFonts w:ascii="Times New Roman" w:hAnsi="Times New Roman"/>
          <w:sz w:val="28"/>
          <w:szCs w:val="28"/>
        </w:rPr>
        <w:t xml:space="preserve"> that judges know how to protect the rights of others while hearing ex parte motions for discovery.</w:t>
      </w:r>
      <w:r w:rsidRPr="00733C8C">
        <w:rPr>
          <w:rStyle w:val="FootnoteReference"/>
          <w:rFonts w:ascii="Times New Roman" w:hAnsi="Times New Roman"/>
          <w:sz w:val="28"/>
          <w:szCs w:val="28"/>
        </w:rPr>
        <w:footnoteReference w:id="5"/>
      </w:r>
      <w:r>
        <w:rPr>
          <w:rFonts w:ascii="Times New Roman" w:hAnsi="Times New Roman"/>
          <w:sz w:val="28"/>
          <w:szCs w:val="28"/>
        </w:rPr>
        <w:t xml:space="preserve"> </w:t>
      </w:r>
      <w:r w:rsidR="004A6D42">
        <w:rPr>
          <w:rFonts w:ascii="Times New Roman" w:hAnsi="Times New Roman"/>
          <w:sz w:val="28"/>
          <w:szCs w:val="28"/>
        </w:rPr>
        <w:t>T</w:t>
      </w:r>
      <w:r>
        <w:rPr>
          <w:rFonts w:ascii="Times New Roman" w:hAnsi="Times New Roman"/>
          <w:sz w:val="28"/>
          <w:szCs w:val="28"/>
        </w:rPr>
        <w:t xml:space="preserve">he judge refused the defense request for a blanket order that would cover all future requests, and the judge said she would review the requests and ensure no discovery related to victims was requested or ordered. </w:t>
      </w:r>
      <w:r w:rsidR="004A6D42" w:rsidRPr="00B3374A">
        <w:rPr>
          <w:rFonts w:ascii="Times New Roman" w:hAnsi="Times New Roman"/>
          <w:i/>
          <w:iCs/>
          <w:sz w:val="28"/>
          <w:szCs w:val="28"/>
        </w:rPr>
        <w:t>Smith</w:t>
      </w:r>
      <w:r w:rsidR="004A6D42">
        <w:rPr>
          <w:rFonts w:ascii="Times New Roman" w:hAnsi="Times New Roman"/>
          <w:sz w:val="28"/>
          <w:szCs w:val="28"/>
        </w:rPr>
        <w:t>, 585 P.3d at 811-12 ¶¶ 3-6</w:t>
      </w:r>
      <w:r>
        <w:rPr>
          <w:rFonts w:ascii="Times New Roman" w:hAnsi="Times New Roman"/>
          <w:sz w:val="28"/>
          <w:szCs w:val="28"/>
        </w:rPr>
        <w:t xml:space="preserve">. Throughout the litigation in </w:t>
      </w:r>
      <w:r w:rsidRPr="00BE2E4A">
        <w:rPr>
          <w:rFonts w:ascii="Times New Roman" w:hAnsi="Times New Roman"/>
          <w:i/>
          <w:iCs/>
          <w:sz w:val="28"/>
          <w:szCs w:val="28"/>
        </w:rPr>
        <w:t>Smith</w:t>
      </w:r>
      <w:r>
        <w:rPr>
          <w:rFonts w:ascii="Times New Roman" w:hAnsi="Times New Roman"/>
          <w:sz w:val="28"/>
          <w:szCs w:val="28"/>
        </w:rPr>
        <w:t>, AGO never cited to any real concern that the process was abused; instead, its argument is more academic (just as its comment to this petition).</w:t>
      </w:r>
    </w:p>
    <w:p w14:paraId="17361532" w14:textId="4B110772" w:rsidR="006C13BF" w:rsidRPr="00B81A4C" w:rsidRDefault="006C13BF" w:rsidP="006C13BF">
      <w:pPr>
        <w:pStyle w:val="ListParagraph"/>
        <w:numPr>
          <w:ilvl w:val="0"/>
          <w:numId w:val="12"/>
        </w:numPr>
        <w:spacing w:line="240" w:lineRule="auto"/>
        <w:jc w:val="both"/>
        <w:rPr>
          <w:rFonts w:ascii="Times New Roman" w:hAnsi="Times New Roman"/>
          <w:b/>
          <w:bCs/>
          <w:sz w:val="28"/>
          <w:szCs w:val="28"/>
        </w:rPr>
      </w:pPr>
      <w:r>
        <w:rPr>
          <w:rFonts w:ascii="Times New Roman" w:hAnsi="Times New Roman"/>
          <w:b/>
          <w:bCs/>
          <w:sz w:val="28"/>
          <w:szCs w:val="28"/>
        </w:rPr>
        <w:t>AGO and MCAO miscellaneous points lack merit</w:t>
      </w:r>
      <w:r w:rsidRPr="00B81A4C">
        <w:rPr>
          <w:rFonts w:ascii="Times New Roman" w:hAnsi="Times New Roman"/>
          <w:b/>
          <w:bCs/>
          <w:sz w:val="28"/>
          <w:szCs w:val="28"/>
        </w:rPr>
        <w:t>.</w:t>
      </w:r>
    </w:p>
    <w:p w14:paraId="10D7EBF8" w14:textId="77777777" w:rsidR="006C13BF" w:rsidRDefault="006C13BF" w:rsidP="006C13BF">
      <w:pPr>
        <w:spacing w:line="240" w:lineRule="auto"/>
        <w:ind w:firstLine="720"/>
        <w:jc w:val="both"/>
        <w:rPr>
          <w:rFonts w:ascii="Times New Roman" w:hAnsi="Times New Roman"/>
          <w:sz w:val="28"/>
          <w:szCs w:val="28"/>
        </w:rPr>
      </w:pPr>
    </w:p>
    <w:p w14:paraId="4684438A" w14:textId="2541E5DB" w:rsidR="006C13BF" w:rsidRDefault="006C13BF" w:rsidP="006C13BF">
      <w:pPr>
        <w:spacing w:line="480" w:lineRule="auto"/>
        <w:ind w:firstLine="720"/>
        <w:jc w:val="both"/>
        <w:rPr>
          <w:rFonts w:ascii="Times New Roman" w:hAnsi="Times New Roman"/>
          <w:sz w:val="28"/>
          <w:szCs w:val="28"/>
        </w:rPr>
      </w:pPr>
      <w:r>
        <w:rPr>
          <w:rFonts w:ascii="Times New Roman" w:hAnsi="Times New Roman"/>
          <w:sz w:val="28"/>
          <w:szCs w:val="28"/>
        </w:rPr>
        <w:t>AGO and MCAO make several miscellaneous points that entirely lack merit and do not require substantial discussion. Petitioner will address them briefly.</w:t>
      </w:r>
    </w:p>
    <w:p w14:paraId="04FC011D" w14:textId="1188E45C" w:rsidR="006C13BF" w:rsidRDefault="006C13BF" w:rsidP="006C13BF">
      <w:pPr>
        <w:spacing w:line="480" w:lineRule="auto"/>
        <w:ind w:firstLine="720"/>
        <w:jc w:val="both"/>
        <w:rPr>
          <w:rFonts w:ascii="Times New Roman" w:hAnsi="Times New Roman"/>
          <w:sz w:val="28"/>
          <w:szCs w:val="28"/>
        </w:rPr>
      </w:pPr>
      <w:r>
        <w:rPr>
          <w:rFonts w:ascii="Times New Roman" w:hAnsi="Times New Roman"/>
          <w:sz w:val="28"/>
          <w:szCs w:val="28"/>
        </w:rPr>
        <w:t>“</w:t>
      </w:r>
      <w:r w:rsidRPr="006C13BF">
        <w:rPr>
          <w:rFonts w:ascii="Times New Roman" w:hAnsi="Times New Roman"/>
          <w:sz w:val="28"/>
          <w:szCs w:val="28"/>
        </w:rPr>
        <w:t>Petitioner has not identified any material problem created by the current rules</w:t>
      </w:r>
      <w:r>
        <w:rPr>
          <w:rFonts w:ascii="Times New Roman" w:hAnsi="Times New Roman"/>
          <w:sz w:val="28"/>
          <w:szCs w:val="28"/>
        </w:rPr>
        <w:t xml:space="preserve">.” MCAO Comment at 1. </w:t>
      </w:r>
      <w:r w:rsidR="00BA5195">
        <w:rPr>
          <w:rFonts w:ascii="Times New Roman" w:hAnsi="Times New Roman"/>
          <w:sz w:val="28"/>
          <w:szCs w:val="28"/>
        </w:rPr>
        <w:t xml:space="preserve">The material problem is the interpretation of the current rules in </w:t>
      </w:r>
      <w:r w:rsidR="00BA5195" w:rsidRPr="00BA5195">
        <w:rPr>
          <w:rFonts w:ascii="Times New Roman" w:hAnsi="Times New Roman"/>
          <w:i/>
          <w:iCs/>
          <w:sz w:val="28"/>
          <w:szCs w:val="28"/>
        </w:rPr>
        <w:t>Smith</w:t>
      </w:r>
      <w:r w:rsidR="00BA5195">
        <w:rPr>
          <w:rFonts w:ascii="Times New Roman" w:hAnsi="Times New Roman"/>
          <w:sz w:val="28"/>
          <w:szCs w:val="28"/>
        </w:rPr>
        <w:t>; explicitly adopting the petition would rectify the problem.</w:t>
      </w:r>
    </w:p>
    <w:p w14:paraId="0D634425" w14:textId="0DA64BA5" w:rsidR="00BF0A5B" w:rsidRDefault="00DE1B62" w:rsidP="00BF0A5B">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“There </w:t>
      </w:r>
      <w:r w:rsidRPr="00DE1B62">
        <w:rPr>
          <w:rFonts w:ascii="Times New Roman" w:hAnsi="Times New Roman"/>
          <w:sz w:val="28"/>
          <w:szCs w:val="28"/>
        </w:rPr>
        <w:t>is no general constitutional right to discovery in a criminal case</w:t>
      </w:r>
      <w:r>
        <w:rPr>
          <w:rFonts w:ascii="Times New Roman" w:hAnsi="Times New Roman"/>
          <w:sz w:val="28"/>
          <w:szCs w:val="28"/>
        </w:rPr>
        <w:t xml:space="preserve">.” MCAO Comment at 6-7 (citing </w:t>
      </w:r>
      <w:r w:rsidRPr="00DE1B62">
        <w:rPr>
          <w:rFonts w:ascii="Times New Roman" w:hAnsi="Times New Roman"/>
          <w:i/>
          <w:iCs/>
          <w:sz w:val="28"/>
          <w:szCs w:val="28"/>
        </w:rPr>
        <w:t>Weatherford v. Bursey</w:t>
      </w:r>
      <w:r>
        <w:rPr>
          <w:rFonts w:ascii="Times New Roman" w:hAnsi="Times New Roman"/>
          <w:sz w:val="28"/>
          <w:szCs w:val="28"/>
        </w:rPr>
        <w:t xml:space="preserve">, 429 U.S. 545, 559 (1977)). This petition is not about defendants asking for discovery from the State; it is about defense counsel conducting investigations required by the Sixth Amendment right to assistance of counsel. </w:t>
      </w:r>
      <w:r w:rsidRPr="00DE1B62">
        <w:rPr>
          <w:rFonts w:ascii="Times New Roman" w:hAnsi="Times New Roman"/>
          <w:i/>
          <w:iCs/>
          <w:sz w:val="28"/>
          <w:szCs w:val="28"/>
        </w:rPr>
        <w:t>See Morehart</w:t>
      </w:r>
      <w:r>
        <w:rPr>
          <w:rFonts w:ascii="Times New Roman" w:hAnsi="Times New Roman"/>
          <w:sz w:val="28"/>
          <w:szCs w:val="28"/>
        </w:rPr>
        <w:t xml:space="preserve">, 226 Ariz. at </w:t>
      </w:r>
      <w:r w:rsidR="00BF0A5B">
        <w:rPr>
          <w:rFonts w:ascii="Times New Roman" w:hAnsi="Times New Roman"/>
          <w:sz w:val="28"/>
          <w:szCs w:val="28"/>
        </w:rPr>
        <w:t xml:space="preserve">513 ¶ 10, 515-16 ¶ 22. Similarly, reliance on </w:t>
      </w:r>
      <w:r w:rsidR="00BF0A5B" w:rsidRPr="00BF0A5B">
        <w:rPr>
          <w:rFonts w:ascii="Times New Roman" w:hAnsi="Times New Roman"/>
          <w:i/>
          <w:iCs/>
          <w:sz w:val="28"/>
          <w:szCs w:val="28"/>
        </w:rPr>
        <w:t>Carpenter v. Superior Court</w:t>
      </w:r>
      <w:r w:rsidR="00BF0A5B">
        <w:rPr>
          <w:rFonts w:ascii="Times New Roman" w:hAnsi="Times New Roman"/>
          <w:sz w:val="28"/>
          <w:szCs w:val="28"/>
        </w:rPr>
        <w:t>, 176 Ariz. 486 (App. 1993), MCAO Comment at 7, is misplaced, because there the requested discovery was from the police department, which is an arm of the State for purposes of Rule 15.</w:t>
      </w:r>
    </w:p>
    <w:p w14:paraId="02A6D4F5" w14:textId="01118F97" w:rsidR="006C13BF" w:rsidRDefault="006C13BF" w:rsidP="006C13BF">
      <w:pPr>
        <w:spacing w:line="480" w:lineRule="auto"/>
        <w:ind w:firstLine="720"/>
        <w:jc w:val="both"/>
        <w:rPr>
          <w:rFonts w:ascii="Times New Roman" w:hAnsi="Times New Roman"/>
          <w:sz w:val="28"/>
          <w:szCs w:val="28"/>
        </w:rPr>
      </w:pPr>
      <w:r>
        <w:rPr>
          <w:rFonts w:ascii="Times New Roman" w:hAnsi="Times New Roman"/>
          <w:sz w:val="28"/>
          <w:szCs w:val="28"/>
        </w:rPr>
        <w:t xml:space="preserve">Citing </w:t>
      </w:r>
      <w:r w:rsidRPr="006C13BF">
        <w:rPr>
          <w:rFonts w:ascii="Times New Roman" w:hAnsi="Times New Roman"/>
          <w:i/>
          <w:iCs/>
          <w:sz w:val="28"/>
          <w:szCs w:val="28"/>
        </w:rPr>
        <w:t>State v. Carriger</w:t>
      </w:r>
      <w:r>
        <w:rPr>
          <w:rFonts w:ascii="Times New Roman" w:hAnsi="Times New Roman"/>
          <w:sz w:val="28"/>
          <w:szCs w:val="28"/>
        </w:rPr>
        <w:t xml:space="preserve">, 143 Ariz. 142, 145-46 (1984), MCAO asserts “there is no constitutional right to a post-conviction proceeding” and in </w:t>
      </w:r>
      <w:r w:rsidRPr="006C13BF">
        <w:rPr>
          <w:rFonts w:ascii="Times New Roman" w:hAnsi="Times New Roman"/>
          <w:sz w:val="28"/>
          <w:szCs w:val="28"/>
        </w:rPr>
        <w:t>“all cases, civil or criminal, there must be an end to litigation.”</w:t>
      </w:r>
      <w:r>
        <w:rPr>
          <w:rFonts w:ascii="Times New Roman" w:hAnsi="Times New Roman"/>
          <w:sz w:val="28"/>
          <w:szCs w:val="28"/>
        </w:rPr>
        <w:t xml:space="preserve"> MCAO Comment at 13. Not only is there a state constitutional right to some post-conviction proceedings, </w:t>
      </w:r>
      <w:r w:rsidRPr="006C13BF">
        <w:rPr>
          <w:rFonts w:ascii="Times New Roman" w:hAnsi="Times New Roman"/>
          <w:i/>
          <w:iCs/>
          <w:sz w:val="28"/>
          <w:szCs w:val="28"/>
        </w:rPr>
        <w:t>see Montgomery v. Sheldon</w:t>
      </w:r>
      <w:r>
        <w:rPr>
          <w:rFonts w:ascii="Times New Roman" w:hAnsi="Times New Roman"/>
          <w:sz w:val="28"/>
          <w:szCs w:val="28"/>
        </w:rPr>
        <w:t xml:space="preserve">, 181 Ariz. 256, </w:t>
      </w:r>
      <w:r w:rsidRPr="006C13BF">
        <w:rPr>
          <w:rFonts w:ascii="Times New Roman" w:hAnsi="Times New Roman"/>
          <w:i/>
          <w:iCs/>
          <w:sz w:val="28"/>
          <w:szCs w:val="28"/>
        </w:rPr>
        <w:t>supp. op</w:t>
      </w:r>
      <w:r>
        <w:rPr>
          <w:rFonts w:ascii="Times New Roman" w:hAnsi="Times New Roman"/>
          <w:sz w:val="28"/>
          <w:szCs w:val="28"/>
        </w:rPr>
        <w:t xml:space="preserve">. 182 Ariz. 118 (1995), but post-conviction proceedings are the only arena where defendants can vindicate the Sixth Amendment right to effective assistance of counsel. </w:t>
      </w:r>
      <w:r w:rsidRPr="006C13BF">
        <w:rPr>
          <w:rFonts w:ascii="Times New Roman" w:hAnsi="Times New Roman"/>
          <w:i/>
          <w:iCs/>
          <w:sz w:val="28"/>
          <w:szCs w:val="28"/>
        </w:rPr>
        <w:t>State v. Spreitz</w:t>
      </w:r>
      <w:r>
        <w:rPr>
          <w:rFonts w:ascii="Times New Roman" w:hAnsi="Times New Roman"/>
          <w:sz w:val="28"/>
          <w:szCs w:val="28"/>
        </w:rPr>
        <w:t>, 202 Ariz. 1 (2002). Society’s interest in finality does not trump the defendant’s right to pursue remedies that are available under law.</w:t>
      </w:r>
    </w:p>
    <w:p w14:paraId="0042C700" w14:textId="12BA7B97" w:rsidR="007378AF" w:rsidRDefault="00E0481E" w:rsidP="006C13BF">
      <w:pPr>
        <w:spacing w:line="480" w:lineRule="auto"/>
        <w:ind w:firstLine="720"/>
        <w:jc w:val="both"/>
        <w:rPr>
          <w:rFonts w:ascii="Times New Roman" w:hAnsi="Times New Roman"/>
          <w:sz w:val="28"/>
          <w:szCs w:val="28"/>
        </w:rPr>
      </w:pPr>
      <w:r>
        <w:rPr>
          <w:rFonts w:ascii="Times New Roman" w:hAnsi="Times New Roman"/>
          <w:sz w:val="28"/>
          <w:szCs w:val="28"/>
        </w:rPr>
        <w:t xml:space="preserve">AGO </w:t>
      </w:r>
      <w:r w:rsidR="007378AF">
        <w:rPr>
          <w:rFonts w:ascii="Times New Roman" w:hAnsi="Times New Roman"/>
          <w:sz w:val="28"/>
          <w:szCs w:val="28"/>
        </w:rPr>
        <w:t xml:space="preserve">claims it did not argue in </w:t>
      </w:r>
      <w:r w:rsidR="007378AF" w:rsidRPr="007378AF">
        <w:rPr>
          <w:rFonts w:ascii="Times New Roman" w:hAnsi="Times New Roman"/>
          <w:i/>
          <w:iCs/>
          <w:sz w:val="28"/>
          <w:szCs w:val="28"/>
        </w:rPr>
        <w:t>Smith</w:t>
      </w:r>
      <w:r w:rsidR="007378AF">
        <w:rPr>
          <w:rFonts w:ascii="Times New Roman" w:hAnsi="Times New Roman"/>
          <w:sz w:val="28"/>
          <w:szCs w:val="28"/>
        </w:rPr>
        <w:t xml:space="preserve"> that ex parte proceedings should be prohibited and that it only argued that the defendant there did not make an adequate showing of the need for confidentiality. AGO Comment at 13. This is not true, and </w:t>
      </w:r>
      <w:r w:rsidR="007378AF">
        <w:rPr>
          <w:rFonts w:ascii="Times New Roman" w:hAnsi="Times New Roman"/>
          <w:sz w:val="28"/>
          <w:szCs w:val="28"/>
        </w:rPr>
        <w:lastRenderedPageBreak/>
        <w:t>AGO’s pleadings speak for themselves. Its comment to this petition says nothing except for arguing for barring the hearings from occurring in the first place. More to the point, the court of appeals barred ex parte proceedings in all cases. It does not matter that the State was not asking for the records themselves; the purpose of the ex parte hearing is to keep the State from knowing defense counsel’s investigative leads. And if AGO was merely concerned that Smith did not make a strong enough showing for confidentiality, then it should have no problem with the petition, which expressly requires defense counsel to do this.</w:t>
      </w:r>
    </w:p>
    <w:p w14:paraId="14D8FE03" w14:textId="69E1CA69" w:rsidR="00544606" w:rsidRDefault="007378AF" w:rsidP="004D1A54">
      <w:pPr>
        <w:spacing w:line="480" w:lineRule="auto"/>
        <w:ind w:firstLine="720"/>
        <w:jc w:val="both"/>
        <w:rPr>
          <w:rFonts w:ascii="Times New Roman" w:hAnsi="Times New Roman"/>
          <w:b/>
          <w:sz w:val="28"/>
          <w:szCs w:val="28"/>
          <w:u w:val="single"/>
        </w:rPr>
      </w:pPr>
      <w:r>
        <w:rPr>
          <w:rFonts w:ascii="Times New Roman" w:hAnsi="Times New Roman"/>
          <w:sz w:val="28"/>
          <w:szCs w:val="28"/>
        </w:rPr>
        <w:t xml:space="preserve">AGO insists the ABA Guidelines do nothing to support the claim that ex parte hearings are necessary. AGO Comment at 15. This is because AGO insists on a “hyperliteral” reading of the Guidelines. </w:t>
      </w:r>
      <w:r w:rsidRPr="00212A3C">
        <w:rPr>
          <w:rFonts w:ascii="Times New Roman" w:hAnsi="Times New Roman"/>
          <w:i/>
          <w:iCs/>
          <w:sz w:val="28"/>
          <w:szCs w:val="28"/>
        </w:rPr>
        <w:t>State v. Serrano</w:t>
      </w:r>
      <w:r>
        <w:rPr>
          <w:rFonts w:ascii="Times New Roman" w:hAnsi="Times New Roman"/>
          <w:sz w:val="28"/>
          <w:szCs w:val="28"/>
        </w:rPr>
        <w:t xml:space="preserve">, </w:t>
      </w:r>
      <w:r w:rsidR="00212A3C">
        <w:rPr>
          <w:rFonts w:ascii="Times New Roman" w:hAnsi="Times New Roman"/>
          <w:sz w:val="28"/>
          <w:szCs w:val="28"/>
        </w:rPr>
        <w:t>259 Ariz. 493, 497 ¶ 15 (2025). Anyone with the slightest experience defending serious cases, not just capital cases, knows this is an uninformed opinion. Those experienced in defending such cases uniformly agree that following the Guidelines means doing whatever is necessary to avoid the situation where the State obtains information harmful to the client because defense counsel revealed their investigative leads. This point is sufficiently made both in the petition and in the comments from Arizona Attorneys for Criminal Justice and Maricopa County Office of Public Defense Services.</w:t>
      </w:r>
      <w:r w:rsidR="005A168E">
        <w:rPr>
          <w:rFonts w:ascii="Times New Roman" w:hAnsi="Times New Roman"/>
          <w:sz w:val="28"/>
          <w:szCs w:val="28"/>
        </w:rPr>
        <w:t xml:space="preserve"> It was also recently reinforced in </w:t>
      </w:r>
      <w:r w:rsidR="005A168E">
        <w:rPr>
          <w:rFonts w:ascii="Times New Roman" w:hAnsi="Times New Roman"/>
          <w:i/>
          <w:iCs/>
          <w:sz w:val="28"/>
          <w:szCs w:val="28"/>
        </w:rPr>
        <w:t>Lopez</w:t>
      </w:r>
      <w:r w:rsidR="00AC039C">
        <w:rPr>
          <w:rFonts w:ascii="Times New Roman" w:hAnsi="Times New Roman"/>
          <w:sz w:val="28"/>
          <w:szCs w:val="28"/>
        </w:rPr>
        <w:t>. 581 P.3d at ¶ 14</w:t>
      </w:r>
      <w:r w:rsidR="00E52D96">
        <w:rPr>
          <w:rFonts w:ascii="Times New Roman" w:hAnsi="Times New Roman"/>
          <w:sz w:val="28"/>
          <w:szCs w:val="28"/>
        </w:rPr>
        <w:t xml:space="preserve"> (</w:t>
      </w:r>
      <w:r w:rsidR="00BF70DF">
        <w:rPr>
          <w:rFonts w:ascii="Times New Roman" w:hAnsi="Times New Roman"/>
          <w:sz w:val="28"/>
          <w:szCs w:val="28"/>
        </w:rPr>
        <w:t xml:space="preserve">finding that the ABA Guidelines </w:t>
      </w:r>
      <w:r w:rsidR="008D23F0">
        <w:rPr>
          <w:rFonts w:ascii="Times New Roman" w:hAnsi="Times New Roman"/>
          <w:sz w:val="28"/>
          <w:szCs w:val="28"/>
        </w:rPr>
        <w:lastRenderedPageBreak/>
        <w:t>reinforce defense counsel’s right to discovery and investigation</w:t>
      </w:r>
      <w:r w:rsidR="00D044DB">
        <w:rPr>
          <w:rFonts w:ascii="Times New Roman" w:hAnsi="Times New Roman"/>
          <w:sz w:val="28"/>
          <w:szCs w:val="28"/>
        </w:rPr>
        <w:t>, and are directly connected to “the due process right to present a complete defense”).</w:t>
      </w:r>
    </w:p>
    <w:p w14:paraId="6F78F8D8" w14:textId="61AF1582"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3280D15F" w14:textId="02FA805B" w:rsidR="002D49CC" w:rsidRDefault="002D49CC" w:rsidP="001D0E6C">
      <w:pPr>
        <w:spacing w:line="480" w:lineRule="auto"/>
        <w:ind w:firstLine="720"/>
        <w:jc w:val="both"/>
        <w:rPr>
          <w:rFonts w:ascii="Times New Roman" w:hAnsi="Times New Roman"/>
          <w:sz w:val="28"/>
          <w:szCs w:val="28"/>
        </w:rPr>
      </w:pPr>
      <w:r>
        <w:rPr>
          <w:rFonts w:ascii="Times New Roman" w:hAnsi="Times New Roman"/>
          <w:sz w:val="28"/>
          <w:szCs w:val="28"/>
        </w:rPr>
        <w:t>As expected, the comment period provided “enlightening discussion on the issue.” Petition at 3. MCAO’s comment highlighted two weaknesses with the language in the Petition, and the proposal in the attachment to this Reply fixes those two areas.</w:t>
      </w:r>
      <w:r w:rsidR="000C0B48">
        <w:rPr>
          <w:rFonts w:ascii="Times New Roman" w:hAnsi="Times New Roman"/>
          <w:sz w:val="28"/>
          <w:szCs w:val="28"/>
        </w:rPr>
        <w:t xml:space="preserve"> The proposal now includes an additional sentence in Rule 1.9: “</w:t>
      </w:r>
      <w:r w:rsidR="000C0B48" w:rsidRPr="000C0B48">
        <w:rPr>
          <w:rFonts w:ascii="Times New Roman" w:hAnsi="Times New Roman"/>
          <w:sz w:val="28"/>
          <w:szCs w:val="28"/>
        </w:rPr>
        <w:t>A party filing an ex parte motion must simultaneously file a notice of lodging of the ex parte motion.</w:t>
      </w:r>
      <w:r w:rsidR="000C0B48">
        <w:rPr>
          <w:rFonts w:ascii="Times New Roman" w:hAnsi="Times New Roman"/>
          <w:sz w:val="28"/>
          <w:szCs w:val="28"/>
        </w:rPr>
        <w:t>” Rules 15.1(g)(3), 32.6(b)(3), and 33.6(b)(3) now include an additional phrase that require the ex parte motion to satisfy the requirements of Rules 15.1(g)(1), 32.6(b)(1), and 33.6(b)(1), respectively.</w:t>
      </w:r>
    </w:p>
    <w:p w14:paraId="1A9BA697" w14:textId="6B287CD8" w:rsidR="002C660A"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w:t>
      </w:r>
      <w:r w:rsidR="001E724D">
        <w:rPr>
          <w:rFonts w:ascii="Times New Roman" w:hAnsi="Times New Roman"/>
          <w:sz w:val="28"/>
          <w:szCs w:val="28"/>
        </w:rPr>
        <w:t>Petitioner</w:t>
      </w:r>
      <w:r>
        <w:rPr>
          <w:rFonts w:ascii="Times New Roman" w:hAnsi="Times New Roman"/>
          <w:sz w:val="28"/>
          <w:szCs w:val="28"/>
        </w:rPr>
        <w:t xml:space="preserve"> requests this Court grant</w:t>
      </w:r>
      <w:r w:rsidR="00D774DA">
        <w:rPr>
          <w:rFonts w:ascii="Times New Roman" w:hAnsi="Times New Roman"/>
          <w:sz w:val="28"/>
          <w:szCs w:val="28"/>
        </w:rPr>
        <w:t xml:space="preserve"> </w:t>
      </w:r>
      <w:r>
        <w:rPr>
          <w:rFonts w:ascii="Times New Roman" w:hAnsi="Times New Roman"/>
          <w:sz w:val="28"/>
          <w:szCs w:val="28"/>
        </w:rPr>
        <w:t xml:space="preserve">the petition </w:t>
      </w:r>
      <w:r w:rsidR="00B515D5">
        <w:rPr>
          <w:rFonts w:ascii="Times New Roman" w:hAnsi="Times New Roman"/>
          <w:sz w:val="28"/>
          <w:szCs w:val="28"/>
        </w:rPr>
        <w:t xml:space="preserve">to </w:t>
      </w:r>
      <w:r w:rsidR="00C60CF3">
        <w:rPr>
          <w:rFonts w:ascii="Times New Roman" w:hAnsi="Times New Roman"/>
          <w:sz w:val="28"/>
          <w:szCs w:val="28"/>
        </w:rPr>
        <w:t>amend</w:t>
      </w:r>
      <w:r w:rsidR="00094BC9">
        <w:rPr>
          <w:rFonts w:ascii="Times New Roman" w:hAnsi="Times New Roman"/>
          <w:sz w:val="28"/>
          <w:szCs w:val="28"/>
        </w:rPr>
        <w:t xml:space="preserve"> </w:t>
      </w:r>
      <w:r w:rsidR="00B2754E">
        <w:rPr>
          <w:rFonts w:ascii="Times New Roman" w:hAnsi="Times New Roman"/>
          <w:sz w:val="28"/>
          <w:szCs w:val="28"/>
        </w:rPr>
        <w:t>Arizona Rule</w:t>
      </w:r>
      <w:r w:rsidR="002E1CE4">
        <w:rPr>
          <w:rFonts w:ascii="Times New Roman" w:hAnsi="Times New Roman"/>
          <w:sz w:val="28"/>
          <w:szCs w:val="28"/>
        </w:rPr>
        <w:t>s</w:t>
      </w:r>
      <w:r w:rsidR="00B2754E">
        <w:rPr>
          <w:rFonts w:ascii="Times New Roman" w:hAnsi="Times New Roman"/>
          <w:sz w:val="28"/>
          <w:szCs w:val="28"/>
        </w:rPr>
        <w:t xml:space="preserve"> of Criminal Procedure</w:t>
      </w:r>
      <w:r w:rsidR="00094BC9">
        <w:rPr>
          <w:rFonts w:ascii="Times New Roman" w:hAnsi="Times New Roman"/>
          <w:sz w:val="28"/>
          <w:szCs w:val="28"/>
        </w:rPr>
        <w:t xml:space="preserve"> </w:t>
      </w:r>
      <w:r w:rsidR="00B2754E">
        <w:rPr>
          <w:rFonts w:ascii="Times New Roman" w:hAnsi="Times New Roman"/>
          <w:sz w:val="28"/>
          <w:szCs w:val="28"/>
        </w:rPr>
        <w:t>15</w:t>
      </w:r>
      <w:r w:rsidR="002E1CE4">
        <w:rPr>
          <w:rFonts w:ascii="Times New Roman" w:hAnsi="Times New Roman"/>
          <w:sz w:val="28"/>
          <w:szCs w:val="28"/>
        </w:rPr>
        <w:t>.1, 32.6, and 33.6</w:t>
      </w:r>
      <w:r>
        <w:rPr>
          <w:rFonts w:ascii="Times New Roman" w:hAnsi="Times New Roman"/>
          <w:sz w:val="28"/>
          <w:szCs w:val="28"/>
        </w:rPr>
        <w:t>.</w:t>
      </w:r>
    </w:p>
    <w:p w14:paraId="3C5EEEAF" w14:textId="77777777" w:rsidR="009834AE" w:rsidRPr="0014499B" w:rsidRDefault="009834AE" w:rsidP="001D0E6C">
      <w:pPr>
        <w:spacing w:line="480" w:lineRule="auto"/>
        <w:ind w:firstLine="720"/>
        <w:jc w:val="both"/>
        <w:rPr>
          <w:rFonts w:ascii="Times New Roman" w:hAnsi="Times New Roman"/>
          <w:sz w:val="28"/>
          <w:szCs w:val="28"/>
        </w:rPr>
      </w:pPr>
    </w:p>
    <w:p w14:paraId="268AB80E" w14:textId="0CE14CB9"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B2754E">
        <w:rPr>
          <w:rFonts w:ascii="Times New Roman" w:hAnsi="Times New Roman"/>
          <w:sz w:val="28"/>
          <w:szCs w:val="28"/>
        </w:rPr>
        <w:t>J</w:t>
      </w:r>
      <w:r w:rsidR="00836F61">
        <w:rPr>
          <w:rFonts w:ascii="Times New Roman" w:hAnsi="Times New Roman"/>
          <w:sz w:val="28"/>
          <w:szCs w:val="28"/>
        </w:rPr>
        <w:t>u</w:t>
      </w:r>
      <w:r w:rsidR="00B2754E">
        <w:rPr>
          <w:rFonts w:ascii="Times New Roman" w:hAnsi="Times New Roman"/>
          <w:sz w:val="28"/>
          <w:szCs w:val="28"/>
        </w:rPr>
        <w:t>n</w:t>
      </w:r>
      <w:r w:rsidR="00836F61">
        <w:rPr>
          <w:rFonts w:ascii="Times New Roman" w:hAnsi="Times New Roman"/>
          <w:sz w:val="28"/>
          <w:szCs w:val="28"/>
        </w:rPr>
        <w:t>e</w:t>
      </w:r>
      <w:r w:rsidR="002C660A">
        <w:rPr>
          <w:rFonts w:ascii="Times New Roman" w:hAnsi="Times New Roman"/>
          <w:sz w:val="28"/>
          <w:szCs w:val="28"/>
        </w:rPr>
        <w:t xml:space="preserve"> </w:t>
      </w:r>
      <w:r w:rsidR="00C60CF3">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544606">
        <w:rPr>
          <w:rFonts w:ascii="Times New Roman" w:hAnsi="Times New Roman"/>
          <w:sz w:val="28"/>
          <w:szCs w:val="28"/>
        </w:rPr>
        <w:t>6</w:t>
      </w:r>
      <w:r w:rsidR="00DC38DE" w:rsidRPr="0014499B">
        <w:rPr>
          <w:rFonts w:ascii="Times New Roman" w:hAnsi="Times New Roman"/>
          <w:sz w:val="28"/>
          <w:szCs w:val="28"/>
        </w:rPr>
        <w:t>.</w:t>
      </w:r>
    </w:p>
    <w:p w14:paraId="268AB812" w14:textId="51C7DEC6" w:rsidR="000347CF" w:rsidRDefault="00DC38DE" w:rsidP="003A04C5">
      <w:pPr>
        <w:spacing w:line="240" w:lineRule="auto"/>
        <w:ind w:left="3600"/>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3A04C5">
      <w:pPr>
        <w:spacing w:line="240" w:lineRule="auto"/>
        <w:ind w:left="43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16B2E1B9" w14:textId="37C2FD1A" w:rsidR="002D49CC" w:rsidRDefault="002D49CC">
      <w:pPr>
        <w:spacing w:line="240" w:lineRule="auto"/>
        <w:rPr>
          <w:rFonts w:ascii="Times New Roman" w:hAnsi="Times New Roman"/>
          <w:sz w:val="28"/>
          <w:szCs w:val="28"/>
        </w:rPr>
      </w:pPr>
      <w:r>
        <w:rPr>
          <w:rFonts w:ascii="Times New Roman" w:hAnsi="Times New Roman"/>
          <w:sz w:val="28"/>
          <w:szCs w:val="28"/>
        </w:rPr>
        <w:br w:type="page"/>
      </w:r>
    </w:p>
    <w:p w14:paraId="10C9E602" w14:textId="77777777" w:rsidR="002D49CC" w:rsidRPr="003A2C4F" w:rsidRDefault="002D49CC" w:rsidP="002D49CC">
      <w:pPr>
        <w:spacing w:line="240" w:lineRule="auto"/>
        <w:ind w:left="720" w:right="720"/>
        <w:jc w:val="center"/>
        <w:rPr>
          <w:rFonts w:ascii="Times New Roman" w:hAnsi="Times New Roman"/>
          <w:b/>
          <w:bCs/>
          <w:sz w:val="28"/>
          <w:szCs w:val="28"/>
        </w:rPr>
      </w:pPr>
      <w:bookmarkStart w:id="3" w:name="_Hlk155637177"/>
      <w:r w:rsidRPr="003A2C4F">
        <w:rPr>
          <w:rFonts w:ascii="Times New Roman" w:hAnsi="Times New Roman"/>
          <w:b/>
          <w:bCs/>
          <w:sz w:val="28"/>
          <w:szCs w:val="28"/>
        </w:rPr>
        <w:lastRenderedPageBreak/>
        <w:t>ATTACHMENT</w:t>
      </w:r>
      <w:r>
        <w:rPr>
          <w:rStyle w:val="FootnoteReference"/>
          <w:rFonts w:ascii="Times New Roman" w:hAnsi="Times New Roman"/>
          <w:b/>
          <w:bCs/>
          <w:sz w:val="28"/>
          <w:szCs w:val="28"/>
        </w:rPr>
        <w:footnoteReference w:id="6"/>
      </w:r>
    </w:p>
    <w:p w14:paraId="2C898A28" w14:textId="77777777" w:rsidR="002D49CC" w:rsidRDefault="002D49CC" w:rsidP="002D49CC">
      <w:pPr>
        <w:spacing w:line="240" w:lineRule="auto"/>
        <w:ind w:left="720" w:right="720"/>
        <w:jc w:val="both"/>
        <w:rPr>
          <w:rFonts w:ascii="Times New Roman" w:hAnsi="Times New Roman"/>
          <w:sz w:val="28"/>
          <w:szCs w:val="28"/>
        </w:rPr>
      </w:pPr>
    </w:p>
    <w:bookmarkEnd w:id="3"/>
    <w:p w14:paraId="3385F98C" w14:textId="77777777" w:rsidR="002D49CC" w:rsidRPr="002D5B70" w:rsidRDefault="002D49CC" w:rsidP="002D49CC">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Pr="002D5B70">
        <w:rPr>
          <w:rFonts w:ascii="Times New Roman" w:hAnsi="Times New Roman"/>
          <w:b/>
          <w:bCs/>
          <w:sz w:val="28"/>
          <w:szCs w:val="28"/>
        </w:rPr>
        <w:t xml:space="preserve"> 1.</w:t>
      </w:r>
      <w:r>
        <w:rPr>
          <w:rFonts w:ascii="Times New Roman" w:hAnsi="Times New Roman"/>
          <w:b/>
          <w:bCs/>
          <w:sz w:val="28"/>
          <w:szCs w:val="28"/>
        </w:rPr>
        <w:t>9</w:t>
      </w:r>
    </w:p>
    <w:p w14:paraId="35C3419B" w14:textId="77777777" w:rsidR="002D49CC" w:rsidRDefault="002D49CC" w:rsidP="002D49CC">
      <w:pPr>
        <w:spacing w:line="240" w:lineRule="auto"/>
        <w:ind w:right="720"/>
        <w:jc w:val="both"/>
        <w:rPr>
          <w:rFonts w:ascii="Times New Roman" w:hAnsi="Times New Roman"/>
          <w:sz w:val="28"/>
          <w:szCs w:val="28"/>
        </w:rPr>
      </w:pPr>
    </w:p>
    <w:p w14:paraId="1EB8B7AB" w14:textId="77777777" w:rsidR="002D49CC" w:rsidRPr="002D5B70"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sidRPr="002D5B70">
        <w:rPr>
          <w:rFonts w:ascii="Times New Roman" w:hAnsi="Times New Roman"/>
          <w:sz w:val="28"/>
          <w:szCs w:val="28"/>
        </w:rPr>
        <w:t xml:space="preserve"> </w:t>
      </w:r>
      <w:r w:rsidRPr="00B2754E">
        <w:rPr>
          <w:rFonts w:ascii="Times New Roman" w:hAnsi="Times New Roman"/>
          <w:sz w:val="28"/>
          <w:szCs w:val="28"/>
        </w:rPr>
        <w:t>[no change]</w:t>
      </w:r>
    </w:p>
    <w:p w14:paraId="2F6AE53A" w14:textId="4BB2F225" w:rsidR="002D49CC"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Pr>
          <w:rFonts w:ascii="Times New Roman" w:hAnsi="Times New Roman"/>
          <w:b/>
          <w:bCs/>
          <w:sz w:val="28"/>
          <w:szCs w:val="28"/>
        </w:rPr>
        <w:t>b</w:t>
      </w:r>
      <w:r w:rsidRPr="002D5B70">
        <w:rPr>
          <w:rFonts w:ascii="Times New Roman" w:hAnsi="Times New Roman"/>
          <w:b/>
          <w:bCs/>
          <w:sz w:val="28"/>
          <w:szCs w:val="28"/>
        </w:rPr>
        <w:t xml:space="preserve">) </w:t>
      </w:r>
      <w:r w:rsidRPr="004D27BC">
        <w:rPr>
          <w:rFonts w:ascii="Times New Roman" w:hAnsi="Times New Roman"/>
          <w:b/>
          <w:bCs/>
          <w:sz w:val="28"/>
          <w:szCs w:val="28"/>
        </w:rPr>
        <w:t>Service of Motion; Response; Reply</w:t>
      </w:r>
      <w:r w:rsidRPr="002D5B70">
        <w:rPr>
          <w:rFonts w:ascii="Times New Roman" w:hAnsi="Times New Roman"/>
          <w:b/>
          <w:bCs/>
          <w:sz w:val="28"/>
          <w:szCs w:val="28"/>
        </w:rPr>
        <w:t>.</w:t>
      </w:r>
      <w:r>
        <w:rPr>
          <w:rFonts w:ascii="Times New Roman" w:hAnsi="Times New Roman"/>
          <w:b/>
          <w:bCs/>
          <w:sz w:val="28"/>
          <w:szCs w:val="28"/>
        </w:rPr>
        <w:t xml:space="preserve"> </w:t>
      </w:r>
      <w:r w:rsidRPr="004D27BC">
        <w:rPr>
          <w:rFonts w:ascii="Times New Roman" w:hAnsi="Times New Roman"/>
          <w:b/>
          <w:bCs/>
          <w:sz w:val="28"/>
          <w:szCs w:val="28"/>
          <w:u w:val="single"/>
        </w:rPr>
        <w:t>Except for ex parte motions, t</w:t>
      </w:r>
      <w:r w:rsidRPr="004D27BC">
        <w:rPr>
          <w:rFonts w:ascii="Times New Roman" w:hAnsi="Times New Roman"/>
          <w:strike/>
          <w:sz w:val="28"/>
          <w:szCs w:val="28"/>
        </w:rPr>
        <w:t>T</w:t>
      </w:r>
      <w:r w:rsidRPr="004D27BC">
        <w:rPr>
          <w:rFonts w:ascii="Times New Roman" w:hAnsi="Times New Roman"/>
          <w:sz w:val="28"/>
          <w:szCs w:val="28"/>
        </w:rPr>
        <w:t>he moving party must serve the motion on all other parties. No later than 10 days after service, another party may file and serve a response, and, no later than 3 days after service of a response, the moving party may file and serve a reply. A reply must be directed only to matters raised in a response. If no response is filed, the court may deem the motion submitted on the record.</w:t>
      </w:r>
      <w:r w:rsidR="000C0B48">
        <w:rPr>
          <w:rFonts w:ascii="Times New Roman" w:hAnsi="Times New Roman"/>
          <w:sz w:val="28"/>
          <w:szCs w:val="28"/>
        </w:rPr>
        <w:t xml:space="preserve"> </w:t>
      </w:r>
      <w:r w:rsidR="000C0B48">
        <w:rPr>
          <w:rFonts w:ascii="Times New Roman" w:hAnsi="Times New Roman"/>
          <w:b/>
          <w:bCs/>
          <w:sz w:val="28"/>
          <w:szCs w:val="28"/>
          <w:u w:val="single"/>
        </w:rPr>
        <w:t>A party filing an e</w:t>
      </w:r>
      <w:r w:rsidR="000C0B48" w:rsidRPr="004D27BC">
        <w:rPr>
          <w:rFonts w:ascii="Times New Roman" w:hAnsi="Times New Roman"/>
          <w:b/>
          <w:bCs/>
          <w:sz w:val="28"/>
          <w:szCs w:val="28"/>
          <w:u w:val="single"/>
        </w:rPr>
        <w:t>x</w:t>
      </w:r>
      <w:r w:rsidR="000C0B48">
        <w:rPr>
          <w:rFonts w:ascii="Times New Roman" w:hAnsi="Times New Roman"/>
          <w:b/>
          <w:bCs/>
          <w:sz w:val="28"/>
          <w:szCs w:val="28"/>
          <w:u w:val="single"/>
        </w:rPr>
        <w:t xml:space="preserve"> parte motion must simultaneously file a notice of lodging of the ex parte motion.</w:t>
      </w:r>
    </w:p>
    <w:p w14:paraId="32E8AE33" w14:textId="77777777" w:rsidR="002D49CC"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Pr>
          <w:rFonts w:ascii="Times New Roman" w:hAnsi="Times New Roman"/>
          <w:b/>
          <w:bCs/>
          <w:sz w:val="28"/>
          <w:szCs w:val="28"/>
        </w:rPr>
        <w:t>c</w:t>
      </w:r>
      <w:r w:rsidRPr="002D5B70">
        <w:rPr>
          <w:rFonts w:ascii="Times New Roman" w:hAnsi="Times New Roman"/>
          <w:b/>
          <w:bCs/>
          <w:sz w:val="28"/>
          <w:szCs w:val="28"/>
        </w:rPr>
        <w:t>)</w:t>
      </w:r>
      <w:r>
        <w:rPr>
          <w:rFonts w:ascii="Times New Roman" w:hAnsi="Times New Roman"/>
          <w:b/>
          <w:bCs/>
          <w:sz w:val="28"/>
          <w:szCs w:val="28"/>
        </w:rPr>
        <w:t>-(v)</w:t>
      </w:r>
      <w:r w:rsidRPr="002D5B70">
        <w:rPr>
          <w:rFonts w:ascii="Times New Roman" w:hAnsi="Times New Roman"/>
          <w:b/>
          <w:bCs/>
          <w:sz w:val="28"/>
          <w:szCs w:val="28"/>
        </w:rPr>
        <w:t xml:space="preserve"> </w:t>
      </w:r>
      <w:r>
        <w:rPr>
          <w:rFonts w:ascii="Times New Roman" w:hAnsi="Times New Roman"/>
          <w:sz w:val="28"/>
          <w:szCs w:val="28"/>
        </w:rPr>
        <w:t>[no change]</w:t>
      </w:r>
    </w:p>
    <w:p w14:paraId="236FA2FC" w14:textId="77777777" w:rsidR="002D49CC" w:rsidRDefault="002D49CC" w:rsidP="002D49CC">
      <w:pPr>
        <w:spacing w:after="120" w:line="240" w:lineRule="auto"/>
        <w:ind w:right="720"/>
        <w:jc w:val="both"/>
        <w:rPr>
          <w:rFonts w:ascii="Times New Roman" w:hAnsi="Times New Roman"/>
          <w:sz w:val="28"/>
          <w:szCs w:val="28"/>
        </w:rPr>
      </w:pPr>
    </w:p>
    <w:p w14:paraId="0CCC69D4" w14:textId="77777777" w:rsidR="002D49CC" w:rsidRPr="002D5B70" w:rsidRDefault="002D49CC" w:rsidP="002D49CC">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Pr="002D5B70">
        <w:rPr>
          <w:rFonts w:ascii="Times New Roman" w:hAnsi="Times New Roman"/>
          <w:b/>
          <w:bCs/>
          <w:sz w:val="28"/>
          <w:szCs w:val="28"/>
        </w:rPr>
        <w:t xml:space="preserve"> 1</w:t>
      </w:r>
      <w:r>
        <w:rPr>
          <w:rFonts w:ascii="Times New Roman" w:hAnsi="Times New Roman"/>
          <w:b/>
          <w:bCs/>
          <w:sz w:val="28"/>
          <w:szCs w:val="28"/>
        </w:rPr>
        <w:t>5</w:t>
      </w:r>
      <w:r w:rsidRPr="002D5B70">
        <w:rPr>
          <w:rFonts w:ascii="Times New Roman" w:hAnsi="Times New Roman"/>
          <w:b/>
          <w:bCs/>
          <w:sz w:val="28"/>
          <w:szCs w:val="28"/>
        </w:rPr>
        <w:t>.</w:t>
      </w:r>
      <w:r>
        <w:rPr>
          <w:rFonts w:ascii="Times New Roman" w:hAnsi="Times New Roman"/>
          <w:b/>
          <w:bCs/>
          <w:sz w:val="28"/>
          <w:szCs w:val="28"/>
        </w:rPr>
        <w:t>1</w:t>
      </w:r>
    </w:p>
    <w:p w14:paraId="19049A0C" w14:textId="77777777" w:rsidR="002D49CC" w:rsidRDefault="002D49CC" w:rsidP="002D49CC">
      <w:pPr>
        <w:spacing w:line="240" w:lineRule="auto"/>
        <w:ind w:right="720"/>
        <w:jc w:val="both"/>
        <w:rPr>
          <w:rFonts w:ascii="Times New Roman" w:hAnsi="Times New Roman"/>
          <w:sz w:val="28"/>
          <w:szCs w:val="28"/>
        </w:rPr>
      </w:pPr>
    </w:p>
    <w:p w14:paraId="60968265" w14:textId="77777777" w:rsidR="002D49CC" w:rsidRPr="002D5B70"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Pr>
          <w:rFonts w:ascii="Times New Roman" w:hAnsi="Times New Roman"/>
          <w:b/>
          <w:bCs/>
          <w:sz w:val="28"/>
          <w:szCs w:val="28"/>
        </w:rPr>
        <w:t>-(f)</w:t>
      </w:r>
      <w:r w:rsidRPr="002D5B70">
        <w:rPr>
          <w:rFonts w:ascii="Times New Roman" w:hAnsi="Times New Roman"/>
          <w:sz w:val="28"/>
          <w:szCs w:val="28"/>
        </w:rPr>
        <w:t xml:space="preserve"> </w:t>
      </w:r>
      <w:r w:rsidRPr="00B2754E">
        <w:rPr>
          <w:rFonts w:ascii="Times New Roman" w:hAnsi="Times New Roman"/>
          <w:sz w:val="28"/>
          <w:szCs w:val="28"/>
        </w:rPr>
        <w:t>[no change]</w:t>
      </w:r>
    </w:p>
    <w:p w14:paraId="091533D6" w14:textId="77777777" w:rsidR="002D49CC" w:rsidRPr="002D5B70"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Pr>
          <w:rFonts w:ascii="Times New Roman" w:hAnsi="Times New Roman"/>
          <w:b/>
          <w:bCs/>
          <w:sz w:val="28"/>
          <w:szCs w:val="28"/>
        </w:rPr>
        <w:t>g</w:t>
      </w:r>
      <w:r w:rsidRPr="002D5B70">
        <w:rPr>
          <w:rFonts w:ascii="Times New Roman" w:hAnsi="Times New Roman"/>
          <w:b/>
          <w:bCs/>
          <w:sz w:val="28"/>
          <w:szCs w:val="28"/>
        </w:rPr>
        <w:t xml:space="preserve">) </w:t>
      </w:r>
      <w:r>
        <w:rPr>
          <w:rFonts w:ascii="Times New Roman" w:hAnsi="Times New Roman"/>
          <w:b/>
          <w:bCs/>
          <w:sz w:val="28"/>
          <w:szCs w:val="28"/>
        </w:rPr>
        <w:t>Disclosure by Court Order</w:t>
      </w:r>
      <w:r w:rsidRPr="002D5B70">
        <w:rPr>
          <w:rFonts w:ascii="Times New Roman" w:hAnsi="Times New Roman"/>
          <w:b/>
          <w:bCs/>
          <w:sz w:val="28"/>
          <w:szCs w:val="28"/>
        </w:rPr>
        <w:t>.</w:t>
      </w:r>
    </w:p>
    <w:p w14:paraId="0D7255BD" w14:textId="77777777" w:rsidR="002D49CC" w:rsidRDefault="002D49CC" w:rsidP="002D49CC">
      <w:pPr>
        <w:spacing w:after="120" w:line="240" w:lineRule="auto"/>
        <w:ind w:left="360" w:right="720"/>
        <w:jc w:val="both"/>
        <w:rPr>
          <w:rFonts w:ascii="Times New Roman" w:hAnsi="Times New Roman"/>
          <w:sz w:val="28"/>
          <w:szCs w:val="28"/>
        </w:rPr>
      </w:pPr>
      <w:r w:rsidRPr="002D5B70">
        <w:rPr>
          <w:rFonts w:ascii="Times New Roman" w:hAnsi="Times New Roman"/>
          <w:sz w:val="28"/>
          <w:szCs w:val="28"/>
        </w:rPr>
        <w:t>(1)</w:t>
      </w:r>
      <w:r>
        <w:rPr>
          <w:rFonts w:ascii="Times New Roman" w:hAnsi="Times New Roman"/>
          <w:sz w:val="28"/>
          <w:szCs w:val="28"/>
        </w:rPr>
        <w:t>-(2) [no change]</w:t>
      </w:r>
    </w:p>
    <w:p w14:paraId="764FE197" w14:textId="0E12D18C" w:rsidR="002D49CC" w:rsidRPr="00F25238" w:rsidRDefault="002D49CC" w:rsidP="002D49CC">
      <w:pPr>
        <w:spacing w:after="120" w:line="240" w:lineRule="auto"/>
        <w:ind w:left="360" w:right="720"/>
        <w:jc w:val="both"/>
        <w:rPr>
          <w:rFonts w:ascii="Times New Roman" w:hAnsi="Times New Roman"/>
          <w:b/>
          <w:bCs/>
          <w:sz w:val="28"/>
          <w:szCs w:val="28"/>
          <w:u w:val="single"/>
        </w:rPr>
      </w:pPr>
      <w:r w:rsidRPr="00F25238">
        <w:rPr>
          <w:rFonts w:ascii="Times New Roman" w:hAnsi="Times New Roman"/>
          <w:b/>
          <w:bCs/>
          <w:sz w:val="28"/>
          <w:szCs w:val="28"/>
          <w:u w:val="single"/>
        </w:rPr>
        <w:t xml:space="preserve">(3) </w:t>
      </w:r>
      <w:r w:rsidRPr="00F25238">
        <w:rPr>
          <w:rFonts w:ascii="Times New Roman" w:hAnsi="Times New Roman"/>
          <w:b/>
          <w:bCs/>
          <w:i/>
          <w:iCs/>
          <w:sz w:val="28"/>
          <w:szCs w:val="28"/>
          <w:u w:val="single"/>
        </w:rPr>
        <w:t>Ex Parte Motions and Orders</w:t>
      </w:r>
      <w:r w:rsidRPr="00F25238">
        <w:rPr>
          <w:rFonts w:ascii="Times New Roman" w:hAnsi="Times New Roman"/>
          <w:b/>
          <w:bCs/>
          <w:sz w:val="28"/>
          <w:szCs w:val="28"/>
          <w:u w:val="single"/>
        </w:rPr>
        <w:t>. The court may hear and grant</w:t>
      </w:r>
      <w:r>
        <w:rPr>
          <w:rFonts w:ascii="Times New Roman" w:hAnsi="Times New Roman"/>
          <w:b/>
          <w:bCs/>
          <w:sz w:val="28"/>
          <w:szCs w:val="28"/>
          <w:u w:val="single"/>
        </w:rPr>
        <w:t xml:space="preserve"> ex parte</w:t>
      </w:r>
      <w:r w:rsidRPr="00F25238">
        <w:rPr>
          <w:rFonts w:ascii="Times New Roman" w:hAnsi="Times New Roman"/>
          <w:b/>
          <w:bCs/>
          <w:sz w:val="28"/>
          <w:szCs w:val="28"/>
          <w:u w:val="single"/>
        </w:rPr>
        <w:t xml:space="preserve"> motions filed by the defendant</w:t>
      </w:r>
      <w:r>
        <w:rPr>
          <w:rFonts w:ascii="Times New Roman" w:hAnsi="Times New Roman"/>
          <w:b/>
          <w:bCs/>
          <w:sz w:val="28"/>
          <w:szCs w:val="28"/>
          <w:u w:val="single"/>
        </w:rPr>
        <w:t xml:space="preserve"> that satisfy </w:t>
      </w:r>
      <w:r w:rsidR="000C0B48">
        <w:rPr>
          <w:rFonts w:ascii="Times New Roman" w:hAnsi="Times New Roman"/>
          <w:b/>
          <w:bCs/>
          <w:sz w:val="28"/>
          <w:szCs w:val="28"/>
          <w:u w:val="single"/>
        </w:rPr>
        <w:t xml:space="preserve">the requirements of </w:t>
      </w:r>
      <w:r>
        <w:rPr>
          <w:rFonts w:ascii="Times New Roman" w:hAnsi="Times New Roman"/>
          <w:b/>
          <w:bCs/>
          <w:sz w:val="28"/>
          <w:szCs w:val="28"/>
          <w:u w:val="single"/>
        </w:rPr>
        <w:t>subsection (g)(1) when the defendant makes a proper showing of the need for confidentiality</w:t>
      </w:r>
      <w:r w:rsidRPr="00F25238">
        <w:rPr>
          <w:rFonts w:ascii="Times New Roman" w:hAnsi="Times New Roman"/>
          <w:b/>
          <w:bCs/>
          <w:sz w:val="28"/>
          <w:szCs w:val="28"/>
          <w:u w:val="single"/>
        </w:rPr>
        <w:t xml:space="preserve">. </w:t>
      </w:r>
      <w:r>
        <w:rPr>
          <w:rFonts w:ascii="Times New Roman" w:hAnsi="Times New Roman"/>
          <w:b/>
          <w:bCs/>
          <w:sz w:val="28"/>
          <w:szCs w:val="28"/>
          <w:u w:val="single"/>
        </w:rPr>
        <w:t>T</w:t>
      </w:r>
      <w:r w:rsidRPr="00544606">
        <w:rPr>
          <w:rFonts w:ascii="Times New Roman" w:hAnsi="Times New Roman"/>
          <w:b/>
          <w:bCs/>
          <w:sz w:val="28"/>
          <w:szCs w:val="28"/>
          <w:u w:val="single"/>
        </w:rPr>
        <w:t xml:space="preserve">he </w:t>
      </w:r>
      <w:r>
        <w:rPr>
          <w:rFonts w:ascii="Times New Roman" w:hAnsi="Times New Roman"/>
          <w:b/>
          <w:bCs/>
          <w:sz w:val="28"/>
          <w:szCs w:val="28"/>
          <w:u w:val="single"/>
        </w:rPr>
        <w:t>c</w:t>
      </w:r>
      <w:r w:rsidRPr="00544606">
        <w:rPr>
          <w:rFonts w:ascii="Times New Roman" w:hAnsi="Times New Roman"/>
          <w:b/>
          <w:bCs/>
          <w:sz w:val="28"/>
          <w:szCs w:val="28"/>
          <w:u w:val="single"/>
        </w:rPr>
        <w:t>ourt must make a verbatim record of any ex parte proceeding, communication, or request.</w:t>
      </w:r>
    </w:p>
    <w:p w14:paraId="718E44F4" w14:textId="77777777" w:rsidR="002D49CC"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w:t>
      </w:r>
      <w:r>
        <w:rPr>
          <w:rFonts w:ascii="Times New Roman" w:hAnsi="Times New Roman"/>
          <w:b/>
          <w:bCs/>
          <w:sz w:val="28"/>
          <w:szCs w:val="28"/>
        </w:rPr>
        <w:t>h</w:t>
      </w:r>
      <w:r w:rsidRPr="002D5B70">
        <w:rPr>
          <w:rFonts w:ascii="Times New Roman" w:hAnsi="Times New Roman"/>
          <w:b/>
          <w:bCs/>
          <w:sz w:val="28"/>
          <w:szCs w:val="28"/>
        </w:rPr>
        <w:t>)</w:t>
      </w:r>
      <w:r>
        <w:rPr>
          <w:rFonts w:ascii="Times New Roman" w:hAnsi="Times New Roman"/>
          <w:b/>
          <w:bCs/>
          <w:sz w:val="28"/>
          <w:szCs w:val="28"/>
        </w:rPr>
        <w:t>-(j)</w:t>
      </w:r>
      <w:r w:rsidRPr="002D5B70">
        <w:rPr>
          <w:rFonts w:ascii="Times New Roman" w:hAnsi="Times New Roman"/>
          <w:b/>
          <w:bCs/>
          <w:sz w:val="28"/>
          <w:szCs w:val="28"/>
        </w:rPr>
        <w:t xml:space="preserve"> </w:t>
      </w:r>
      <w:r>
        <w:rPr>
          <w:rFonts w:ascii="Times New Roman" w:hAnsi="Times New Roman"/>
          <w:sz w:val="28"/>
          <w:szCs w:val="28"/>
        </w:rPr>
        <w:t>[no change]</w:t>
      </w:r>
    </w:p>
    <w:p w14:paraId="79F84271" w14:textId="77777777" w:rsidR="002D49CC" w:rsidRDefault="002D49CC" w:rsidP="002D49CC">
      <w:pPr>
        <w:spacing w:after="120" w:line="240" w:lineRule="auto"/>
        <w:ind w:right="720"/>
        <w:jc w:val="both"/>
        <w:rPr>
          <w:rFonts w:ascii="Times New Roman" w:hAnsi="Times New Roman"/>
          <w:sz w:val="28"/>
          <w:szCs w:val="28"/>
        </w:rPr>
      </w:pPr>
    </w:p>
    <w:p w14:paraId="4419E85B" w14:textId="77777777" w:rsidR="002D49CC" w:rsidRPr="002D5B70" w:rsidRDefault="002D49CC" w:rsidP="002D49CC">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Pr="002D5B70">
        <w:rPr>
          <w:rFonts w:ascii="Times New Roman" w:hAnsi="Times New Roman"/>
          <w:b/>
          <w:bCs/>
          <w:sz w:val="28"/>
          <w:szCs w:val="28"/>
        </w:rPr>
        <w:t xml:space="preserve"> </w:t>
      </w:r>
      <w:r>
        <w:rPr>
          <w:rFonts w:ascii="Times New Roman" w:hAnsi="Times New Roman"/>
          <w:b/>
          <w:bCs/>
          <w:sz w:val="28"/>
          <w:szCs w:val="28"/>
        </w:rPr>
        <w:t>32</w:t>
      </w:r>
      <w:r w:rsidRPr="002D5B70">
        <w:rPr>
          <w:rFonts w:ascii="Times New Roman" w:hAnsi="Times New Roman"/>
          <w:b/>
          <w:bCs/>
          <w:sz w:val="28"/>
          <w:szCs w:val="28"/>
        </w:rPr>
        <w:t>.</w:t>
      </w:r>
      <w:r>
        <w:rPr>
          <w:rFonts w:ascii="Times New Roman" w:hAnsi="Times New Roman"/>
          <w:b/>
          <w:bCs/>
          <w:sz w:val="28"/>
          <w:szCs w:val="28"/>
        </w:rPr>
        <w:t>6</w:t>
      </w:r>
    </w:p>
    <w:p w14:paraId="30F3B5EA" w14:textId="77777777" w:rsidR="002D49CC" w:rsidRDefault="002D49CC" w:rsidP="002D49CC">
      <w:pPr>
        <w:spacing w:line="240" w:lineRule="auto"/>
        <w:ind w:right="720"/>
        <w:jc w:val="both"/>
        <w:rPr>
          <w:rFonts w:ascii="Times New Roman" w:hAnsi="Times New Roman"/>
          <w:sz w:val="28"/>
          <w:szCs w:val="28"/>
        </w:rPr>
      </w:pPr>
    </w:p>
    <w:p w14:paraId="10969718" w14:textId="77777777" w:rsidR="002D49CC" w:rsidRPr="002D5B70"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sidRPr="002D5B70">
        <w:rPr>
          <w:rFonts w:ascii="Times New Roman" w:hAnsi="Times New Roman"/>
          <w:sz w:val="28"/>
          <w:szCs w:val="28"/>
        </w:rPr>
        <w:t xml:space="preserve"> </w:t>
      </w:r>
      <w:r w:rsidRPr="00B2754E">
        <w:rPr>
          <w:rFonts w:ascii="Times New Roman" w:hAnsi="Times New Roman"/>
          <w:sz w:val="28"/>
          <w:szCs w:val="28"/>
        </w:rPr>
        <w:t>[no change]</w:t>
      </w:r>
    </w:p>
    <w:p w14:paraId="7C2F3953" w14:textId="77777777" w:rsidR="002D49CC" w:rsidRPr="002D5B70"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 xml:space="preserve">(b) </w:t>
      </w:r>
      <w:r>
        <w:rPr>
          <w:rFonts w:ascii="Times New Roman" w:hAnsi="Times New Roman"/>
          <w:b/>
          <w:bCs/>
          <w:sz w:val="28"/>
          <w:szCs w:val="28"/>
        </w:rPr>
        <w:t>Discovery</w:t>
      </w:r>
      <w:r w:rsidRPr="002D5B70">
        <w:rPr>
          <w:rFonts w:ascii="Times New Roman" w:hAnsi="Times New Roman"/>
          <w:b/>
          <w:bCs/>
          <w:sz w:val="28"/>
          <w:szCs w:val="28"/>
        </w:rPr>
        <w:t>.</w:t>
      </w:r>
    </w:p>
    <w:p w14:paraId="3AB71B8A" w14:textId="77777777" w:rsidR="002D49CC" w:rsidRPr="002D5B70" w:rsidRDefault="002D49CC" w:rsidP="002D49CC">
      <w:pPr>
        <w:spacing w:after="120" w:line="240" w:lineRule="auto"/>
        <w:ind w:left="360" w:right="720"/>
        <w:jc w:val="both"/>
        <w:rPr>
          <w:rFonts w:ascii="Times New Roman" w:hAnsi="Times New Roman"/>
          <w:sz w:val="28"/>
          <w:szCs w:val="28"/>
        </w:rPr>
      </w:pPr>
      <w:r w:rsidRPr="002D5B70">
        <w:rPr>
          <w:rFonts w:ascii="Times New Roman" w:hAnsi="Times New Roman"/>
          <w:sz w:val="28"/>
          <w:szCs w:val="28"/>
        </w:rPr>
        <w:lastRenderedPageBreak/>
        <w:t>(1)</w:t>
      </w:r>
      <w:r>
        <w:rPr>
          <w:rFonts w:ascii="Times New Roman" w:hAnsi="Times New Roman"/>
          <w:sz w:val="28"/>
          <w:szCs w:val="28"/>
        </w:rPr>
        <w:t>-(2) [no change]</w:t>
      </w:r>
    </w:p>
    <w:p w14:paraId="1DA856AD" w14:textId="0EEA05FA" w:rsidR="002D49CC" w:rsidRPr="00F25238" w:rsidRDefault="002D49CC" w:rsidP="002D49CC">
      <w:pPr>
        <w:spacing w:after="120" w:line="240" w:lineRule="auto"/>
        <w:ind w:left="360" w:right="720"/>
        <w:jc w:val="both"/>
        <w:rPr>
          <w:rFonts w:ascii="Times New Roman" w:hAnsi="Times New Roman"/>
          <w:b/>
          <w:bCs/>
          <w:sz w:val="28"/>
          <w:szCs w:val="28"/>
          <w:u w:val="single"/>
        </w:rPr>
      </w:pPr>
      <w:r w:rsidRPr="00F25238">
        <w:rPr>
          <w:rFonts w:ascii="Times New Roman" w:hAnsi="Times New Roman"/>
          <w:b/>
          <w:bCs/>
          <w:sz w:val="28"/>
          <w:szCs w:val="28"/>
          <w:u w:val="single"/>
        </w:rPr>
        <w:t xml:space="preserve">(3) </w:t>
      </w:r>
      <w:r w:rsidRPr="00F25238">
        <w:rPr>
          <w:rFonts w:ascii="Times New Roman" w:hAnsi="Times New Roman"/>
          <w:b/>
          <w:bCs/>
          <w:i/>
          <w:iCs/>
          <w:sz w:val="28"/>
          <w:szCs w:val="28"/>
          <w:u w:val="single"/>
        </w:rPr>
        <w:t>Ex Parte Motions and Orders</w:t>
      </w:r>
      <w:r w:rsidRPr="00F25238">
        <w:rPr>
          <w:rFonts w:ascii="Times New Roman" w:hAnsi="Times New Roman"/>
          <w:b/>
          <w:bCs/>
          <w:sz w:val="28"/>
          <w:szCs w:val="28"/>
          <w:u w:val="single"/>
        </w:rPr>
        <w:t xml:space="preserve">. The court may hear and grant </w:t>
      </w:r>
      <w:r w:rsidRPr="00BC7A2A">
        <w:rPr>
          <w:rFonts w:ascii="Times New Roman" w:hAnsi="Times New Roman"/>
          <w:b/>
          <w:bCs/>
          <w:sz w:val="28"/>
          <w:szCs w:val="28"/>
          <w:u w:val="single"/>
        </w:rPr>
        <w:t>ex parte</w:t>
      </w:r>
      <w:r w:rsidRPr="00F25238">
        <w:rPr>
          <w:rFonts w:ascii="Times New Roman" w:hAnsi="Times New Roman"/>
          <w:b/>
          <w:bCs/>
          <w:sz w:val="28"/>
          <w:szCs w:val="28"/>
          <w:u w:val="single"/>
        </w:rPr>
        <w:t xml:space="preserve"> motions filed by the defendant</w:t>
      </w:r>
      <w:r w:rsidRPr="003C0E72">
        <w:rPr>
          <w:rFonts w:ascii="Times New Roman" w:hAnsi="Times New Roman"/>
          <w:b/>
          <w:bCs/>
          <w:sz w:val="28"/>
          <w:szCs w:val="28"/>
          <w:u w:val="single"/>
        </w:rPr>
        <w:t xml:space="preserve"> </w:t>
      </w:r>
      <w:r w:rsidR="000C0B48">
        <w:rPr>
          <w:rFonts w:ascii="Times New Roman" w:hAnsi="Times New Roman"/>
          <w:b/>
          <w:bCs/>
          <w:sz w:val="28"/>
          <w:szCs w:val="28"/>
          <w:u w:val="single"/>
        </w:rPr>
        <w:t xml:space="preserve">that satisfy the requirements of subsection (b)(1) </w:t>
      </w:r>
      <w:r>
        <w:rPr>
          <w:rFonts w:ascii="Times New Roman" w:hAnsi="Times New Roman"/>
          <w:b/>
          <w:bCs/>
          <w:sz w:val="28"/>
          <w:szCs w:val="28"/>
          <w:u w:val="single"/>
        </w:rPr>
        <w:t>when the defendant makes a proper showing of the need for confidentiality</w:t>
      </w:r>
      <w:r w:rsidRPr="00F25238">
        <w:rPr>
          <w:rFonts w:ascii="Times New Roman" w:hAnsi="Times New Roman"/>
          <w:b/>
          <w:bCs/>
          <w:sz w:val="28"/>
          <w:szCs w:val="28"/>
          <w:u w:val="single"/>
        </w:rPr>
        <w:t xml:space="preserve">. </w:t>
      </w:r>
      <w:r>
        <w:rPr>
          <w:rFonts w:ascii="Times New Roman" w:hAnsi="Times New Roman"/>
          <w:b/>
          <w:bCs/>
          <w:sz w:val="28"/>
          <w:szCs w:val="28"/>
          <w:u w:val="single"/>
        </w:rPr>
        <w:t>T</w:t>
      </w:r>
      <w:r w:rsidRPr="00544606">
        <w:rPr>
          <w:rFonts w:ascii="Times New Roman" w:hAnsi="Times New Roman"/>
          <w:b/>
          <w:bCs/>
          <w:sz w:val="28"/>
          <w:szCs w:val="28"/>
          <w:u w:val="single"/>
        </w:rPr>
        <w:t xml:space="preserve">he </w:t>
      </w:r>
      <w:r>
        <w:rPr>
          <w:rFonts w:ascii="Times New Roman" w:hAnsi="Times New Roman"/>
          <w:b/>
          <w:bCs/>
          <w:sz w:val="28"/>
          <w:szCs w:val="28"/>
          <w:u w:val="single"/>
        </w:rPr>
        <w:t>c</w:t>
      </w:r>
      <w:r w:rsidRPr="00544606">
        <w:rPr>
          <w:rFonts w:ascii="Times New Roman" w:hAnsi="Times New Roman"/>
          <w:b/>
          <w:bCs/>
          <w:sz w:val="28"/>
          <w:szCs w:val="28"/>
          <w:u w:val="single"/>
        </w:rPr>
        <w:t>ourt must make a verbatim record of any ex parte proceeding, communication, or request.</w:t>
      </w:r>
    </w:p>
    <w:p w14:paraId="5E11E0A5" w14:textId="77777777" w:rsidR="002D49CC"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(c)</w:t>
      </w:r>
      <w:r>
        <w:rPr>
          <w:rFonts w:ascii="Times New Roman" w:hAnsi="Times New Roman"/>
          <w:b/>
          <w:bCs/>
          <w:sz w:val="28"/>
          <w:szCs w:val="28"/>
        </w:rPr>
        <w:t>-(f)</w:t>
      </w:r>
      <w:r w:rsidRPr="002D5B70">
        <w:rPr>
          <w:rFonts w:ascii="Times New Roman" w:hAnsi="Times New Roman"/>
          <w:b/>
          <w:bCs/>
          <w:sz w:val="28"/>
          <w:szCs w:val="28"/>
        </w:rPr>
        <w:t xml:space="preserve"> </w:t>
      </w:r>
      <w:r>
        <w:rPr>
          <w:rFonts w:ascii="Times New Roman" w:hAnsi="Times New Roman"/>
          <w:sz w:val="28"/>
          <w:szCs w:val="28"/>
        </w:rPr>
        <w:t>[no change]</w:t>
      </w:r>
    </w:p>
    <w:p w14:paraId="6EE403D0" w14:textId="77777777" w:rsidR="002D49CC" w:rsidRDefault="002D49CC" w:rsidP="002D49CC">
      <w:pPr>
        <w:spacing w:line="240" w:lineRule="auto"/>
        <w:rPr>
          <w:rFonts w:ascii="Times New Roman" w:hAnsi="Times New Roman"/>
          <w:b/>
          <w:bCs/>
          <w:sz w:val="28"/>
          <w:szCs w:val="28"/>
        </w:rPr>
      </w:pPr>
    </w:p>
    <w:p w14:paraId="3C7335A7" w14:textId="77777777" w:rsidR="002D49CC" w:rsidRPr="002D5B70" w:rsidRDefault="002D49CC" w:rsidP="002D49CC">
      <w:pPr>
        <w:spacing w:line="240" w:lineRule="auto"/>
        <w:ind w:right="720"/>
        <w:jc w:val="both"/>
        <w:rPr>
          <w:rFonts w:ascii="Times New Roman" w:hAnsi="Times New Roman"/>
          <w:b/>
          <w:bCs/>
          <w:sz w:val="28"/>
          <w:szCs w:val="28"/>
        </w:rPr>
      </w:pPr>
      <w:r>
        <w:rPr>
          <w:rFonts w:ascii="Times New Roman" w:hAnsi="Times New Roman"/>
          <w:b/>
          <w:bCs/>
          <w:sz w:val="28"/>
          <w:szCs w:val="28"/>
        </w:rPr>
        <w:t>Ariz. R. Crim. P.</w:t>
      </w:r>
      <w:r w:rsidRPr="002D5B70">
        <w:rPr>
          <w:rFonts w:ascii="Times New Roman" w:hAnsi="Times New Roman"/>
          <w:b/>
          <w:bCs/>
          <w:sz w:val="28"/>
          <w:szCs w:val="28"/>
        </w:rPr>
        <w:t xml:space="preserve"> </w:t>
      </w:r>
      <w:r>
        <w:rPr>
          <w:rFonts w:ascii="Times New Roman" w:hAnsi="Times New Roman"/>
          <w:b/>
          <w:bCs/>
          <w:sz w:val="28"/>
          <w:szCs w:val="28"/>
        </w:rPr>
        <w:t>33</w:t>
      </w:r>
      <w:r w:rsidRPr="002D5B70">
        <w:rPr>
          <w:rFonts w:ascii="Times New Roman" w:hAnsi="Times New Roman"/>
          <w:b/>
          <w:bCs/>
          <w:sz w:val="28"/>
          <w:szCs w:val="28"/>
        </w:rPr>
        <w:t>.</w:t>
      </w:r>
      <w:r>
        <w:rPr>
          <w:rFonts w:ascii="Times New Roman" w:hAnsi="Times New Roman"/>
          <w:b/>
          <w:bCs/>
          <w:sz w:val="28"/>
          <w:szCs w:val="28"/>
        </w:rPr>
        <w:t>6</w:t>
      </w:r>
    </w:p>
    <w:p w14:paraId="2ADE2182" w14:textId="77777777" w:rsidR="002D49CC" w:rsidRDefault="002D49CC" w:rsidP="002D49CC">
      <w:pPr>
        <w:spacing w:line="240" w:lineRule="auto"/>
        <w:ind w:right="720"/>
        <w:jc w:val="both"/>
        <w:rPr>
          <w:rFonts w:ascii="Times New Roman" w:hAnsi="Times New Roman"/>
          <w:sz w:val="28"/>
          <w:szCs w:val="28"/>
        </w:rPr>
      </w:pPr>
    </w:p>
    <w:p w14:paraId="26B849E6" w14:textId="77777777" w:rsidR="002D49CC" w:rsidRPr="002D5B70"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(a)</w:t>
      </w:r>
      <w:r w:rsidRPr="002D5B70">
        <w:rPr>
          <w:rFonts w:ascii="Times New Roman" w:hAnsi="Times New Roman"/>
          <w:sz w:val="28"/>
          <w:szCs w:val="28"/>
        </w:rPr>
        <w:t xml:space="preserve"> </w:t>
      </w:r>
      <w:r w:rsidRPr="00B2754E">
        <w:rPr>
          <w:rFonts w:ascii="Times New Roman" w:hAnsi="Times New Roman"/>
          <w:sz w:val="28"/>
          <w:szCs w:val="28"/>
        </w:rPr>
        <w:t>[no change]</w:t>
      </w:r>
    </w:p>
    <w:p w14:paraId="06F7D5F3" w14:textId="77777777" w:rsidR="002D49CC" w:rsidRPr="002D5B70"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 xml:space="preserve">(b) </w:t>
      </w:r>
      <w:r>
        <w:rPr>
          <w:rFonts w:ascii="Times New Roman" w:hAnsi="Times New Roman"/>
          <w:b/>
          <w:bCs/>
          <w:sz w:val="28"/>
          <w:szCs w:val="28"/>
        </w:rPr>
        <w:t>Discovery</w:t>
      </w:r>
      <w:r w:rsidRPr="002D5B70">
        <w:rPr>
          <w:rFonts w:ascii="Times New Roman" w:hAnsi="Times New Roman"/>
          <w:b/>
          <w:bCs/>
          <w:sz w:val="28"/>
          <w:szCs w:val="28"/>
        </w:rPr>
        <w:t>.</w:t>
      </w:r>
    </w:p>
    <w:p w14:paraId="6CD77323" w14:textId="77777777" w:rsidR="002D49CC" w:rsidRPr="002D5B70" w:rsidRDefault="002D49CC" w:rsidP="002D49CC">
      <w:pPr>
        <w:spacing w:after="120" w:line="240" w:lineRule="auto"/>
        <w:ind w:left="360" w:right="720"/>
        <w:jc w:val="both"/>
        <w:rPr>
          <w:rFonts w:ascii="Times New Roman" w:hAnsi="Times New Roman"/>
          <w:sz w:val="28"/>
          <w:szCs w:val="28"/>
        </w:rPr>
      </w:pPr>
      <w:r w:rsidRPr="002D5B70">
        <w:rPr>
          <w:rFonts w:ascii="Times New Roman" w:hAnsi="Times New Roman"/>
          <w:sz w:val="28"/>
          <w:szCs w:val="28"/>
        </w:rPr>
        <w:t>(1)</w:t>
      </w:r>
      <w:r>
        <w:rPr>
          <w:rFonts w:ascii="Times New Roman" w:hAnsi="Times New Roman"/>
          <w:sz w:val="28"/>
          <w:szCs w:val="28"/>
        </w:rPr>
        <w:t>-(2) [no change]</w:t>
      </w:r>
    </w:p>
    <w:p w14:paraId="2068F7D5" w14:textId="42F40CFB" w:rsidR="002D49CC" w:rsidRPr="00F25238" w:rsidRDefault="002D49CC" w:rsidP="002D49CC">
      <w:pPr>
        <w:spacing w:after="120" w:line="240" w:lineRule="auto"/>
        <w:ind w:left="360" w:right="720"/>
        <w:jc w:val="both"/>
        <w:rPr>
          <w:rFonts w:ascii="Times New Roman" w:hAnsi="Times New Roman"/>
          <w:b/>
          <w:bCs/>
          <w:sz w:val="28"/>
          <w:szCs w:val="28"/>
          <w:u w:val="single"/>
        </w:rPr>
      </w:pPr>
      <w:r w:rsidRPr="00F25238">
        <w:rPr>
          <w:rFonts w:ascii="Times New Roman" w:hAnsi="Times New Roman"/>
          <w:b/>
          <w:bCs/>
          <w:sz w:val="28"/>
          <w:szCs w:val="28"/>
          <w:u w:val="single"/>
        </w:rPr>
        <w:t xml:space="preserve">(3) </w:t>
      </w:r>
      <w:r w:rsidRPr="00F25238">
        <w:rPr>
          <w:rFonts w:ascii="Times New Roman" w:hAnsi="Times New Roman"/>
          <w:b/>
          <w:bCs/>
          <w:i/>
          <w:iCs/>
          <w:sz w:val="28"/>
          <w:szCs w:val="28"/>
          <w:u w:val="single"/>
        </w:rPr>
        <w:t>Ex Parte Motions and Orders</w:t>
      </w:r>
      <w:r w:rsidRPr="00F25238">
        <w:rPr>
          <w:rFonts w:ascii="Times New Roman" w:hAnsi="Times New Roman"/>
          <w:b/>
          <w:bCs/>
          <w:sz w:val="28"/>
          <w:szCs w:val="28"/>
          <w:u w:val="single"/>
        </w:rPr>
        <w:t xml:space="preserve">. The court may hear and grant </w:t>
      </w:r>
      <w:r w:rsidRPr="00BC7A2A">
        <w:rPr>
          <w:rFonts w:ascii="Times New Roman" w:hAnsi="Times New Roman"/>
          <w:b/>
          <w:bCs/>
          <w:sz w:val="28"/>
          <w:szCs w:val="28"/>
          <w:u w:val="single"/>
        </w:rPr>
        <w:t>ex parte</w:t>
      </w:r>
      <w:r w:rsidRPr="00F25238">
        <w:rPr>
          <w:rFonts w:ascii="Times New Roman" w:hAnsi="Times New Roman"/>
          <w:b/>
          <w:bCs/>
          <w:sz w:val="28"/>
          <w:szCs w:val="28"/>
          <w:u w:val="single"/>
        </w:rPr>
        <w:t xml:space="preserve"> motions filed by the defendant</w:t>
      </w:r>
      <w:r w:rsidRPr="003C0E72">
        <w:rPr>
          <w:rFonts w:ascii="Times New Roman" w:hAnsi="Times New Roman"/>
          <w:b/>
          <w:bCs/>
          <w:sz w:val="28"/>
          <w:szCs w:val="28"/>
          <w:u w:val="single"/>
        </w:rPr>
        <w:t xml:space="preserve"> </w:t>
      </w:r>
      <w:r w:rsidR="000C0B48">
        <w:rPr>
          <w:rFonts w:ascii="Times New Roman" w:hAnsi="Times New Roman"/>
          <w:b/>
          <w:bCs/>
          <w:sz w:val="28"/>
          <w:szCs w:val="28"/>
          <w:u w:val="single"/>
        </w:rPr>
        <w:t xml:space="preserve">that satisfy the requirements of subsection (b)(1) </w:t>
      </w:r>
      <w:r>
        <w:rPr>
          <w:rFonts w:ascii="Times New Roman" w:hAnsi="Times New Roman"/>
          <w:b/>
          <w:bCs/>
          <w:sz w:val="28"/>
          <w:szCs w:val="28"/>
          <w:u w:val="single"/>
        </w:rPr>
        <w:t>when the defendant makes a proper showing of the need for confidentiality</w:t>
      </w:r>
      <w:r w:rsidRPr="00F25238">
        <w:rPr>
          <w:rFonts w:ascii="Times New Roman" w:hAnsi="Times New Roman"/>
          <w:b/>
          <w:bCs/>
          <w:sz w:val="28"/>
          <w:szCs w:val="28"/>
          <w:u w:val="single"/>
        </w:rPr>
        <w:t xml:space="preserve">. </w:t>
      </w:r>
      <w:r>
        <w:rPr>
          <w:rFonts w:ascii="Times New Roman" w:hAnsi="Times New Roman"/>
          <w:b/>
          <w:bCs/>
          <w:sz w:val="28"/>
          <w:szCs w:val="28"/>
          <w:u w:val="single"/>
        </w:rPr>
        <w:t>T</w:t>
      </w:r>
      <w:r w:rsidRPr="00544606">
        <w:rPr>
          <w:rFonts w:ascii="Times New Roman" w:hAnsi="Times New Roman"/>
          <w:b/>
          <w:bCs/>
          <w:sz w:val="28"/>
          <w:szCs w:val="28"/>
          <w:u w:val="single"/>
        </w:rPr>
        <w:t xml:space="preserve">he </w:t>
      </w:r>
      <w:r>
        <w:rPr>
          <w:rFonts w:ascii="Times New Roman" w:hAnsi="Times New Roman"/>
          <w:b/>
          <w:bCs/>
          <w:sz w:val="28"/>
          <w:szCs w:val="28"/>
          <w:u w:val="single"/>
        </w:rPr>
        <w:t>c</w:t>
      </w:r>
      <w:r w:rsidRPr="00544606">
        <w:rPr>
          <w:rFonts w:ascii="Times New Roman" w:hAnsi="Times New Roman"/>
          <w:b/>
          <w:bCs/>
          <w:sz w:val="28"/>
          <w:szCs w:val="28"/>
          <w:u w:val="single"/>
        </w:rPr>
        <w:t>ourt must make a verbatim record of any ex parte proceeding, communication, or request.</w:t>
      </w:r>
    </w:p>
    <w:p w14:paraId="75F8726E" w14:textId="77777777" w:rsidR="002D49CC" w:rsidRDefault="002D49CC" w:rsidP="002D49CC">
      <w:pPr>
        <w:spacing w:after="120" w:line="240" w:lineRule="auto"/>
        <w:ind w:right="720"/>
        <w:jc w:val="both"/>
        <w:rPr>
          <w:rFonts w:ascii="Times New Roman" w:hAnsi="Times New Roman"/>
          <w:sz w:val="28"/>
          <w:szCs w:val="28"/>
        </w:rPr>
      </w:pPr>
      <w:r w:rsidRPr="002D5B70">
        <w:rPr>
          <w:rFonts w:ascii="Times New Roman" w:hAnsi="Times New Roman"/>
          <w:b/>
          <w:bCs/>
          <w:sz w:val="28"/>
          <w:szCs w:val="28"/>
        </w:rPr>
        <w:t>(c)</w:t>
      </w:r>
      <w:r>
        <w:rPr>
          <w:rFonts w:ascii="Times New Roman" w:hAnsi="Times New Roman"/>
          <w:b/>
          <w:bCs/>
          <w:sz w:val="28"/>
          <w:szCs w:val="28"/>
        </w:rPr>
        <w:t>-(f)</w:t>
      </w:r>
      <w:r w:rsidRPr="002D5B70">
        <w:rPr>
          <w:rFonts w:ascii="Times New Roman" w:hAnsi="Times New Roman"/>
          <w:b/>
          <w:bCs/>
          <w:sz w:val="28"/>
          <w:szCs w:val="28"/>
        </w:rPr>
        <w:t xml:space="preserve"> </w:t>
      </w:r>
      <w:r>
        <w:rPr>
          <w:rFonts w:ascii="Times New Roman" w:hAnsi="Times New Roman"/>
          <w:sz w:val="28"/>
          <w:szCs w:val="28"/>
        </w:rPr>
        <w:t>[no change]</w:t>
      </w:r>
    </w:p>
    <w:p w14:paraId="574ACDCF" w14:textId="77777777" w:rsidR="002D49CC" w:rsidRPr="002D5B70" w:rsidRDefault="002D49CC" w:rsidP="002D49CC">
      <w:pPr>
        <w:spacing w:after="120" w:line="240" w:lineRule="auto"/>
        <w:ind w:right="720"/>
        <w:jc w:val="both"/>
        <w:rPr>
          <w:rFonts w:ascii="Times New Roman" w:hAnsi="Times New Roman"/>
          <w:sz w:val="28"/>
          <w:szCs w:val="28"/>
        </w:rPr>
      </w:pPr>
    </w:p>
    <w:p w14:paraId="6BC6751C" w14:textId="77777777" w:rsidR="002D49CC" w:rsidRDefault="002D49CC" w:rsidP="002D49CC">
      <w:pPr>
        <w:spacing w:line="240" w:lineRule="auto"/>
        <w:ind w:left="720" w:right="720"/>
        <w:jc w:val="both"/>
        <w:rPr>
          <w:rFonts w:ascii="Times New Roman" w:hAnsi="Times New Roman"/>
          <w:sz w:val="28"/>
          <w:szCs w:val="28"/>
        </w:rPr>
      </w:pPr>
    </w:p>
    <w:p w14:paraId="37879721" w14:textId="77777777" w:rsidR="002D49CC" w:rsidRDefault="002D49CC" w:rsidP="002D49CC">
      <w:pPr>
        <w:spacing w:line="240" w:lineRule="auto"/>
        <w:ind w:left="720" w:right="720"/>
        <w:jc w:val="both"/>
        <w:rPr>
          <w:rFonts w:ascii="Times New Roman" w:hAnsi="Times New Roman"/>
          <w:sz w:val="28"/>
          <w:szCs w:val="28"/>
        </w:rPr>
      </w:pPr>
    </w:p>
    <w:p w14:paraId="67BD8C73" w14:textId="77777777" w:rsidR="002D49CC" w:rsidRDefault="002D49CC" w:rsidP="002D49CC">
      <w:pPr>
        <w:spacing w:line="240" w:lineRule="auto"/>
        <w:rPr>
          <w:rFonts w:ascii="Times New Roman" w:hAnsi="Times New Roman"/>
          <w:sz w:val="28"/>
          <w:szCs w:val="28"/>
        </w:rPr>
      </w:pPr>
    </w:p>
    <w:p w14:paraId="6DC21235" w14:textId="77777777" w:rsidR="002D49CC" w:rsidRDefault="002D49CC" w:rsidP="002D49CC">
      <w:pPr>
        <w:spacing w:line="240" w:lineRule="auto"/>
        <w:rPr>
          <w:rFonts w:ascii="Times New Roman" w:hAnsi="Times New Roman"/>
          <w:sz w:val="28"/>
          <w:szCs w:val="28"/>
        </w:rPr>
      </w:pPr>
    </w:p>
    <w:p w14:paraId="4E74A24A" w14:textId="77777777" w:rsidR="002D5B70" w:rsidRDefault="002D5B70">
      <w:pPr>
        <w:spacing w:line="240" w:lineRule="auto"/>
        <w:rPr>
          <w:rFonts w:ascii="Times New Roman" w:hAnsi="Times New Roman"/>
          <w:sz w:val="28"/>
          <w:szCs w:val="28"/>
        </w:rPr>
      </w:pPr>
    </w:p>
    <w:sectPr w:rsidR="002D5B70"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5817" w14:textId="77777777" w:rsidR="0044662F" w:rsidRDefault="0044662F">
      <w:r>
        <w:separator/>
      </w:r>
    </w:p>
  </w:endnote>
  <w:endnote w:type="continuationSeparator" w:id="0">
    <w:p w14:paraId="68A7E902" w14:textId="77777777" w:rsidR="0044662F" w:rsidRDefault="0044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FA4D" w14:textId="77777777" w:rsidR="0044662F" w:rsidRDefault="0044662F">
      <w:r>
        <w:separator/>
      </w:r>
    </w:p>
  </w:footnote>
  <w:footnote w:type="continuationSeparator" w:id="0">
    <w:p w14:paraId="04A2CA31" w14:textId="77777777" w:rsidR="0044662F" w:rsidRDefault="0044662F">
      <w:r>
        <w:continuationSeparator/>
      </w:r>
    </w:p>
  </w:footnote>
  <w:footnote w:id="1">
    <w:p w14:paraId="1D62C8C6" w14:textId="799F074A" w:rsidR="00BA2639" w:rsidRPr="00EE3B6B" w:rsidRDefault="00BA2639" w:rsidP="00BA2639">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Smith’s counsel also suggested depublication. </w:t>
      </w:r>
      <w:r w:rsidRPr="00BA2639">
        <w:rPr>
          <w:rFonts w:ascii="Times New Roman" w:hAnsi="Times New Roman"/>
          <w:i/>
          <w:iCs/>
          <w:sz w:val="28"/>
          <w:szCs w:val="28"/>
        </w:rPr>
        <w:t>State v. Smith</w:t>
      </w:r>
      <w:r>
        <w:rPr>
          <w:rFonts w:ascii="Times New Roman" w:hAnsi="Times New Roman"/>
          <w:sz w:val="28"/>
          <w:szCs w:val="28"/>
        </w:rPr>
        <w:t>, CR-,26-0008-PR, Petition for Review at 3, 8, 20.</w:t>
      </w:r>
    </w:p>
  </w:footnote>
  <w:footnote w:id="2">
    <w:p w14:paraId="53E5D03F" w14:textId="11DA4B74" w:rsidR="001D4A8E" w:rsidRPr="00EE3B6B" w:rsidRDefault="001D4A8E" w:rsidP="001D4A8E">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sidRPr="001D4A8E">
        <w:rPr>
          <w:rFonts w:ascii="Times New Roman" w:hAnsi="Times New Roman"/>
          <w:i/>
          <w:iCs/>
          <w:sz w:val="28"/>
          <w:szCs w:val="28"/>
        </w:rPr>
        <w:t>Daubert v. Merrell Dow Pharmaceuticals</w:t>
      </w:r>
      <w:r>
        <w:rPr>
          <w:rFonts w:ascii="Times New Roman" w:hAnsi="Times New Roman"/>
          <w:sz w:val="28"/>
          <w:szCs w:val="28"/>
        </w:rPr>
        <w:t>, 509 U.S. 579 (1993).</w:t>
      </w:r>
    </w:p>
  </w:footnote>
  <w:footnote w:id="3">
    <w:p w14:paraId="19BB5BF0" w14:textId="4E7FC2B5" w:rsidR="00BA5195" w:rsidRPr="00EE3B6B" w:rsidRDefault="00BA5195" w:rsidP="00BA5195">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MCAO makes similar points but does not urge </w:t>
      </w:r>
      <w:r w:rsidR="00E0481E">
        <w:rPr>
          <w:rFonts w:ascii="Times New Roman" w:hAnsi="Times New Roman"/>
          <w:sz w:val="28"/>
          <w:szCs w:val="28"/>
        </w:rPr>
        <w:t>as directly as AGO that such ex parte hearings violate the requirement of open proceedings</w:t>
      </w:r>
      <w:r>
        <w:rPr>
          <w:rFonts w:ascii="Times New Roman" w:hAnsi="Times New Roman"/>
          <w:sz w:val="28"/>
          <w:szCs w:val="28"/>
        </w:rPr>
        <w:t>.</w:t>
      </w:r>
      <w:r w:rsidR="00E0481E">
        <w:rPr>
          <w:rFonts w:ascii="Times New Roman" w:hAnsi="Times New Roman"/>
          <w:sz w:val="28"/>
          <w:szCs w:val="28"/>
        </w:rPr>
        <w:t xml:space="preserve"> MCAO Comment at 12.</w:t>
      </w:r>
    </w:p>
  </w:footnote>
  <w:footnote w:id="4">
    <w:p w14:paraId="5860B584" w14:textId="77777777" w:rsidR="00863E5A" w:rsidRPr="00EE3B6B" w:rsidRDefault="00863E5A" w:rsidP="00863E5A">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The acronym stands for “the exciting game without any rules,” which is featured in the novel and film </w:t>
      </w:r>
      <w:r w:rsidRPr="004A0A97">
        <w:rPr>
          <w:rFonts w:ascii="Times New Roman" w:hAnsi="Times New Roman"/>
          <w:i/>
          <w:iCs/>
          <w:sz w:val="28"/>
          <w:szCs w:val="28"/>
        </w:rPr>
        <w:t>Bang The Drum Slowly</w:t>
      </w:r>
      <w:r>
        <w:rPr>
          <w:rFonts w:ascii="Times New Roman" w:hAnsi="Times New Roman"/>
          <w:sz w:val="28"/>
          <w:szCs w:val="28"/>
        </w:rPr>
        <w:t>.</w:t>
      </w:r>
    </w:p>
  </w:footnote>
  <w:footnote w:id="5">
    <w:p w14:paraId="1FCA3F61" w14:textId="77777777" w:rsidR="002765A0" w:rsidRPr="00EE3B6B" w:rsidRDefault="002765A0" w:rsidP="002765A0">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The judge whose orders were challenged, Hon. Jennifer Green, authored the Maricopa County Superior Court comment to this petition.</w:t>
      </w:r>
    </w:p>
  </w:footnote>
  <w:footnote w:id="6">
    <w:p w14:paraId="494173D0" w14:textId="77777777" w:rsidR="002D49CC" w:rsidRPr="00EE3B6B" w:rsidRDefault="002D49CC" w:rsidP="002D49CC">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Changes or additions in rule text are indicated by </w:t>
      </w:r>
      <w:r w:rsidRPr="003A2C4F">
        <w:rPr>
          <w:rFonts w:ascii="Times New Roman" w:hAnsi="Times New Roman"/>
          <w:b/>
          <w:bCs/>
          <w:sz w:val="28"/>
          <w:szCs w:val="28"/>
          <w:u w:val="single"/>
        </w:rPr>
        <w:t>bold underscoring</w:t>
      </w:r>
      <w:r>
        <w:rPr>
          <w:rFonts w:ascii="Times New Roman" w:hAnsi="Times New Roman"/>
          <w:sz w:val="28"/>
          <w:szCs w:val="28"/>
        </w:rPr>
        <w:t xml:space="preserve"> and deletions from text are indicated by </w:t>
      </w:r>
      <w:r w:rsidRPr="003A2C4F">
        <w:rPr>
          <w:rFonts w:ascii="Times New Roman" w:hAnsi="Times New Roman"/>
          <w:strike/>
          <w:sz w:val="28"/>
          <w:szCs w:val="28"/>
        </w:rPr>
        <w:t>strikeouts</w:t>
      </w:r>
      <w:r w:rsidRPr="00B16084">
        <w:rPr>
          <w:rFonts w:ascii="Times New Roman" w:hAnsi="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159C6"/>
    <w:multiLevelType w:val="hybridMultilevel"/>
    <w:tmpl w:val="2F84499A"/>
    <w:lvl w:ilvl="0" w:tplc="906E52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1"/>
  </w:num>
  <w:num w:numId="2" w16cid:durableId="469400166">
    <w:abstractNumId w:val="0"/>
  </w:num>
  <w:num w:numId="3" w16cid:durableId="626275486">
    <w:abstractNumId w:val="4"/>
  </w:num>
  <w:num w:numId="4" w16cid:durableId="1237518553">
    <w:abstractNumId w:val="3"/>
  </w:num>
  <w:num w:numId="5" w16cid:durableId="1732536459">
    <w:abstractNumId w:val="8"/>
  </w:num>
  <w:num w:numId="6" w16cid:durableId="1378436400">
    <w:abstractNumId w:val="10"/>
  </w:num>
  <w:num w:numId="7" w16cid:durableId="991374513">
    <w:abstractNumId w:val="5"/>
  </w:num>
  <w:num w:numId="8" w16cid:durableId="1700660638">
    <w:abstractNumId w:val="7"/>
  </w:num>
  <w:num w:numId="9" w16cid:durableId="212810470">
    <w:abstractNumId w:val="11"/>
  </w:num>
  <w:num w:numId="10" w16cid:durableId="154299559">
    <w:abstractNumId w:val="6"/>
  </w:num>
  <w:num w:numId="11" w16cid:durableId="2139762203">
    <w:abstractNumId w:val="9"/>
  </w:num>
  <w:num w:numId="12" w16cid:durableId="19803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0C55"/>
    <w:rsid w:val="000170EA"/>
    <w:rsid w:val="00017AB0"/>
    <w:rsid w:val="00030DFC"/>
    <w:rsid w:val="00033485"/>
    <w:rsid w:val="000347CF"/>
    <w:rsid w:val="00036CF2"/>
    <w:rsid w:val="00041822"/>
    <w:rsid w:val="000506CE"/>
    <w:rsid w:val="00050775"/>
    <w:rsid w:val="000539C9"/>
    <w:rsid w:val="00054624"/>
    <w:rsid w:val="000574A7"/>
    <w:rsid w:val="00057960"/>
    <w:rsid w:val="000759BB"/>
    <w:rsid w:val="000763D7"/>
    <w:rsid w:val="00076CBE"/>
    <w:rsid w:val="00081CF8"/>
    <w:rsid w:val="00092D1D"/>
    <w:rsid w:val="00094BC9"/>
    <w:rsid w:val="00095786"/>
    <w:rsid w:val="000B0BFE"/>
    <w:rsid w:val="000B1D0D"/>
    <w:rsid w:val="000B3D5C"/>
    <w:rsid w:val="000B58EF"/>
    <w:rsid w:val="000C0B48"/>
    <w:rsid w:val="000D50D4"/>
    <w:rsid w:val="000E2821"/>
    <w:rsid w:val="000E6C47"/>
    <w:rsid w:val="000E7FAC"/>
    <w:rsid w:val="000F7DEE"/>
    <w:rsid w:val="001029B6"/>
    <w:rsid w:val="00111A1A"/>
    <w:rsid w:val="00117CB3"/>
    <w:rsid w:val="0012054D"/>
    <w:rsid w:val="00125A1E"/>
    <w:rsid w:val="001269D9"/>
    <w:rsid w:val="001279AC"/>
    <w:rsid w:val="00135446"/>
    <w:rsid w:val="001376AD"/>
    <w:rsid w:val="00141C61"/>
    <w:rsid w:val="00147D21"/>
    <w:rsid w:val="00147D30"/>
    <w:rsid w:val="001516C5"/>
    <w:rsid w:val="0016125C"/>
    <w:rsid w:val="0016382F"/>
    <w:rsid w:val="0017388B"/>
    <w:rsid w:val="00175B0A"/>
    <w:rsid w:val="00176A8B"/>
    <w:rsid w:val="00186903"/>
    <w:rsid w:val="00190113"/>
    <w:rsid w:val="00190EF0"/>
    <w:rsid w:val="001B24C6"/>
    <w:rsid w:val="001B408E"/>
    <w:rsid w:val="001C015F"/>
    <w:rsid w:val="001C02C6"/>
    <w:rsid w:val="001C15B6"/>
    <w:rsid w:val="001C2BDE"/>
    <w:rsid w:val="001C30CE"/>
    <w:rsid w:val="001C60A4"/>
    <w:rsid w:val="001D0E6C"/>
    <w:rsid w:val="001D4A8E"/>
    <w:rsid w:val="001D6DE1"/>
    <w:rsid w:val="001E5CF9"/>
    <w:rsid w:val="001E71F1"/>
    <w:rsid w:val="001E724D"/>
    <w:rsid w:val="001F6288"/>
    <w:rsid w:val="001F6A49"/>
    <w:rsid w:val="00205E43"/>
    <w:rsid w:val="002076F9"/>
    <w:rsid w:val="00212A3C"/>
    <w:rsid w:val="00221A90"/>
    <w:rsid w:val="00221BCC"/>
    <w:rsid w:val="00230545"/>
    <w:rsid w:val="002330B7"/>
    <w:rsid w:val="00235C89"/>
    <w:rsid w:val="0023620C"/>
    <w:rsid w:val="00242A00"/>
    <w:rsid w:val="00246527"/>
    <w:rsid w:val="00246DD5"/>
    <w:rsid w:val="00253A0B"/>
    <w:rsid w:val="00254750"/>
    <w:rsid w:val="00255E07"/>
    <w:rsid w:val="00261905"/>
    <w:rsid w:val="00270D03"/>
    <w:rsid w:val="0027258D"/>
    <w:rsid w:val="002728CA"/>
    <w:rsid w:val="002763F8"/>
    <w:rsid w:val="002765A0"/>
    <w:rsid w:val="0028428F"/>
    <w:rsid w:val="00284E5B"/>
    <w:rsid w:val="00285283"/>
    <w:rsid w:val="002A24BA"/>
    <w:rsid w:val="002A292D"/>
    <w:rsid w:val="002A3420"/>
    <w:rsid w:val="002B25D2"/>
    <w:rsid w:val="002B5B1B"/>
    <w:rsid w:val="002C0EDD"/>
    <w:rsid w:val="002C54D2"/>
    <w:rsid w:val="002C660A"/>
    <w:rsid w:val="002D17D1"/>
    <w:rsid w:val="002D49CC"/>
    <w:rsid w:val="002D5B70"/>
    <w:rsid w:val="002E1CE4"/>
    <w:rsid w:val="002E545E"/>
    <w:rsid w:val="002F1FBD"/>
    <w:rsid w:val="002F33EF"/>
    <w:rsid w:val="002F381E"/>
    <w:rsid w:val="00304745"/>
    <w:rsid w:val="00304EAE"/>
    <w:rsid w:val="003055A7"/>
    <w:rsid w:val="00305778"/>
    <w:rsid w:val="00305CB1"/>
    <w:rsid w:val="00311552"/>
    <w:rsid w:val="003126FA"/>
    <w:rsid w:val="00313AAF"/>
    <w:rsid w:val="00325AFE"/>
    <w:rsid w:val="00351280"/>
    <w:rsid w:val="00356285"/>
    <w:rsid w:val="00357C78"/>
    <w:rsid w:val="003658D4"/>
    <w:rsid w:val="003732CB"/>
    <w:rsid w:val="00380B0B"/>
    <w:rsid w:val="003A04C5"/>
    <w:rsid w:val="003A17DA"/>
    <w:rsid w:val="003A2343"/>
    <w:rsid w:val="003A346F"/>
    <w:rsid w:val="003A63AE"/>
    <w:rsid w:val="003B1425"/>
    <w:rsid w:val="003C0DA2"/>
    <w:rsid w:val="003C0E72"/>
    <w:rsid w:val="003C15EA"/>
    <w:rsid w:val="003C3629"/>
    <w:rsid w:val="003C4E9C"/>
    <w:rsid w:val="003C6246"/>
    <w:rsid w:val="003E2041"/>
    <w:rsid w:val="003E5927"/>
    <w:rsid w:val="003F0BA1"/>
    <w:rsid w:val="0041282A"/>
    <w:rsid w:val="0041704C"/>
    <w:rsid w:val="00417063"/>
    <w:rsid w:val="00420CBC"/>
    <w:rsid w:val="00421E9E"/>
    <w:rsid w:val="00434444"/>
    <w:rsid w:val="004373DA"/>
    <w:rsid w:val="004434F1"/>
    <w:rsid w:val="00444BE7"/>
    <w:rsid w:val="0044662F"/>
    <w:rsid w:val="00451F00"/>
    <w:rsid w:val="00454AE0"/>
    <w:rsid w:val="00461B86"/>
    <w:rsid w:val="0047497F"/>
    <w:rsid w:val="0047668E"/>
    <w:rsid w:val="00485FAA"/>
    <w:rsid w:val="00493A61"/>
    <w:rsid w:val="004963BA"/>
    <w:rsid w:val="004A0A97"/>
    <w:rsid w:val="004A2829"/>
    <w:rsid w:val="004A6D42"/>
    <w:rsid w:val="004B1E47"/>
    <w:rsid w:val="004B3410"/>
    <w:rsid w:val="004B6D4E"/>
    <w:rsid w:val="004B74D0"/>
    <w:rsid w:val="004B7790"/>
    <w:rsid w:val="004C1845"/>
    <w:rsid w:val="004C380E"/>
    <w:rsid w:val="004C4953"/>
    <w:rsid w:val="004C7133"/>
    <w:rsid w:val="004D1A54"/>
    <w:rsid w:val="004D27BC"/>
    <w:rsid w:val="004D72A3"/>
    <w:rsid w:val="004E66AE"/>
    <w:rsid w:val="004E6839"/>
    <w:rsid w:val="004F30AF"/>
    <w:rsid w:val="004F3B51"/>
    <w:rsid w:val="004F5419"/>
    <w:rsid w:val="004F7AA2"/>
    <w:rsid w:val="00502211"/>
    <w:rsid w:val="00512EB9"/>
    <w:rsid w:val="00515CB2"/>
    <w:rsid w:val="005252FB"/>
    <w:rsid w:val="005262D3"/>
    <w:rsid w:val="00544606"/>
    <w:rsid w:val="0054468B"/>
    <w:rsid w:val="005453BE"/>
    <w:rsid w:val="00545621"/>
    <w:rsid w:val="00553515"/>
    <w:rsid w:val="005552C9"/>
    <w:rsid w:val="00556A2D"/>
    <w:rsid w:val="00565858"/>
    <w:rsid w:val="00576BDD"/>
    <w:rsid w:val="00591D0E"/>
    <w:rsid w:val="005924A7"/>
    <w:rsid w:val="0059774B"/>
    <w:rsid w:val="005A168E"/>
    <w:rsid w:val="005A4413"/>
    <w:rsid w:val="005B0C4F"/>
    <w:rsid w:val="005B2350"/>
    <w:rsid w:val="005B53BE"/>
    <w:rsid w:val="005B629E"/>
    <w:rsid w:val="005B7899"/>
    <w:rsid w:val="005C109B"/>
    <w:rsid w:val="005C6E61"/>
    <w:rsid w:val="005D06D5"/>
    <w:rsid w:val="005D186C"/>
    <w:rsid w:val="005D21EF"/>
    <w:rsid w:val="005D441D"/>
    <w:rsid w:val="005D7DCC"/>
    <w:rsid w:val="005E11F3"/>
    <w:rsid w:val="005E5101"/>
    <w:rsid w:val="005E540F"/>
    <w:rsid w:val="005F0195"/>
    <w:rsid w:val="005F145E"/>
    <w:rsid w:val="005F4669"/>
    <w:rsid w:val="0060208D"/>
    <w:rsid w:val="006068F4"/>
    <w:rsid w:val="0061055B"/>
    <w:rsid w:val="006114B6"/>
    <w:rsid w:val="006235B5"/>
    <w:rsid w:val="0062703F"/>
    <w:rsid w:val="00627605"/>
    <w:rsid w:val="00627DBE"/>
    <w:rsid w:val="00635786"/>
    <w:rsid w:val="006378F2"/>
    <w:rsid w:val="006463AE"/>
    <w:rsid w:val="00646589"/>
    <w:rsid w:val="0065115E"/>
    <w:rsid w:val="00653819"/>
    <w:rsid w:val="00656061"/>
    <w:rsid w:val="006578B2"/>
    <w:rsid w:val="00661A6D"/>
    <w:rsid w:val="00666490"/>
    <w:rsid w:val="00667E17"/>
    <w:rsid w:val="006701AA"/>
    <w:rsid w:val="00671A36"/>
    <w:rsid w:val="00674178"/>
    <w:rsid w:val="006806D6"/>
    <w:rsid w:val="00692962"/>
    <w:rsid w:val="006A5A66"/>
    <w:rsid w:val="006A5B27"/>
    <w:rsid w:val="006B2625"/>
    <w:rsid w:val="006C0F08"/>
    <w:rsid w:val="006C13BF"/>
    <w:rsid w:val="006C2808"/>
    <w:rsid w:val="006C5B68"/>
    <w:rsid w:val="006C648E"/>
    <w:rsid w:val="006D1C00"/>
    <w:rsid w:val="006D4397"/>
    <w:rsid w:val="006D4E43"/>
    <w:rsid w:val="006D7172"/>
    <w:rsid w:val="006E34AB"/>
    <w:rsid w:val="006F5562"/>
    <w:rsid w:val="006F594D"/>
    <w:rsid w:val="006F6CD5"/>
    <w:rsid w:val="006F6FA9"/>
    <w:rsid w:val="00701CE7"/>
    <w:rsid w:val="0070604A"/>
    <w:rsid w:val="00707C55"/>
    <w:rsid w:val="007109BB"/>
    <w:rsid w:val="00714CCA"/>
    <w:rsid w:val="00716D4F"/>
    <w:rsid w:val="00720596"/>
    <w:rsid w:val="00722022"/>
    <w:rsid w:val="00733C8C"/>
    <w:rsid w:val="00734F6C"/>
    <w:rsid w:val="007378AF"/>
    <w:rsid w:val="00741690"/>
    <w:rsid w:val="00744748"/>
    <w:rsid w:val="0075078C"/>
    <w:rsid w:val="00757D2B"/>
    <w:rsid w:val="00760549"/>
    <w:rsid w:val="007626EF"/>
    <w:rsid w:val="00764591"/>
    <w:rsid w:val="00765DAF"/>
    <w:rsid w:val="007669E7"/>
    <w:rsid w:val="00781317"/>
    <w:rsid w:val="00783BC1"/>
    <w:rsid w:val="00784A24"/>
    <w:rsid w:val="00785725"/>
    <w:rsid w:val="007862DA"/>
    <w:rsid w:val="00787905"/>
    <w:rsid w:val="0079016E"/>
    <w:rsid w:val="00794743"/>
    <w:rsid w:val="007973A8"/>
    <w:rsid w:val="007A0E60"/>
    <w:rsid w:val="007A3B11"/>
    <w:rsid w:val="007A5AD8"/>
    <w:rsid w:val="007B4B94"/>
    <w:rsid w:val="007C17AC"/>
    <w:rsid w:val="007C406B"/>
    <w:rsid w:val="007C49F9"/>
    <w:rsid w:val="007D2D04"/>
    <w:rsid w:val="007E0020"/>
    <w:rsid w:val="007E229C"/>
    <w:rsid w:val="007E521F"/>
    <w:rsid w:val="007F091F"/>
    <w:rsid w:val="007F35A8"/>
    <w:rsid w:val="008022E2"/>
    <w:rsid w:val="00802B79"/>
    <w:rsid w:val="00806D9C"/>
    <w:rsid w:val="0081372C"/>
    <w:rsid w:val="00814F81"/>
    <w:rsid w:val="0081534B"/>
    <w:rsid w:val="00817FAF"/>
    <w:rsid w:val="00821C2B"/>
    <w:rsid w:val="008247B5"/>
    <w:rsid w:val="008272AA"/>
    <w:rsid w:val="00830B14"/>
    <w:rsid w:val="00831FE6"/>
    <w:rsid w:val="0083406F"/>
    <w:rsid w:val="00836008"/>
    <w:rsid w:val="008367DA"/>
    <w:rsid w:val="00836F61"/>
    <w:rsid w:val="00837F26"/>
    <w:rsid w:val="008409ED"/>
    <w:rsid w:val="00840EFC"/>
    <w:rsid w:val="00841AB1"/>
    <w:rsid w:val="008425DB"/>
    <w:rsid w:val="008457F8"/>
    <w:rsid w:val="0085222A"/>
    <w:rsid w:val="00854B4F"/>
    <w:rsid w:val="008579E3"/>
    <w:rsid w:val="00863E5A"/>
    <w:rsid w:val="008655D8"/>
    <w:rsid w:val="0086599B"/>
    <w:rsid w:val="00876503"/>
    <w:rsid w:val="008828FB"/>
    <w:rsid w:val="008843DD"/>
    <w:rsid w:val="008940B3"/>
    <w:rsid w:val="008A079D"/>
    <w:rsid w:val="008A289B"/>
    <w:rsid w:val="008A308B"/>
    <w:rsid w:val="008B54C8"/>
    <w:rsid w:val="008B7D55"/>
    <w:rsid w:val="008B7FC3"/>
    <w:rsid w:val="008C682F"/>
    <w:rsid w:val="008D1F4D"/>
    <w:rsid w:val="008D23F0"/>
    <w:rsid w:val="008D575C"/>
    <w:rsid w:val="008D6170"/>
    <w:rsid w:val="008E04BA"/>
    <w:rsid w:val="008E20B8"/>
    <w:rsid w:val="008E4858"/>
    <w:rsid w:val="0090269C"/>
    <w:rsid w:val="009049C6"/>
    <w:rsid w:val="0092029F"/>
    <w:rsid w:val="00923420"/>
    <w:rsid w:val="00936450"/>
    <w:rsid w:val="00943146"/>
    <w:rsid w:val="00950579"/>
    <w:rsid w:val="009546FC"/>
    <w:rsid w:val="00956F98"/>
    <w:rsid w:val="00962749"/>
    <w:rsid w:val="00963B50"/>
    <w:rsid w:val="00973C53"/>
    <w:rsid w:val="00974F4C"/>
    <w:rsid w:val="00975B5C"/>
    <w:rsid w:val="009815B4"/>
    <w:rsid w:val="009823DE"/>
    <w:rsid w:val="009834AE"/>
    <w:rsid w:val="00984935"/>
    <w:rsid w:val="009923CC"/>
    <w:rsid w:val="009A6319"/>
    <w:rsid w:val="009B0982"/>
    <w:rsid w:val="009B5BAF"/>
    <w:rsid w:val="009C525E"/>
    <w:rsid w:val="009C79C4"/>
    <w:rsid w:val="009D6065"/>
    <w:rsid w:val="009D69B1"/>
    <w:rsid w:val="009E7708"/>
    <w:rsid w:val="009E7BB5"/>
    <w:rsid w:val="009F0094"/>
    <w:rsid w:val="009F0CE6"/>
    <w:rsid w:val="009F697C"/>
    <w:rsid w:val="00A00B20"/>
    <w:rsid w:val="00A03454"/>
    <w:rsid w:val="00A0443C"/>
    <w:rsid w:val="00A054F5"/>
    <w:rsid w:val="00A065EF"/>
    <w:rsid w:val="00A27D06"/>
    <w:rsid w:val="00A34DC4"/>
    <w:rsid w:val="00A35463"/>
    <w:rsid w:val="00A41AA3"/>
    <w:rsid w:val="00A42EAA"/>
    <w:rsid w:val="00A51530"/>
    <w:rsid w:val="00A60FDA"/>
    <w:rsid w:val="00A613F3"/>
    <w:rsid w:val="00A629F8"/>
    <w:rsid w:val="00A65E83"/>
    <w:rsid w:val="00A729B8"/>
    <w:rsid w:val="00A74317"/>
    <w:rsid w:val="00A86C90"/>
    <w:rsid w:val="00A87EC3"/>
    <w:rsid w:val="00A943CC"/>
    <w:rsid w:val="00AA7BAE"/>
    <w:rsid w:val="00AB1A5A"/>
    <w:rsid w:val="00AB2212"/>
    <w:rsid w:val="00AB4F91"/>
    <w:rsid w:val="00AB5BD4"/>
    <w:rsid w:val="00AB7794"/>
    <w:rsid w:val="00AC039C"/>
    <w:rsid w:val="00AC1F4E"/>
    <w:rsid w:val="00AC3538"/>
    <w:rsid w:val="00AD6744"/>
    <w:rsid w:val="00AE2596"/>
    <w:rsid w:val="00AF15B3"/>
    <w:rsid w:val="00AF6D8A"/>
    <w:rsid w:val="00AF7C76"/>
    <w:rsid w:val="00B0163B"/>
    <w:rsid w:val="00B051D9"/>
    <w:rsid w:val="00B16F3E"/>
    <w:rsid w:val="00B21066"/>
    <w:rsid w:val="00B2386E"/>
    <w:rsid w:val="00B2754E"/>
    <w:rsid w:val="00B3060B"/>
    <w:rsid w:val="00B3374A"/>
    <w:rsid w:val="00B40EF1"/>
    <w:rsid w:val="00B43E0F"/>
    <w:rsid w:val="00B515D5"/>
    <w:rsid w:val="00B521D5"/>
    <w:rsid w:val="00B5788D"/>
    <w:rsid w:val="00B653A0"/>
    <w:rsid w:val="00B67D5C"/>
    <w:rsid w:val="00B805D1"/>
    <w:rsid w:val="00B81136"/>
    <w:rsid w:val="00B81A4C"/>
    <w:rsid w:val="00B86E8D"/>
    <w:rsid w:val="00B8700C"/>
    <w:rsid w:val="00B90C53"/>
    <w:rsid w:val="00B90D16"/>
    <w:rsid w:val="00BA2639"/>
    <w:rsid w:val="00BA4B2B"/>
    <w:rsid w:val="00BA5195"/>
    <w:rsid w:val="00BA7D16"/>
    <w:rsid w:val="00BB1D01"/>
    <w:rsid w:val="00BB2A3A"/>
    <w:rsid w:val="00BB39E6"/>
    <w:rsid w:val="00BB652F"/>
    <w:rsid w:val="00BC2358"/>
    <w:rsid w:val="00BC64C3"/>
    <w:rsid w:val="00BC7A2A"/>
    <w:rsid w:val="00BD20AB"/>
    <w:rsid w:val="00BD352F"/>
    <w:rsid w:val="00BE2E4A"/>
    <w:rsid w:val="00BE4C96"/>
    <w:rsid w:val="00BE622B"/>
    <w:rsid w:val="00BF0A5B"/>
    <w:rsid w:val="00BF2689"/>
    <w:rsid w:val="00BF346E"/>
    <w:rsid w:val="00BF6973"/>
    <w:rsid w:val="00BF70DF"/>
    <w:rsid w:val="00C10845"/>
    <w:rsid w:val="00C12F09"/>
    <w:rsid w:val="00C205F1"/>
    <w:rsid w:val="00C20EA0"/>
    <w:rsid w:val="00C30A6D"/>
    <w:rsid w:val="00C3108B"/>
    <w:rsid w:val="00C347AE"/>
    <w:rsid w:val="00C37271"/>
    <w:rsid w:val="00C40941"/>
    <w:rsid w:val="00C42625"/>
    <w:rsid w:val="00C42A84"/>
    <w:rsid w:val="00C44CA0"/>
    <w:rsid w:val="00C516BC"/>
    <w:rsid w:val="00C52281"/>
    <w:rsid w:val="00C539DD"/>
    <w:rsid w:val="00C5503F"/>
    <w:rsid w:val="00C55A45"/>
    <w:rsid w:val="00C60CF3"/>
    <w:rsid w:val="00C61585"/>
    <w:rsid w:val="00C64DD6"/>
    <w:rsid w:val="00C71726"/>
    <w:rsid w:val="00C76BAA"/>
    <w:rsid w:val="00C838EB"/>
    <w:rsid w:val="00C8556E"/>
    <w:rsid w:val="00C859FD"/>
    <w:rsid w:val="00C87254"/>
    <w:rsid w:val="00C919C7"/>
    <w:rsid w:val="00C940C1"/>
    <w:rsid w:val="00C97315"/>
    <w:rsid w:val="00C9771B"/>
    <w:rsid w:val="00CA18B8"/>
    <w:rsid w:val="00CA5449"/>
    <w:rsid w:val="00CA5689"/>
    <w:rsid w:val="00CA66AF"/>
    <w:rsid w:val="00CC3610"/>
    <w:rsid w:val="00CC43B4"/>
    <w:rsid w:val="00CD45E7"/>
    <w:rsid w:val="00CE08E0"/>
    <w:rsid w:val="00CF24E1"/>
    <w:rsid w:val="00D0294B"/>
    <w:rsid w:val="00D044DB"/>
    <w:rsid w:val="00D145C4"/>
    <w:rsid w:val="00D15204"/>
    <w:rsid w:val="00D26ED2"/>
    <w:rsid w:val="00D31BFC"/>
    <w:rsid w:val="00D37836"/>
    <w:rsid w:val="00D407F7"/>
    <w:rsid w:val="00D43EF2"/>
    <w:rsid w:val="00D466DB"/>
    <w:rsid w:val="00D53865"/>
    <w:rsid w:val="00D57CB7"/>
    <w:rsid w:val="00D60861"/>
    <w:rsid w:val="00D629C5"/>
    <w:rsid w:val="00D65242"/>
    <w:rsid w:val="00D774DA"/>
    <w:rsid w:val="00D77E36"/>
    <w:rsid w:val="00D83F58"/>
    <w:rsid w:val="00D877B2"/>
    <w:rsid w:val="00D94D24"/>
    <w:rsid w:val="00DA0D25"/>
    <w:rsid w:val="00DA2BE7"/>
    <w:rsid w:val="00DB0138"/>
    <w:rsid w:val="00DB048B"/>
    <w:rsid w:val="00DB1D4F"/>
    <w:rsid w:val="00DB2614"/>
    <w:rsid w:val="00DB3C6C"/>
    <w:rsid w:val="00DB4EDE"/>
    <w:rsid w:val="00DC13B0"/>
    <w:rsid w:val="00DC38DE"/>
    <w:rsid w:val="00DC5531"/>
    <w:rsid w:val="00DC5DAB"/>
    <w:rsid w:val="00DC6C0A"/>
    <w:rsid w:val="00DD121E"/>
    <w:rsid w:val="00DD519E"/>
    <w:rsid w:val="00DD7161"/>
    <w:rsid w:val="00DE1B62"/>
    <w:rsid w:val="00E00F68"/>
    <w:rsid w:val="00E0481E"/>
    <w:rsid w:val="00E061EB"/>
    <w:rsid w:val="00E126BB"/>
    <w:rsid w:val="00E16B5B"/>
    <w:rsid w:val="00E2055B"/>
    <w:rsid w:val="00E22834"/>
    <w:rsid w:val="00E23568"/>
    <w:rsid w:val="00E319A1"/>
    <w:rsid w:val="00E33388"/>
    <w:rsid w:val="00E34337"/>
    <w:rsid w:val="00E36D27"/>
    <w:rsid w:val="00E379BB"/>
    <w:rsid w:val="00E45F50"/>
    <w:rsid w:val="00E52D96"/>
    <w:rsid w:val="00E6637E"/>
    <w:rsid w:val="00E72B52"/>
    <w:rsid w:val="00E72B8D"/>
    <w:rsid w:val="00E7666E"/>
    <w:rsid w:val="00E77622"/>
    <w:rsid w:val="00E82BBA"/>
    <w:rsid w:val="00E833FA"/>
    <w:rsid w:val="00E84532"/>
    <w:rsid w:val="00E92880"/>
    <w:rsid w:val="00E9409C"/>
    <w:rsid w:val="00E959B3"/>
    <w:rsid w:val="00EC0EF0"/>
    <w:rsid w:val="00ED158D"/>
    <w:rsid w:val="00ED5AE3"/>
    <w:rsid w:val="00EE07E2"/>
    <w:rsid w:val="00EE6352"/>
    <w:rsid w:val="00EE6D4E"/>
    <w:rsid w:val="00EF5061"/>
    <w:rsid w:val="00F01BD2"/>
    <w:rsid w:val="00F03F5F"/>
    <w:rsid w:val="00F05072"/>
    <w:rsid w:val="00F12038"/>
    <w:rsid w:val="00F16ADA"/>
    <w:rsid w:val="00F25238"/>
    <w:rsid w:val="00F25E4D"/>
    <w:rsid w:val="00F306C9"/>
    <w:rsid w:val="00F33A8F"/>
    <w:rsid w:val="00F33B01"/>
    <w:rsid w:val="00F37CE8"/>
    <w:rsid w:val="00F4743E"/>
    <w:rsid w:val="00F50B0F"/>
    <w:rsid w:val="00F51A7E"/>
    <w:rsid w:val="00F54AAE"/>
    <w:rsid w:val="00F648B7"/>
    <w:rsid w:val="00F72572"/>
    <w:rsid w:val="00F72E82"/>
    <w:rsid w:val="00F770BC"/>
    <w:rsid w:val="00F77639"/>
    <w:rsid w:val="00F81718"/>
    <w:rsid w:val="00F82A1D"/>
    <w:rsid w:val="00F83213"/>
    <w:rsid w:val="00F83BF1"/>
    <w:rsid w:val="00F83D96"/>
    <w:rsid w:val="00F96B48"/>
    <w:rsid w:val="00FA1691"/>
    <w:rsid w:val="00FA3DAA"/>
    <w:rsid w:val="00FA7136"/>
    <w:rsid w:val="00FB756E"/>
    <w:rsid w:val="00FD2791"/>
    <w:rsid w:val="00FD7015"/>
    <w:rsid w:val="00FE15C5"/>
    <w:rsid w:val="00FF0AD7"/>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unhideWhenUsed/>
    <w:rsid w:val="005D7DCC"/>
    <w:pPr>
      <w:spacing w:line="240" w:lineRule="auto"/>
    </w:pPr>
    <w:rPr>
      <w:sz w:val="20"/>
    </w:rPr>
  </w:style>
  <w:style w:type="character" w:customStyle="1" w:styleId="CommentTextChar">
    <w:name w:val="Comment Text Char"/>
    <w:basedOn w:val="DefaultParagraphFont"/>
    <w:link w:val="CommentText"/>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paragraph" w:styleId="Revision">
    <w:name w:val="Revision"/>
    <w:hidden/>
    <w:uiPriority w:val="99"/>
    <w:semiHidden/>
    <w:rsid w:val="00B21066"/>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814">
      <w:bodyDiv w:val="1"/>
      <w:marLeft w:val="0"/>
      <w:marRight w:val="0"/>
      <w:marTop w:val="0"/>
      <w:marBottom w:val="0"/>
      <w:divBdr>
        <w:top w:val="none" w:sz="0" w:space="0" w:color="auto"/>
        <w:left w:val="none" w:sz="0" w:space="0" w:color="auto"/>
        <w:bottom w:val="none" w:sz="0" w:space="0" w:color="auto"/>
        <w:right w:val="none" w:sz="0" w:space="0" w:color="auto"/>
      </w:divBdr>
      <w:divsChild>
        <w:div w:id="49967054">
          <w:marLeft w:val="0"/>
          <w:marRight w:val="0"/>
          <w:marTop w:val="240"/>
          <w:marBottom w:val="0"/>
          <w:divBdr>
            <w:top w:val="none" w:sz="0" w:space="0" w:color="auto"/>
            <w:left w:val="none" w:sz="0" w:space="0" w:color="auto"/>
            <w:bottom w:val="none" w:sz="0" w:space="0" w:color="auto"/>
            <w:right w:val="none" w:sz="0" w:space="0" w:color="auto"/>
          </w:divBdr>
          <w:divsChild>
            <w:div w:id="1852334270">
              <w:marLeft w:val="0"/>
              <w:marRight w:val="0"/>
              <w:marTop w:val="0"/>
              <w:marBottom w:val="0"/>
              <w:divBdr>
                <w:top w:val="none" w:sz="0" w:space="0" w:color="auto"/>
                <w:left w:val="none" w:sz="0" w:space="0" w:color="auto"/>
                <w:bottom w:val="none" w:sz="0" w:space="0" w:color="auto"/>
                <w:right w:val="none" w:sz="0" w:space="0" w:color="auto"/>
              </w:divBdr>
              <w:divsChild>
                <w:div w:id="7055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5882">
          <w:marLeft w:val="0"/>
          <w:marRight w:val="0"/>
          <w:marTop w:val="240"/>
          <w:marBottom w:val="0"/>
          <w:divBdr>
            <w:top w:val="none" w:sz="0" w:space="0" w:color="auto"/>
            <w:left w:val="none" w:sz="0" w:space="0" w:color="auto"/>
            <w:bottom w:val="none" w:sz="0" w:space="0" w:color="auto"/>
            <w:right w:val="none" w:sz="0" w:space="0" w:color="auto"/>
          </w:divBdr>
          <w:divsChild>
            <w:div w:id="1622420251">
              <w:marLeft w:val="0"/>
              <w:marRight w:val="0"/>
              <w:marTop w:val="0"/>
              <w:marBottom w:val="0"/>
              <w:divBdr>
                <w:top w:val="none" w:sz="0" w:space="0" w:color="auto"/>
                <w:left w:val="none" w:sz="0" w:space="0" w:color="auto"/>
                <w:bottom w:val="none" w:sz="0" w:space="0" w:color="auto"/>
                <w:right w:val="none" w:sz="0" w:space="0" w:color="auto"/>
              </w:divBdr>
              <w:divsChild>
                <w:div w:id="1498422523">
                  <w:marLeft w:val="0"/>
                  <w:marRight w:val="0"/>
                  <w:marTop w:val="0"/>
                  <w:marBottom w:val="0"/>
                  <w:divBdr>
                    <w:top w:val="none" w:sz="0" w:space="0" w:color="auto"/>
                    <w:left w:val="none" w:sz="0" w:space="0" w:color="auto"/>
                    <w:bottom w:val="none" w:sz="0" w:space="0" w:color="auto"/>
                    <w:right w:val="none" w:sz="0" w:space="0" w:color="auto"/>
                  </w:divBdr>
                </w:div>
              </w:divsChild>
            </w:div>
            <w:div w:id="2120762033">
              <w:marLeft w:val="0"/>
              <w:marRight w:val="0"/>
              <w:marTop w:val="240"/>
              <w:marBottom w:val="0"/>
              <w:divBdr>
                <w:top w:val="none" w:sz="0" w:space="0" w:color="auto"/>
                <w:left w:val="none" w:sz="0" w:space="0" w:color="auto"/>
                <w:bottom w:val="none" w:sz="0" w:space="0" w:color="auto"/>
                <w:right w:val="none" w:sz="0" w:space="0" w:color="auto"/>
              </w:divBdr>
              <w:divsChild>
                <w:div w:id="734205471">
                  <w:marLeft w:val="0"/>
                  <w:marRight w:val="0"/>
                  <w:marTop w:val="0"/>
                  <w:marBottom w:val="0"/>
                  <w:divBdr>
                    <w:top w:val="none" w:sz="0" w:space="0" w:color="auto"/>
                    <w:left w:val="none" w:sz="0" w:space="0" w:color="auto"/>
                    <w:bottom w:val="none" w:sz="0" w:space="0" w:color="auto"/>
                    <w:right w:val="none" w:sz="0" w:space="0" w:color="auto"/>
                  </w:divBdr>
                  <w:divsChild>
                    <w:div w:id="1222398946">
                      <w:marLeft w:val="0"/>
                      <w:marRight w:val="0"/>
                      <w:marTop w:val="0"/>
                      <w:marBottom w:val="0"/>
                      <w:divBdr>
                        <w:top w:val="none" w:sz="0" w:space="0" w:color="auto"/>
                        <w:left w:val="none" w:sz="0" w:space="0" w:color="auto"/>
                        <w:bottom w:val="none" w:sz="0" w:space="0" w:color="auto"/>
                        <w:right w:val="none" w:sz="0" w:space="0" w:color="auto"/>
                      </w:divBdr>
                    </w:div>
                  </w:divsChild>
                </w:div>
                <w:div w:id="1848472254">
                  <w:marLeft w:val="0"/>
                  <w:marRight w:val="0"/>
                  <w:marTop w:val="240"/>
                  <w:marBottom w:val="0"/>
                  <w:divBdr>
                    <w:top w:val="none" w:sz="0" w:space="0" w:color="auto"/>
                    <w:left w:val="none" w:sz="0" w:space="0" w:color="auto"/>
                    <w:bottom w:val="none" w:sz="0" w:space="0" w:color="auto"/>
                    <w:right w:val="none" w:sz="0" w:space="0" w:color="auto"/>
                  </w:divBdr>
                  <w:divsChild>
                    <w:div w:id="94983243">
                      <w:marLeft w:val="0"/>
                      <w:marRight w:val="0"/>
                      <w:marTop w:val="0"/>
                      <w:marBottom w:val="0"/>
                      <w:divBdr>
                        <w:top w:val="none" w:sz="0" w:space="0" w:color="auto"/>
                        <w:left w:val="none" w:sz="0" w:space="0" w:color="auto"/>
                        <w:bottom w:val="none" w:sz="0" w:space="0" w:color="auto"/>
                        <w:right w:val="none" w:sz="0" w:space="0" w:color="auto"/>
                      </w:divBdr>
                      <w:divsChild>
                        <w:div w:id="72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960">
                  <w:marLeft w:val="0"/>
                  <w:marRight w:val="0"/>
                  <w:marTop w:val="240"/>
                  <w:marBottom w:val="0"/>
                  <w:divBdr>
                    <w:top w:val="none" w:sz="0" w:space="0" w:color="auto"/>
                    <w:left w:val="none" w:sz="0" w:space="0" w:color="auto"/>
                    <w:bottom w:val="none" w:sz="0" w:space="0" w:color="auto"/>
                    <w:right w:val="none" w:sz="0" w:space="0" w:color="auto"/>
                  </w:divBdr>
                  <w:divsChild>
                    <w:div w:id="1303079894">
                      <w:marLeft w:val="0"/>
                      <w:marRight w:val="0"/>
                      <w:marTop w:val="0"/>
                      <w:marBottom w:val="0"/>
                      <w:divBdr>
                        <w:top w:val="none" w:sz="0" w:space="0" w:color="auto"/>
                        <w:left w:val="none" w:sz="0" w:space="0" w:color="auto"/>
                        <w:bottom w:val="none" w:sz="0" w:space="0" w:color="auto"/>
                        <w:right w:val="none" w:sz="0" w:space="0" w:color="auto"/>
                      </w:divBdr>
                      <w:divsChild>
                        <w:div w:id="300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5279">
                  <w:marLeft w:val="0"/>
                  <w:marRight w:val="0"/>
                  <w:marTop w:val="240"/>
                  <w:marBottom w:val="0"/>
                  <w:divBdr>
                    <w:top w:val="none" w:sz="0" w:space="0" w:color="auto"/>
                    <w:left w:val="none" w:sz="0" w:space="0" w:color="auto"/>
                    <w:bottom w:val="none" w:sz="0" w:space="0" w:color="auto"/>
                    <w:right w:val="none" w:sz="0" w:space="0" w:color="auto"/>
                  </w:divBdr>
                  <w:divsChild>
                    <w:div w:id="1831946836">
                      <w:marLeft w:val="0"/>
                      <w:marRight w:val="0"/>
                      <w:marTop w:val="0"/>
                      <w:marBottom w:val="0"/>
                      <w:divBdr>
                        <w:top w:val="none" w:sz="0" w:space="0" w:color="auto"/>
                        <w:left w:val="none" w:sz="0" w:space="0" w:color="auto"/>
                        <w:bottom w:val="none" w:sz="0" w:space="0" w:color="auto"/>
                        <w:right w:val="none" w:sz="0" w:space="0" w:color="auto"/>
                      </w:divBdr>
                      <w:divsChild>
                        <w:div w:id="216472757">
                          <w:marLeft w:val="0"/>
                          <w:marRight w:val="0"/>
                          <w:marTop w:val="0"/>
                          <w:marBottom w:val="0"/>
                          <w:divBdr>
                            <w:top w:val="none" w:sz="0" w:space="0" w:color="auto"/>
                            <w:left w:val="none" w:sz="0" w:space="0" w:color="auto"/>
                            <w:bottom w:val="none" w:sz="0" w:space="0" w:color="auto"/>
                            <w:right w:val="none" w:sz="0" w:space="0" w:color="auto"/>
                          </w:divBdr>
                        </w:div>
                      </w:divsChild>
                    </w:div>
                    <w:div w:id="866797414">
                      <w:marLeft w:val="0"/>
                      <w:marRight w:val="0"/>
                      <w:marTop w:val="240"/>
                      <w:marBottom w:val="0"/>
                      <w:divBdr>
                        <w:top w:val="none" w:sz="0" w:space="0" w:color="auto"/>
                        <w:left w:val="none" w:sz="0" w:space="0" w:color="auto"/>
                        <w:bottom w:val="none" w:sz="0" w:space="0" w:color="auto"/>
                        <w:right w:val="none" w:sz="0" w:space="0" w:color="auto"/>
                      </w:divBdr>
                      <w:divsChild>
                        <w:div w:id="1335187880">
                          <w:marLeft w:val="0"/>
                          <w:marRight w:val="0"/>
                          <w:marTop w:val="0"/>
                          <w:marBottom w:val="0"/>
                          <w:divBdr>
                            <w:top w:val="none" w:sz="0" w:space="0" w:color="auto"/>
                            <w:left w:val="none" w:sz="0" w:space="0" w:color="auto"/>
                            <w:bottom w:val="none" w:sz="0" w:space="0" w:color="auto"/>
                            <w:right w:val="none" w:sz="0" w:space="0" w:color="auto"/>
                          </w:divBdr>
                          <w:divsChild>
                            <w:div w:id="2797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9742">
                      <w:marLeft w:val="0"/>
                      <w:marRight w:val="0"/>
                      <w:marTop w:val="240"/>
                      <w:marBottom w:val="0"/>
                      <w:divBdr>
                        <w:top w:val="none" w:sz="0" w:space="0" w:color="auto"/>
                        <w:left w:val="none" w:sz="0" w:space="0" w:color="auto"/>
                        <w:bottom w:val="none" w:sz="0" w:space="0" w:color="auto"/>
                        <w:right w:val="none" w:sz="0" w:space="0" w:color="auto"/>
                      </w:divBdr>
                      <w:divsChild>
                        <w:div w:id="333530234">
                          <w:marLeft w:val="0"/>
                          <w:marRight w:val="0"/>
                          <w:marTop w:val="0"/>
                          <w:marBottom w:val="0"/>
                          <w:divBdr>
                            <w:top w:val="none" w:sz="0" w:space="0" w:color="auto"/>
                            <w:left w:val="none" w:sz="0" w:space="0" w:color="auto"/>
                            <w:bottom w:val="none" w:sz="0" w:space="0" w:color="auto"/>
                            <w:right w:val="none" w:sz="0" w:space="0" w:color="auto"/>
                          </w:divBdr>
                          <w:divsChild>
                            <w:div w:id="7405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3052">
                      <w:marLeft w:val="0"/>
                      <w:marRight w:val="0"/>
                      <w:marTop w:val="240"/>
                      <w:marBottom w:val="0"/>
                      <w:divBdr>
                        <w:top w:val="none" w:sz="0" w:space="0" w:color="auto"/>
                        <w:left w:val="none" w:sz="0" w:space="0" w:color="auto"/>
                        <w:bottom w:val="none" w:sz="0" w:space="0" w:color="auto"/>
                        <w:right w:val="none" w:sz="0" w:space="0" w:color="auto"/>
                      </w:divBdr>
                      <w:divsChild>
                        <w:div w:id="332951740">
                          <w:marLeft w:val="0"/>
                          <w:marRight w:val="0"/>
                          <w:marTop w:val="0"/>
                          <w:marBottom w:val="0"/>
                          <w:divBdr>
                            <w:top w:val="none" w:sz="0" w:space="0" w:color="auto"/>
                            <w:left w:val="none" w:sz="0" w:space="0" w:color="auto"/>
                            <w:bottom w:val="none" w:sz="0" w:space="0" w:color="auto"/>
                            <w:right w:val="none" w:sz="0" w:space="0" w:color="auto"/>
                          </w:divBdr>
                          <w:divsChild>
                            <w:div w:id="1250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9439">
              <w:marLeft w:val="0"/>
              <w:marRight w:val="0"/>
              <w:marTop w:val="240"/>
              <w:marBottom w:val="0"/>
              <w:divBdr>
                <w:top w:val="none" w:sz="0" w:space="0" w:color="auto"/>
                <w:left w:val="none" w:sz="0" w:space="0" w:color="auto"/>
                <w:bottom w:val="none" w:sz="0" w:space="0" w:color="auto"/>
                <w:right w:val="none" w:sz="0" w:space="0" w:color="auto"/>
              </w:divBdr>
              <w:divsChild>
                <w:div w:id="1245214686">
                  <w:marLeft w:val="0"/>
                  <w:marRight w:val="0"/>
                  <w:marTop w:val="0"/>
                  <w:marBottom w:val="0"/>
                  <w:divBdr>
                    <w:top w:val="none" w:sz="0" w:space="0" w:color="auto"/>
                    <w:left w:val="none" w:sz="0" w:space="0" w:color="auto"/>
                    <w:bottom w:val="none" w:sz="0" w:space="0" w:color="auto"/>
                    <w:right w:val="none" w:sz="0" w:space="0" w:color="auto"/>
                  </w:divBdr>
                  <w:divsChild>
                    <w:div w:id="3876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7484">
              <w:marLeft w:val="0"/>
              <w:marRight w:val="0"/>
              <w:marTop w:val="240"/>
              <w:marBottom w:val="0"/>
              <w:divBdr>
                <w:top w:val="none" w:sz="0" w:space="0" w:color="auto"/>
                <w:left w:val="none" w:sz="0" w:space="0" w:color="auto"/>
                <w:bottom w:val="none" w:sz="0" w:space="0" w:color="auto"/>
                <w:right w:val="none" w:sz="0" w:space="0" w:color="auto"/>
              </w:divBdr>
              <w:divsChild>
                <w:div w:id="337392608">
                  <w:marLeft w:val="0"/>
                  <w:marRight w:val="0"/>
                  <w:marTop w:val="0"/>
                  <w:marBottom w:val="0"/>
                  <w:divBdr>
                    <w:top w:val="none" w:sz="0" w:space="0" w:color="auto"/>
                    <w:left w:val="none" w:sz="0" w:space="0" w:color="auto"/>
                    <w:bottom w:val="none" w:sz="0" w:space="0" w:color="auto"/>
                    <w:right w:val="none" w:sz="0" w:space="0" w:color="auto"/>
                  </w:divBdr>
                  <w:divsChild>
                    <w:div w:id="17057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7682">
              <w:marLeft w:val="0"/>
              <w:marRight w:val="0"/>
              <w:marTop w:val="240"/>
              <w:marBottom w:val="0"/>
              <w:divBdr>
                <w:top w:val="none" w:sz="0" w:space="0" w:color="auto"/>
                <w:left w:val="none" w:sz="0" w:space="0" w:color="auto"/>
                <w:bottom w:val="none" w:sz="0" w:space="0" w:color="auto"/>
                <w:right w:val="none" w:sz="0" w:space="0" w:color="auto"/>
              </w:divBdr>
              <w:divsChild>
                <w:div w:id="1295453211">
                  <w:marLeft w:val="0"/>
                  <w:marRight w:val="0"/>
                  <w:marTop w:val="0"/>
                  <w:marBottom w:val="0"/>
                  <w:divBdr>
                    <w:top w:val="none" w:sz="0" w:space="0" w:color="auto"/>
                    <w:left w:val="none" w:sz="0" w:space="0" w:color="auto"/>
                    <w:bottom w:val="none" w:sz="0" w:space="0" w:color="auto"/>
                    <w:right w:val="none" w:sz="0" w:space="0" w:color="auto"/>
                  </w:divBdr>
                  <w:divsChild>
                    <w:div w:id="15970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7384">
          <w:marLeft w:val="0"/>
          <w:marRight w:val="0"/>
          <w:marTop w:val="240"/>
          <w:marBottom w:val="0"/>
          <w:divBdr>
            <w:top w:val="none" w:sz="0" w:space="0" w:color="auto"/>
            <w:left w:val="none" w:sz="0" w:space="0" w:color="auto"/>
            <w:bottom w:val="none" w:sz="0" w:space="0" w:color="auto"/>
            <w:right w:val="none" w:sz="0" w:space="0" w:color="auto"/>
          </w:divBdr>
          <w:divsChild>
            <w:div w:id="1176113689">
              <w:marLeft w:val="0"/>
              <w:marRight w:val="0"/>
              <w:marTop w:val="0"/>
              <w:marBottom w:val="0"/>
              <w:divBdr>
                <w:top w:val="none" w:sz="0" w:space="0" w:color="auto"/>
                <w:left w:val="none" w:sz="0" w:space="0" w:color="auto"/>
                <w:bottom w:val="none" w:sz="0" w:space="0" w:color="auto"/>
                <w:right w:val="none" w:sz="0" w:space="0" w:color="auto"/>
              </w:divBdr>
              <w:divsChild>
                <w:div w:id="9255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5174">
          <w:marLeft w:val="0"/>
          <w:marRight w:val="0"/>
          <w:marTop w:val="240"/>
          <w:marBottom w:val="0"/>
          <w:divBdr>
            <w:top w:val="none" w:sz="0" w:space="0" w:color="auto"/>
            <w:left w:val="none" w:sz="0" w:space="0" w:color="auto"/>
            <w:bottom w:val="none" w:sz="0" w:space="0" w:color="auto"/>
            <w:right w:val="none" w:sz="0" w:space="0" w:color="auto"/>
          </w:divBdr>
          <w:divsChild>
            <w:div w:id="1735424075">
              <w:marLeft w:val="0"/>
              <w:marRight w:val="0"/>
              <w:marTop w:val="0"/>
              <w:marBottom w:val="0"/>
              <w:divBdr>
                <w:top w:val="none" w:sz="0" w:space="0" w:color="auto"/>
                <w:left w:val="none" w:sz="0" w:space="0" w:color="auto"/>
                <w:bottom w:val="none" w:sz="0" w:space="0" w:color="auto"/>
                <w:right w:val="none" w:sz="0" w:space="0" w:color="auto"/>
              </w:divBdr>
              <w:divsChild>
                <w:div w:id="1946812929">
                  <w:marLeft w:val="0"/>
                  <w:marRight w:val="0"/>
                  <w:marTop w:val="0"/>
                  <w:marBottom w:val="0"/>
                  <w:divBdr>
                    <w:top w:val="none" w:sz="0" w:space="0" w:color="auto"/>
                    <w:left w:val="none" w:sz="0" w:space="0" w:color="auto"/>
                    <w:bottom w:val="none" w:sz="0" w:space="0" w:color="auto"/>
                    <w:right w:val="none" w:sz="0" w:space="0" w:color="auto"/>
                  </w:divBdr>
                </w:div>
              </w:divsChild>
            </w:div>
            <w:div w:id="277563455">
              <w:marLeft w:val="0"/>
              <w:marRight w:val="0"/>
              <w:marTop w:val="240"/>
              <w:marBottom w:val="0"/>
              <w:divBdr>
                <w:top w:val="none" w:sz="0" w:space="0" w:color="auto"/>
                <w:left w:val="none" w:sz="0" w:space="0" w:color="auto"/>
                <w:bottom w:val="none" w:sz="0" w:space="0" w:color="auto"/>
                <w:right w:val="none" w:sz="0" w:space="0" w:color="auto"/>
              </w:divBdr>
              <w:divsChild>
                <w:div w:id="842356996">
                  <w:marLeft w:val="0"/>
                  <w:marRight w:val="0"/>
                  <w:marTop w:val="0"/>
                  <w:marBottom w:val="0"/>
                  <w:divBdr>
                    <w:top w:val="none" w:sz="0" w:space="0" w:color="auto"/>
                    <w:left w:val="none" w:sz="0" w:space="0" w:color="auto"/>
                    <w:bottom w:val="none" w:sz="0" w:space="0" w:color="auto"/>
                    <w:right w:val="none" w:sz="0" w:space="0" w:color="auto"/>
                  </w:divBdr>
                  <w:divsChild>
                    <w:div w:id="1873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4983">
              <w:marLeft w:val="0"/>
              <w:marRight w:val="0"/>
              <w:marTop w:val="240"/>
              <w:marBottom w:val="0"/>
              <w:divBdr>
                <w:top w:val="none" w:sz="0" w:space="0" w:color="auto"/>
                <w:left w:val="none" w:sz="0" w:space="0" w:color="auto"/>
                <w:bottom w:val="none" w:sz="0" w:space="0" w:color="auto"/>
                <w:right w:val="none" w:sz="0" w:space="0" w:color="auto"/>
              </w:divBdr>
              <w:divsChild>
                <w:div w:id="1445148891">
                  <w:marLeft w:val="0"/>
                  <w:marRight w:val="0"/>
                  <w:marTop w:val="0"/>
                  <w:marBottom w:val="0"/>
                  <w:divBdr>
                    <w:top w:val="none" w:sz="0" w:space="0" w:color="auto"/>
                    <w:left w:val="none" w:sz="0" w:space="0" w:color="auto"/>
                    <w:bottom w:val="none" w:sz="0" w:space="0" w:color="auto"/>
                    <w:right w:val="none" w:sz="0" w:space="0" w:color="auto"/>
                  </w:divBdr>
                  <w:divsChild>
                    <w:div w:id="1017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2119">
          <w:marLeft w:val="0"/>
          <w:marRight w:val="0"/>
          <w:marTop w:val="240"/>
          <w:marBottom w:val="0"/>
          <w:divBdr>
            <w:top w:val="none" w:sz="0" w:space="0" w:color="auto"/>
            <w:left w:val="none" w:sz="0" w:space="0" w:color="auto"/>
            <w:bottom w:val="none" w:sz="0" w:space="0" w:color="auto"/>
            <w:right w:val="none" w:sz="0" w:space="0" w:color="auto"/>
          </w:divBdr>
          <w:divsChild>
            <w:div w:id="763919772">
              <w:marLeft w:val="0"/>
              <w:marRight w:val="0"/>
              <w:marTop w:val="0"/>
              <w:marBottom w:val="0"/>
              <w:divBdr>
                <w:top w:val="none" w:sz="0" w:space="0" w:color="auto"/>
                <w:left w:val="none" w:sz="0" w:space="0" w:color="auto"/>
                <w:bottom w:val="none" w:sz="0" w:space="0" w:color="auto"/>
                <w:right w:val="none" w:sz="0" w:space="0" w:color="auto"/>
              </w:divBdr>
              <w:divsChild>
                <w:div w:id="18105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9119">
          <w:marLeft w:val="0"/>
          <w:marRight w:val="0"/>
          <w:marTop w:val="240"/>
          <w:marBottom w:val="0"/>
          <w:divBdr>
            <w:top w:val="none" w:sz="0" w:space="0" w:color="auto"/>
            <w:left w:val="none" w:sz="0" w:space="0" w:color="auto"/>
            <w:bottom w:val="none" w:sz="0" w:space="0" w:color="auto"/>
            <w:right w:val="none" w:sz="0" w:space="0" w:color="auto"/>
          </w:divBdr>
          <w:divsChild>
            <w:div w:id="2012443521">
              <w:marLeft w:val="0"/>
              <w:marRight w:val="0"/>
              <w:marTop w:val="0"/>
              <w:marBottom w:val="0"/>
              <w:divBdr>
                <w:top w:val="none" w:sz="0" w:space="0" w:color="auto"/>
                <w:left w:val="none" w:sz="0" w:space="0" w:color="auto"/>
                <w:bottom w:val="none" w:sz="0" w:space="0" w:color="auto"/>
                <w:right w:val="none" w:sz="0" w:space="0" w:color="auto"/>
              </w:divBdr>
              <w:divsChild>
                <w:div w:id="11394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1971">
      <w:bodyDiv w:val="1"/>
      <w:marLeft w:val="0"/>
      <w:marRight w:val="0"/>
      <w:marTop w:val="0"/>
      <w:marBottom w:val="0"/>
      <w:divBdr>
        <w:top w:val="none" w:sz="0" w:space="0" w:color="auto"/>
        <w:left w:val="none" w:sz="0" w:space="0" w:color="auto"/>
        <w:bottom w:val="none" w:sz="0" w:space="0" w:color="auto"/>
        <w:right w:val="none" w:sz="0" w:space="0" w:color="auto"/>
      </w:divBdr>
      <w:divsChild>
        <w:div w:id="361975628">
          <w:marLeft w:val="0"/>
          <w:marRight w:val="0"/>
          <w:marTop w:val="240"/>
          <w:marBottom w:val="0"/>
          <w:divBdr>
            <w:top w:val="none" w:sz="0" w:space="0" w:color="auto"/>
            <w:left w:val="none" w:sz="0" w:space="0" w:color="auto"/>
            <w:bottom w:val="none" w:sz="0" w:space="0" w:color="auto"/>
            <w:right w:val="none" w:sz="0" w:space="0" w:color="auto"/>
          </w:divBdr>
          <w:divsChild>
            <w:div w:id="961113656">
              <w:marLeft w:val="0"/>
              <w:marRight w:val="0"/>
              <w:marTop w:val="0"/>
              <w:marBottom w:val="0"/>
              <w:divBdr>
                <w:top w:val="none" w:sz="0" w:space="0" w:color="auto"/>
                <w:left w:val="none" w:sz="0" w:space="0" w:color="auto"/>
                <w:bottom w:val="none" w:sz="0" w:space="0" w:color="auto"/>
                <w:right w:val="none" w:sz="0" w:space="0" w:color="auto"/>
              </w:divBdr>
              <w:divsChild>
                <w:div w:id="19933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0217">
          <w:marLeft w:val="0"/>
          <w:marRight w:val="0"/>
          <w:marTop w:val="240"/>
          <w:marBottom w:val="0"/>
          <w:divBdr>
            <w:top w:val="none" w:sz="0" w:space="0" w:color="auto"/>
            <w:left w:val="none" w:sz="0" w:space="0" w:color="auto"/>
            <w:bottom w:val="none" w:sz="0" w:space="0" w:color="auto"/>
            <w:right w:val="none" w:sz="0" w:space="0" w:color="auto"/>
          </w:divBdr>
          <w:divsChild>
            <w:div w:id="739519561">
              <w:marLeft w:val="0"/>
              <w:marRight w:val="0"/>
              <w:marTop w:val="0"/>
              <w:marBottom w:val="0"/>
              <w:divBdr>
                <w:top w:val="none" w:sz="0" w:space="0" w:color="auto"/>
                <w:left w:val="none" w:sz="0" w:space="0" w:color="auto"/>
                <w:bottom w:val="none" w:sz="0" w:space="0" w:color="auto"/>
                <w:right w:val="none" w:sz="0" w:space="0" w:color="auto"/>
              </w:divBdr>
              <w:divsChild>
                <w:div w:id="1206913299">
                  <w:marLeft w:val="0"/>
                  <w:marRight w:val="0"/>
                  <w:marTop w:val="0"/>
                  <w:marBottom w:val="0"/>
                  <w:divBdr>
                    <w:top w:val="none" w:sz="0" w:space="0" w:color="auto"/>
                    <w:left w:val="none" w:sz="0" w:space="0" w:color="auto"/>
                    <w:bottom w:val="none" w:sz="0" w:space="0" w:color="auto"/>
                    <w:right w:val="none" w:sz="0" w:space="0" w:color="auto"/>
                  </w:divBdr>
                </w:div>
              </w:divsChild>
            </w:div>
            <w:div w:id="1794327168">
              <w:marLeft w:val="0"/>
              <w:marRight w:val="0"/>
              <w:marTop w:val="240"/>
              <w:marBottom w:val="0"/>
              <w:divBdr>
                <w:top w:val="none" w:sz="0" w:space="0" w:color="auto"/>
                <w:left w:val="none" w:sz="0" w:space="0" w:color="auto"/>
                <w:bottom w:val="none" w:sz="0" w:space="0" w:color="auto"/>
                <w:right w:val="none" w:sz="0" w:space="0" w:color="auto"/>
              </w:divBdr>
              <w:divsChild>
                <w:div w:id="2111273008">
                  <w:marLeft w:val="0"/>
                  <w:marRight w:val="0"/>
                  <w:marTop w:val="0"/>
                  <w:marBottom w:val="0"/>
                  <w:divBdr>
                    <w:top w:val="none" w:sz="0" w:space="0" w:color="auto"/>
                    <w:left w:val="none" w:sz="0" w:space="0" w:color="auto"/>
                    <w:bottom w:val="none" w:sz="0" w:space="0" w:color="auto"/>
                    <w:right w:val="none" w:sz="0" w:space="0" w:color="auto"/>
                  </w:divBdr>
                  <w:divsChild>
                    <w:div w:id="2036346012">
                      <w:marLeft w:val="0"/>
                      <w:marRight w:val="0"/>
                      <w:marTop w:val="0"/>
                      <w:marBottom w:val="0"/>
                      <w:divBdr>
                        <w:top w:val="none" w:sz="0" w:space="0" w:color="auto"/>
                        <w:left w:val="none" w:sz="0" w:space="0" w:color="auto"/>
                        <w:bottom w:val="none" w:sz="0" w:space="0" w:color="auto"/>
                        <w:right w:val="none" w:sz="0" w:space="0" w:color="auto"/>
                      </w:divBdr>
                    </w:div>
                  </w:divsChild>
                </w:div>
                <w:div w:id="861554799">
                  <w:marLeft w:val="0"/>
                  <w:marRight w:val="0"/>
                  <w:marTop w:val="240"/>
                  <w:marBottom w:val="0"/>
                  <w:divBdr>
                    <w:top w:val="none" w:sz="0" w:space="0" w:color="auto"/>
                    <w:left w:val="none" w:sz="0" w:space="0" w:color="auto"/>
                    <w:bottom w:val="none" w:sz="0" w:space="0" w:color="auto"/>
                    <w:right w:val="none" w:sz="0" w:space="0" w:color="auto"/>
                  </w:divBdr>
                  <w:divsChild>
                    <w:div w:id="476725093">
                      <w:marLeft w:val="0"/>
                      <w:marRight w:val="0"/>
                      <w:marTop w:val="0"/>
                      <w:marBottom w:val="0"/>
                      <w:divBdr>
                        <w:top w:val="none" w:sz="0" w:space="0" w:color="auto"/>
                        <w:left w:val="none" w:sz="0" w:space="0" w:color="auto"/>
                        <w:bottom w:val="none" w:sz="0" w:space="0" w:color="auto"/>
                        <w:right w:val="none" w:sz="0" w:space="0" w:color="auto"/>
                      </w:divBdr>
                      <w:divsChild>
                        <w:div w:id="20097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79635">
                  <w:marLeft w:val="0"/>
                  <w:marRight w:val="0"/>
                  <w:marTop w:val="240"/>
                  <w:marBottom w:val="0"/>
                  <w:divBdr>
                    <w:top w:val="none" w:sz="0" w:space="0" w:color="auto"/>
                    <w:left w:val="none" w:sz="0" w:space="0" w:color="auto"/>
                    <w:bottom w:val="none" w:sz="0" w:space="0" w:color="auto"/>
                    <w:right w:val="none" w:sz="0" w:space="0" w:color="auto"/>
                  </w:divBdr>
                  <w:divsChild>
                    <w:div w:id="369887507">
                      <w:marLeft w:val="0"/>
                      <w:marRight w:val="0"/>
                      <w:marTop w:val="0"/>
                      <w:marBottom w:val="0"/>
                      <w:divBdr>
                        <w:top w:val="none" w:sz="0" w:space="0" w:color="auto"/>
                        <w:left w:val="none" w:sz="0" w:space="0" w:color="auto"/>
                        <w:bottom w:val="none" w:sz="0" w:space="0" w:color="auto"/>
                        <w:right w:val="none" w:sz="0" w:space="0" w:color="auto"/>
                      </w:divBdr>
                      <w:divsChild>
                        <w:div w:id="16013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9404">
                  <w:marLeft w:val="0"/>
                  <w:marRight w:val="0"/>
                  <w:marTop w:val="240"/>
                  <w:marBottom w:val="0"/>
                  <w:divBdr>
                    <w:top w:val="none" w:sz="0" w:space="0" w:color="auto"/>
                    <w:left w:val="none" w:sz="0" w:space="0" w:color="auto"/>
                    <w:bottom w:val="none" w:sz="0" w:space="0" w:color="auto"/>
                    <w:right w:val="none" w:sz="0" w:space="0" w:color="auto"/>
                  </w:divBdr>
                  <w:divsChild>
                    <w:div w:id="1949502354">
                      <w:marLeft w:val="0"/>
                      <w:marRight w:val="0"/>
                      <w:marTop w:val="0"/>
                      <w:marBottom w:val="0"/>
                      <w:divBdr>
                        <w:top w:val="none" w:sz="0" w:space="0" w:color="auto"/>
                        <w:left w:val="none" w:sz="0" w:space="0" w:color="auto"/>
                        <w:bottom w:val="none" w:sz="0" w:space="0" w:color="auto"/>
                        <w:right w:val="none" w:sz="0" w:space="0" w:color="auto"/>
                      </w:divBdr>
                      <w:divsChild>
                        <w:div w:id="814418471">
                          <w:marLeft w:val="0"/>
                          <w:marRight w:val="0"/>
                          <w:marTop w:val="0"/>
                          <w:marBottom w:val="0"/>
                          <w:divBdr>
                            <w:top w:val="none" w:sz="0" w:space="0" w:color="auto"/>
                            <w:left w:val="none" w:sz="0" w:space="0" w:color="auto"/>
                            <w:bottom w:val="none" w:sz="0" w:space="0" w:color="auto"/>
                            <w:right w:val="none" w:sz="0" w:space="0" w:color="auto"/>
                          </w:divBdr>
                        </w:div>
                      </w:divsChild>
                    </w:div>
                    <w:div w:id="1097020514">
                      <w:marLeft w:val="0"/>
                      <w:marRight w:val="0"/>
                      <w:marTop w:val="240"/>
                      <w:marBottom w:val="0"/>
                      <w:divBdr>
                        <w:top w:val="none" w:sz="0" w:space="0" w:color="auto"/>
                        <w:left w:val="none" w:sz="0" w:space="0" w:color="auto"/>
                        <w:bottom w:val="none" w:sz="0" w:space="0" w:color="auto"/>
                        <w:right w:val="none" w:sz="0" w:space="0" w:color="auto"/>
                      </w:divBdr>
                      <w:divsChild>
                        <w:div w:id="1747727906">
                          <w:marLeft w:val="0"/>
                          <w:marRight w:val="0"/>
                          <w:marTop w:val="0"/>
                          <w:marBottom w:val="0"/>
                          <w:divBdr>
                            <w:top w:val="none" w:sz="0" w:space="0" w:color="auto"/>
                            <w:left w:val="none" w:sz="0" w:space="0" w:color="auto"/>
                            <w:bottom w:val="none" w:sz="0" w:space="0" w:color="auto"/>
                            <w:right w:val="none" w:sz="0" w:space="0" w:color="auto"/>
                          </w:divBdr>
                          <w:divsChild>
                            <w:div w:id="15193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2523">
                      <w:marLeft w:val="0"/>
                      <w:marRight w:val="0"/>
                      <w:marTop w:val="240"/>
                      <w:marBottom w:val="0"/>
                      <w:divBdr>
                        <w:top w:val="none" w:sz="0" w:space="0" w:color="auto"/>
                        <w:left w:val="none" w:sz="0" w:space="0" w:color="auto"/>
                        <w:bottom w:val="none" w:sz="0" w:space="0" w:color="auto"/>
                        <w:right w:val="none" w:sz="0" w:space="0" w:color="auto"/>
                      </w:divBdr>
                      <w:divsChild>
                        <w:div w:id="1301420843">
                          <w:marLeft w:val="0"/>
                          <w:marRight w:val="0"/>
                          <w:marTop w:val="0"/>
                          <w:marBottom w:val="0"/>
                          <w:divBdr>
                            <w:top w:val="none" w:sz="0" w:space="0" w:color="auto"/>
                            <w:left w:val="none" w:sz="0" w:space="0" w:color="auto"/>
                            <w:bottom w:val="none" w:sz="0" w:space="0" w:color="auto"/>
                            <w:right w:val="none" w:sz="0" w:space="0" w:color="auto"/>
                          </w:divBdr>
                          <w:divsChild>
                            <w:div w:id="10030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4425">
                      <w:marLeft w:val="0"/>
                      <w:marRight w:val="0"/>
                      <w:marTop w:val="240"/>
                      <w:marBottom w:val="0"/>
                      <w:divBdr>
                        <w:top w:val="none" w:sz="0" w:space="0" w:color="auto"/>
                        <w:left w:val="none" w:sz="0" w:space="0" w:color="auto"/>
                        <w:bottom w:val="none" w:sz="0" w:space="0" w:color="auto"/>
                        <w:right w:val="none" w:sz="0" w:space="0" w:color="auto"/>
                      </w:divBdr>
                      <w:divsChild>
                        <w:div w:id="781919728">
                          <w:marLeft w:val="0"/>
                          <w:marRight w:val="0"/>
                          <w:marTop w:val="0"/>
                          <w:marBottom w:val="0"/>
                          <w:divBdr>
                            <w:top w:val="none" w:sz="0" w:space="0" w:color="auto"/>
                            <w:left w:val="none" w:sz="0" w:space="0" w:color="auto"/>
                            <w:bottom w:val="none" w:sz="0" w:space="0" w:color="auto"/>
                            <w:right w:val="none" w:sz="0" w:space="0" w:color="auto"/>
                          </w:divBdr>
                          <w:divsChild>
                            <w:div w:id="3296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3011">
              <w:marLeft w:val="0"/>
              <w:marRight w:val="0"/>
              <w:marTop w:val="240"/>
              <w:marBottom w:val="0"/>
              <w:divBdr>
                <w:top w:val="none" w:sz="0" w:space="0" w:color="auto"/>
                <w:left w:val="none" w:sz="0" w:space="0" w:color="auto"/>
                <w:bottom w:val="none" w:sz="0" w:space="0" w:color="auto"/>
                <w:right w:val="none" w:sz="0" w:space="0" w:color="auto"/>
              </w:divBdr>
              <w:divsChild>
                <w:div w:id="993416880">
                  <w:marLeft w:val="0"/>
                  <w:marRight w:val="0"/>
                  <w:marTop w:val="0"/>
                  <w:marBottom w:val="0"/>
                  <w:divBdr>
                    <w:top w:val="none" w:sz="0" w:space="0" w:color="auto"/>
                    <w:left w:val="none" w:sz="0" w:space="0" w:color="auto"/>
                    <w:bottom w:val="none" w:sz="0" w:space="0" w:color="auto"/>
                    <w:right w:val="none" w:sz="0" w:space="0" w:color="auto"/>
                  </w:divBdr>
                  <w:divsChild>
                    <w:div w:id="8716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3196">
              <w:marLeft w:val="0"/>
              <w:marRight w:val="0"/>
              <w:marTop w:val="240"/>
              <w:marBottom w:val="0"/>
              <w:divBdr>
                <w:top w:val="none" w:sz="0" w:space="0" w:color="auto"/>
                <w:left w:val="none" w:sz="0" w:space="0" w:color="auto"/>
                <w:bottom w:val="none" w:sz="0" w:space="0" w:color="auto"/>
                <w:right w:val="none" w:sz="0" w:space="0" w:color="auto"/>
              </w:divBdr>
              <w:divsChild>
                <w:div w:id="1657421296">
                  <w:marLeft w:val="0"/>
                  <w:marRight w:val="0"/>
                  <w:marTop w:val="0"/>
                  <w:marBottom w:val="0"/>
                  <w:divBdr>
                    <w:top w:val="none" w:sz="0" w:space="0" w:color="auto"/>
                    <w:left w:val="none" w:sz="0" w:space="0" w:color="auto"/>
                    <w:bottom w:val="none" w:sz="0" w:space="0" w:color="auto"/>
                    <w:right w:val="none" w:sz="0" w:space="0" w:color="auto"/>
                  </w:divBdr>
                  <w:divsChild>
                    <w:div w:id="18412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7252">
              <w:marLeft w:val="0"/>
              <w:marRight w:val="0"/>
              <w:marTop w:val="240"/>
              <w:marBottom w:val="0"/>
              <w:divBdr>
                <w:top w:val="none" w:sz="0" w:space="0" w:color="auto"/>
                <w:left w:val="none" w:sz="0" w:space="0" w:color="auto"/>
                <w:bottom w:val="none" w:sz="0" w:space="0" w:color="auto"/>
                <w:right w:val="none" w:sz="0" w:space="0" w:color="auto"/>
              </w:divBdr>
              <w:divsChild>
                <w:div w:id="1400401795">
                  <w:marLeft w:val="0"/>
                  <w:marRight w:val="0"/>
                  <w:marTop w:val="0"/>
                  <w:marBottom w:val="0"/>
                  <w:divBdr>
                    <w:top w:val="none" w:sz="0" w:space="0" w:color="auto"/>
                    <w:left w:val="none" w:sz="0" w:space="0" w:color="auto"/>
                    <w:bottom w:val="none" w:sz="0" w:space="0" w:color="auto"/>
                    <w:right w:val="none" w:sz="0" w:space="0" w:color="auto"/>
                  </w:divBdr>
                  <w:divsChild>
                    <w:div w:id="11413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1049">
          <w:marLeft w:val="0"/>
          <w:marRight w:val="0"/>
          <w:marTop w:val="240"/>
          <w:marBottom w:val="0"/>
          <w:divBdr>
            <w:top w:val="none" w:sz="0" w:space="0" w:color="auto"/>
            <w:left w:val="none" w:sz="0" w:space="0" w:color="auto"/>
            <w:bottom w:val="none" w:sz="0" w:space="0" w:color="auto"/>
            <w:right w:val="none" w:sz="0" w:space="0" w:color="auto"/>
          </w:divBdr>
          <w:divsChild>
            <w:div w:id="236744220">
              <w:marLeft w:val="0"/>
              <w:marRight w:val="0"/>
              <w:marTop w:val="0"/>
              <w:marBottom w:val="0"/>
              <w:divBdr>
                <w:top w:val="none" w:sz="0" w:space="0" w:color="auto"/>
                <w:left w:val="none" w:sz="0" w:space="0" w:color="auto"/>
                <w:bottom w:val="none" w:sz="0" w:space="0" w:color="auto"/>
                <w:right w:val="none" w:sz="0" w:space="0" w:color="auto"/>
              </w:divBdr>
              <w:divsChild>
                <w:div w:id="908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161">
          <w:marLeft w:val="0"/>
          <w:marRight w:val="0"/>
          <w:marTop w:val="240"/>
          <w:marBottom w:val="0"/>
          <w:divBdr>
            <w:top w:val="none" w:sz="0" w:space="0" w:color="auto"/>
            <w:left w:val="none" w:sz="0" w:space="0" w:color="auto"/>
            <w:bottom w:val="none" w:sz="0" w:space="0" w:color="auto"/>
            <w:right w:val="none" w:sz="0" w:space="0" w:color="auto"/>
          </w:divBdr>
          <w:divsChild>
            <w:div w:id="1746024974">
              <w:marLeft w:val="0"/>
              <w:marRight w:val="0"/>
              <w:marTop w:val="0"/>
              <w:marBottom w:val="0"/>
              <w:divBdr>
                <w:top w:val="none" w:sz="0" w:space="0" w:color="auto"/>
                <w:left w:val="none" w:sz="0" w:space="0" w:color="auto"/>
                <w:bottom w:val="none" w:sz="0" w:space="0" w:color="auto"/>
                <w:right w:val="none" w:sz="0" w:space="0" w:color="auto"/>
              </w:divBdr>
              <w:divsChild>
                <w:div w:id="96993913">
                  <w:marLeft w:val="0"/>
                  <w:marRight w:val="0"/>
                  <w:marTop w:val="0"/>
                  <w:marBottom w:val="0"/>
                  <w:divBdr>
                    <w:top w:val="none" w:sz="0" w:space="0" w:color="auto"/>
                    <w:left w:val="none" w:sz="0" w:space="0" w:color="auto"/>
                    <w:bottom w:val="none" w:sz="0" w:space="0" w:color="auto"/>
                    <w:right w:val="none" w:sz="0" w:space="0" w:color="auto"/>
                  </w:divBdr>
                </w:div>
              </w:divsChild>
            </w:div>
            <w:div w:id="509101052">
              <w:marLeft w:val="0"/>
              <w:marRight w:val="0"/>
              <w:marTop w:val="240"/>
              <w:marBottom w:val="0"/>
              <w:divBdr>
                <w:top w:val="none" w:sz="0" w:space="0" w:color="auto"/>
                <w:left w:val="none" w:sz="0" w:space="0" w:color="auto"/>
                <w:bottom w:val="none" w:sz="0" w:space="0" w:color="auto"/>
                <w:right w:val="none" w:sz="0" w:space="0" w:color="auto"/>
              </w:divBdr>
              <w:divsChild>
                <w:div w:id="677657181">
                  <w:marLeft w:val="0"/>
                  <w:marRight w:val="0"/>
                  <w:marTop w:val="0"/>
                  <w:marBottom w:val="0"/>
                  <w:divBdr>
                    <w:top w:val="none" w:sz="0" w:space="0" w:color="auto"/>
                    <w:left w:val="none" w:sz="0" w:space="0" w:color="auto"/>
                    <w:bottom w:val="none" w:sz="0" w:space="0" w:color="auto"/>
                    <w:right w:val="none" w:sz="0" w:space="0" w:color="auto"/>
                  </w:divBdr>
                  <w:divsChild>
                    <w:div w:id="8892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03137">
              <w:marLeft w:val="0"/>
              <w:marRight w:val="0"/>
              <w:marTop w:val="240"/>
              <w:marBottom w:val="0"/>
              <w:divBdr>
                <w:top w:val="none" w:sz="0" w:space="0" w:color="auto"/>
                <w:left w:val="none" w:sz="0" w:space="0" w:color="auto"/>
                <w:bottom w:val="none" w:sz="0" w:space="0" w:color="auto"/>
                <w:right w:val="none" w:sz="0" w:space="0" w:color="auto"/>
              </w:divBdr>
              <w:divsChild>
                <w:div w:id="702511463">
                  <w:marLeft w:val="0"/>
                  <w:marRight w:val="0"/>
                  <w:marTop w:val="0"/>
                  <w:marBottom w:val="0"/>
                  <w:divBdr>
                    <w:top w:val="none" w:sz="0" w:space="0" w:color="auto"/>
                    <w:left w:val="none" w:sz="0" w:space="0" w:color="auto"/>
                    <w:bottom w:val="none" w:sz="0" w:space="0" w:color="auto"/>
                    <w:right w:val="none" w:sz="0" w:space="0" w:color="auto"/>
                  </w:divBdr>
                  <w:divsChild>
                    <w:div w:id="754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20575">
          <w:marLeft w:val="0"/>
          <w:marRight w:val="0"/>
          <w:marTop w:val="240"/>
          <w:marBottom w:val="0"/>
          <w:divBdr>
            <w:top w:val="none" w:sz="0" w:space="0" w:color="auto"/>
            <w:left w:val="none" w:sz="0" w:space="0" w:color="auto"/>
            <w:bottom w:val="none" w:sz="0" w:space="0" w:color="auto"/>
            <w:right w:val="none" w:sz="0" w:space="0" w:color="auto"/>
          </w:divBdr>
          <w:divsChild>
            <w:div w:id="1699045525">
              <w:marLeft w:val="0"/>
              <w:marRight w:val="0"/>
              <w:marTop w:val="0"/>
              <w:marBottom w:val="0"/>
              <w:divBdr>
                <w:top w:val="none" w:sz="0" w:space="0" w:color="auto"/>
                <w:left w:val="none" w:sz="0" w:space="0" w:color="auto"/>
                <w:bottom w:val="none" w:sz="0" w:space="0" w:color="auto"/>
                <w:right w:val="none" w:sz="0" w:space="0" w:color="auto"/>
              </w:divBdr>
              <w:divsChild>
                <w:div w:id="10626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8122">
          <w:marLeft w:val="0"/>
          <w:marRight w:val="0"/>
          <w:marTop w:val="240"/>
          <w:marBottom w:val="0"/>
          <w:divBdr>
            <w:top w:val="none" w:sz="0" w:space="0" w:color="auto"/>
            <w:left w:val="none" w:sz="0" w:space="0" w:color="auto"/>
            <w:bottom w:val="none" w:sz="0" w:space="0" w:color="auto"/>
            <w:right w:val="none" w:sz="0" w:space="0" w:color="auto"/>
          </w:divBdr>
          <w:divsChild>
            <w:div w:id="1660690944">
              <w:marLeft w:val="0"/>
              <w:marRight w:val="0"/>
              <w:marTop w:val="0"/>
              <w:marBottom w:val="0"/>
              <w:divBdr>
                <w:top w:val="none" w:sz="0" w:space="0" w:color="auto"/>
                <w:left w:val="none" w:sz="0" w:space="0" w:color="auto"/>
                <w:bottom w:val="none" w:sz="0" w:space="0" w:color="auto"/>
                <w:right w:val="none" w:sz="0" w:space="0" w:color="auto"/>
              </w:divBdr>
              <w:divsChild>
                <w:div w:id="7065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28520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Fox, Yolanda</cp:lastModifiedBy>
  <cp:revision>2</cp:revision>
  <cp:lastPrinted>2012-05-18T16:39:00Z</cp:lastPrinted>
  <dcterms:created xsi:type="dcterms:W3CDTF">2026-06-01T17:37:00Z</dcterms:created>
  <dcterms:modified xsi:type="dcterms:W3CDTF">2026-06-01T17:37:00Z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y fmtid="{D5CDD505-2E9C-101B-9397-08002B2CF9AE}" pid="5" name="GrammarlyDocumentId">
    <vt:lpwstr>d944c3a6-e824-43f7-a375-180fb5b4cb93</vt:lpwstr>
  </property>
</Properties>
</file>