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C4358" w14:textId="77777777" w:rsidR="006E5AA7" w:rsidRDefault="0037425E">
      <w:pPr>
        <w:rPr>
          <w:sz w:val="28"/>
          <w:szCs w:val="28"/>
          <w:vertAlign w:val="baseline"/>
        </w:rPr>
      </w:pPr>
      <w:r>
        <w:rPr>
          <w:sz w:val="28"/>
          <w:szCs w:val="28"/>
          <w:vertAlign w:val="baseline"/>
        </w:rPr>
        <w:t>Kevin D. Heade</w:t>
      </w:r>
    </w:p>
    <w:p w14:paraId="68504D66" w14:textId="77777777" w:rsidR="006E5AA7" w:rsidRDefault="0037425E">
      <w:pPr>
        <w:rPr>
          <w:sz w:val="28"/>
          <w:szCs w:val="28"/>
          <w:vertAlign w:val="baseline"/>
        </w:rPr>
      </w:pPr>
      <w:r>
        <w:rPr>
          <w:sz w:val="28"/>
          <w:szCs w:val="28"/>
          <w:vertAlign w:val="baseline"/>
        </w:rPr>
        <w:t xml:space="preserve">AZ State Bar # </w:t>
      </w:r>
      <w:r w:rsidR="00131EB3">
        <w:rPr>
          <w:color w:val="222222"/>
          <w:sz w:val="28"/>
          <w:szCs w:val="28"/>
          <w:highlight w:val="white"/>
          <w:vertAlign w:val="baseline"/>
        </w:rPr>
        <w:t>029909</w:t>
      </w:r>
    </w:p>
    <w:p w14:paraId="747191F5" w14:textId="5D7055AB" w:rsidR="00D36433" w:rsidRDefault="0037425E">
      <w:pPr>
        <w:rPr>
          <w:sz w:val="28"/>
          <w:szCs w:val="28"/>
          <w:vertAlign w:val="baseline"/>
        </w:rPr>
      </w:pPr>
      <w:r>
        <w:rPr>
          <w:sz w:val="28"/>
          <w:szCs w:val="28"/>
          <w:vertAlign w:val="baseline"/>
        </w:rPr>
        <w:t>Training Director</w:t>
      </w:r>
    </w:p>
    <w:p w14:paraId="39935C62" w14:textId="0AEE3BBC" w:rsidR="00E03E8D" w:rsidRDefault="00E03E8D">
      <w:pPr>
        <w:rPr>
          <w:sz w:val="28"/>
          <w:szCs w:val="28"/>
          <w:vertAlign w:val="baseline"/>
        </w:rPr>
      </w:pPr>
      <w:r>
        <w:rPr>
          <w:sz w:val="28"/>
          <w:szCs w:val="28"/>
          <w:vertAlign w:val="baseline"/>
        </w:rPr>
        <w:t>Pinal County Public Defender</w:t>
      </w:r>
    </w:p>
    <w:p w14:paraId="6BB643D4" w14:textId="3EDE6265" w:rsidR="006E5AA7" w:rsidRDefault="0037425E">
      <w:pPr>
        <w:rPr>
          <w:sz w:val="28"/>
          <w:szCs w:val="28"/>
          <w:vertAlign w:val="baseline"/>
        </w:rPr>
      </w:pPr>
      <w:r>
        <w:rPr>
          <w:sz w:val="28"/>
          <w:szCs w:val="28"/>
          <w:vertAlign w:val="baseline"/>
        </w:rPr>
        <w:t>P.O. Box 2457</w:t>
      </w:r>
    </w:p>
    <w:p w14:paraId="4A550CEF" w14:textId="77777777" w:rsidR="006E5AA7" w:rsidRDefault="0037425E">
      <w:pPr>
        <w:rPr>
          <w:sz w:val="28"/>
          <w:szCs w:val="28"/>
          <w:vertAlign w:val="baseline"/>
        </w:rPr>
      </w:pPr>
      <w:r>
        <w:rPr>
          <w:sz w:val="28"/>
          <w:szCs w:val="28"/>
          <w:vertAlign w:val="baseline"/>
        </w:rPr>
        <w:t>Florence, AZ 85132</w:t>
      </w:r>
    </w:p>
    <w:p w14:paraId="59B0F6CF" w14:textId="77777777" w:rsidR="00D36433" w:rsidRDefault="0037425E">
      <w:pPr>
        <w:rPr>
          <w:sz w:val="28"/>
          <w:szCs w:val="28"/>
          <w:vertAlign w:val="baseline"/>
        </w:rPr>
      </w:pPr>
      <w:r>
        <w:rPr>
          <w:sz w:val="28"/>
          <w:szCs w:val="28"/>
          <w:vertAlign w:val="baseline"/>
        </w:rPr>
        <w:t>(52) 866-7199</w:t>
      </w:r>
    </w:p>
    <w:p w14:paraId="4E2B8B04" w14:textId="00755A74" w:rsidR="003206D1" w:rsidRDefault="00D36433">
      <w:pPr>
        <w:rPr>
          <w:sz w:val="28"/>
          <w:szCs w:val="28"/>
          <w:vertAlign w:val="baseline"/>
        </w:rPr>
      </w:pPr>
      <w:r>
        <w:rPr>
          <w:sz w:val="28"/>
          <w:szCs w:val="28"/>
          <w:vertAlign w:val="baseline"/>
        </w:rPr>
        <w:t>Kevin.Heade@Pinal.gov</w:t>
      </w:r>
    </w:p>
    <w:p w14:paraId="77810938" w14:textId="77777777" w:rsidR="006E5AA7" w:rsidRDefault="006E5AA7">
      <w:pPr>
        <w:keepNext/>
        <w:jc w:val="center"/>
        <w:rPr>
          <w:b/>
          <w:sz w:val="28"/>
          <w:szCs w:val="28"/>
          <w:vertAlign w:val="baseline"/>
        </w:rPr>
      </w:pPr>
    </w:p>
    <w:p w14:paraId="2C4B9159" w14:textId="77777777" w:rsidR="006E5AA7" w:rsidRDefault="006E5AA7">
      <w:pPr>
        <w:keepNext/>
        <w:jc w:val="center"/>
        <w:rPr>
          <w:b/>
          <w:sz w:val="28"/>
          <w:szCs w:val="28"/>
          <w:vertAlign w:val="baseline"/>
        </w:rPr>
      </w:pPr>
    </w:p>
    <w:p w14:paraId="6A13BB4D" w14:textId="77777777" w:rsidR="006E5AA7" w:rsidRPr="00DF19B4" w:rsidRDefault="0037425E">
      <w:pPr>
        <w:keepNext/>
        <w:jc w:val="center"/>
        <w:rPr>
          <w:b/>
          <w:sz w:val="36"/>
          <w:szCs w:val="36"/>
          <w:vertAlign w:val="baseline"/>
        </w:rPr>
      </w:pPr>
      <w:r w:rsidRPr="00DF19B4">
        <w:rPr>
          <w:b/>
          <w:sz w:val="36"/>
          <w:szCs w:val="36"/>
          <w:vertAlign w:val="baseline"/>
        </w:rPr>
        <w:t>IN THE SUPREME COURT</w:t>
      </w:r>
    </w:p>
    <w:p w14:paraId="12056D1D" w14:textId="77777777" w:rsidR="006E5AA7" w:rsidRDefault="0037425E">
      <w:pPr>
        <w:keepNext/>
        <w:jc w:val="center"/>
        <w:rPr>
          <w:b/>
          <w:sz w:val="36"/>
          <w:szCs w:val="36"/>
          <w:vertAlign w:val="baseline"/>
        </w:rPr>
      </w:pPr>
      <w:r w:rsidRPr="00DF19B4">
        <w:rPr>
          <w:b/>
          <w:sz w:val="36"/>
          <w:szCs w:val="36"/>
          <w:vertAlign w:val="baseline"/>
        </w:rPr>
        <w:t>IN AND FOR THE STATE OF ARIZONA</w:t>
      </w:r>
    </w:p>
    <w:p w14:paraId="7537B9D7" w14:textId="77777777" w:rsidR="006E5AA7" w:rsidRDefault="006E5AA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440FDC" w14:paraId="64697B75" w14:textId="77777777">
        <w:trPr>
          <w:trHeight w:val="2655"/>
        </w:trPr>
        <w:tc>
          <w:tcPr>
            <w:tcW w:w="4767" w:type="dxa"/>
            <w:tcBorders>
              <w:bottom w:val="single" w:sz="4" w:space="0" w:color="000000"/>
            </w:tcBorders>
          </w:tcPr>
          <w:p w14:paraId="75E151CE" w14:textId="77777777" w:rsidR="006E5AA7" w:rsidRDefault="0037425E">
            <w:pPr>
              <w:spacing w:after="120"/>
              <w:ind w:right="87"/>
              <w:rPr>
                <w:sz w:val="28"/>
                <w:szCs w:val="28"/>
                <w:vertAlign w:val="baseline"/>
              </w:rPr>
            </w:pPr>
            <w:bookmarkStart w:id="0" w:name="bookmark=id.gjdgxs" w:colFirst="0" w:colLast="0"/>
            <w:bookmarkEnd w:id="0"/>
            <w:r>
              <w:rPr>
                <w:sz w:val="28"/>
                <w:szCs w:val="28"/>
                <w:vertAlign w:val="baseline"/>
              </w:rPr>
              <w:t>In the matter of:</w:t>
            </w:r>
          </w:p>
          <w:p w14:paraId="600C50D5" w14:textId="77777777" w:rsidR="006E5AA7" w:rsidRDefault="006E5AA7">
            <w:pPr>
              <w:spacing w:after="120"/>
              <w:ind w:right="87"/>
              <w:rPr>
                <w:sz w:val="28"/>
                <w:szCs w:val="28"/>
                <w:vertAlign w:val="baseline"/>
              </w:rPr>
            </w:pPr>
          </w:p>
          <w:p w14:paraId="5385E51A" w14:textId="21C85742" w:rsidR="006E5AA7" w:rsidRDefault="0037425E" w:rsidP="00567971">
            <w:pPr>
              <w:spacing w:after="120"/>
              <w:ind w:right="87"/>
              <w:rPr>
                <w:sz w:val="28"/>
                <w:szCs w:val="28"/>
                <w:vertAlign w:val="baseline"/>
              </w:rPr>
            </w:pPr>
            <w:r w:rsidRPr="00417ABE">
              <w:rPr>
                <w:sz w:val="28"/>
                <w:szCs w:val="28"/>
                <w:vertAlign w:val="baseline"/>
              </w:rPr>
              <w:t xml:space="preserve">Petition to Amend </w:t>
            </w:r>
            <w:bookmarkStart w:id="1" w:name="dabmci_fe48d706a5294e2980f734a4393a456b"/>
            <w:r w:rsidRPr="00417ABE">
              <w:fldChar w:fldCharType="begin"/>
            </w:r>
            <w:r w:rsidRPr="00417ABE">
              <w:instrText xml:space="preserve"> HYPERLINK "https://www.westlaw.com/Document/N04C36671C30911EDAC23FF23DD106B76/View/FullText.html?transitionType=Default&amp;contextData=(sc.Default)&amp;VR=3.0&amp;RS=da3.0" </w:instrText>
            </w:r>
            <w:r w:rsidRPr="00417ABE">
              <w:fldChar w:fldCharType="separate"/>
            </w:r>
            <w:r w:rsidRPr="00417ABE">
              <w:rPr>
                <w:sz w:val="28"/>
                <w:szCs w:val="28"/>
                <w:vertAlign w:val="baseline"/>
              </w:rPr>
              <w:t>Ariz. R. Crim. P. 6.3</w:t>
            </w:r>
            <w:r w:rsidRPr="00417ABE">
              <w:rPr>
                <w:sz w:val="28"/>
                <w:szCs w:val="28"/>
                <w:vertAlign w:val="baseline"/>
              </w:rPr>
              <w:fldChar w:fldCharType="end"/>
            </w:r>
            <w:bookmarkStart w:id="2" w:name="dabmen_fe48d706a5294e2980f734a4393a456b"/>
            <w:bookmarkEnd w:id="1"/>
            <w:bookmarkEnd w:id="2"/>
            <w:r w:rsidRPr="00417ABE">
              <w:rPr>
                <w:sz w:val="28"/>
                <w:szCs w:val="28"/>
                <w:vertAlign w:val="baseline"/>
              </w:rPr>
              <w:t xml:space="preserve"> to Protect a Defendant’s Post-Conviction Rights and Comply with </w:t>
            </w:r>
            <w:bookmarkStart w:id="3" w:name="dabmci_0841315b380f4c7bacc90653cc1daaad"/>
            <w:r w:rsidRPr="00417ABE">
              <w:fldChar w:fldCharType="begin"/>
            </w:r>
            <w:r w:rsidRPr="00417ABE">
              <w:instrText xml:space="preserve"> HYPERLINK "https://www.westlaw.com/Document/I90cb43573a8211e9bc5c825c4b9add2e/View/FullText.html?transitionType=Default&amp;contextData=(sc.Default)&amp;VR=3.0&amp;RS=da3.0" </w:instrText>
            </w:r>
            <w:r w:rsidRPr="00417ABE">
              <w:fldChar w:fldCharType="separate"/>
            </w:r>
            <w:r w:rsidRPr="00417ABE">
              <w:rPr>
                <w:i/>
                <w:sz w:val="28"/>
                <w:szCs w:val="28"/>
                <w:vertAlign w:val="baseline"/>
              </w:rPr>
              <w:t>Garza v. Idaho</w:t>
            </w:r>
            <w:r w:rsidRPr="00417ABE">
              <w:rPr>
                <w:sz w:val="28"/>
                <w:szCs w:val="28"/>
                <w:vertAlign w:val="baseline"/>
              </w:rPr>
              <w:t>,</w:t>
            </w:r>
            <w:r w:rsidR="00FB1FFB">
              <w:rPr>
                <w:sz w:val="28"/>
                <w:szCs w:val="28"/>
                <w:vertAlign w:val="baseline"/>
              </w:rPr>
              <w:t xml:space="preserve"> </w:t>
            </w:r>
            <w:r w:rsidRPr="00417ABE">
              <w:rPr>
                <w:sz w:val="28"/>
                <w:szCs w:val="28"/>
                <w:vertAlign w:val="baseline"/>
              </w:rPr>
              <w:t>586 U.S. 232 (2019)</w:t>
            </w:r>
            <w:r w:rsidRPr="00417ABE">
              <w:rPr>
                <w:sz w:val="28"/>
                <w:szCs w:val="28"/>
                <w:vertAlign w:val="baseline"/>
              </w:rPr>
              <w:fldChar w:fldCharType="end"/>
            </w:r>
            <w:bookmarkStart w:id="4" w:name="dabmen_0841315b380f4c7bacc90653cc1daaad"/>
            <w:bookmarkEnd w:id="3"/>
            <w:bookmarkEnd w:id="4"/>
          </w:p>
        </w:tc>
        <w:tc>
          <w:tcPr>
            <w:tcW w:w="25" w:type="dxa"/>
            <w:tcBorders>
              <w:right w:val="single" w:sz="4" w:space="0" w:color="000000"/>
            </w:tcBorders>
          </w:tcPr>
          <w:p w14:paraId="52B2FB99" w14:textId="243E9E13" w:rsidR="006E5AA7" w:rsidRDefault="00FB1FFB">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14:paraId="376AFEAA" w14:textId="77777777" w:rsidR="006E5AA7" w:rsidRDefault="0037425E">
            <w:pPr>
              <w:spacing w:line="254" w:lineRule="auto"/>
              <w:ind w:left="248" w:right="-40"/>
              <w:rPr>
                <w:sz w:val="28"/>
                <w:szCs w:val="28"/>
                <w:vertAlign w:val="baseline"/>
              </w:rPr>
            </w:pPr>
            <w:bookmarkStart w:id="5" w:name="bookmark=id.30j0zll" w:colFirst="0" w:colLast="0"/>
            <w:bookmarkEnd w:id="5"/>
            <w:r>
              <w:rPr>
                <w:sz w:val="28"/>
                <w:szCs w:val="28"/>
                <w:vertAlign w:val="baseline"/>
              </w:rPr>
              <w:t xml:space="preserve">Arizona Supreme Court </w:t>
            </w:r>
          </w:p>
          <w:p w14:paraId="1EB890AF" w14:textId="2AE78A16" w:rsidR="006E5AA7" w:rsidRDefault="002E1AFF">
            <w:pPr>
              <w:spacing w:line="254" w:lineRule="auto"/>
              <w:ind w:left="248" w:right="-40"/>
              <w:rPr>
                <w:b/>
                <w:sz w:val="28"/>
                <w:szCs w:val="28"/>
                <w:vertAlign w:val="baseline"/>
              </w:rPr>
            </w:pPr>
            <w:r>
              <w:rPr>
                <w:sz w:val="28"/>
                <w:szCs w:val="28"/>
                <w:vertAlign w:val="baseline"/>
              </w:rPr>
              <w:t>No. R-26-0007</w:t>
            </w:r>
          </w:p>
          <w:p w14:paraId="299343A5" w14:textId="77777777" w:rsidR="006E5AA7" w:rsidRDefault="006E5AA7">
            <w:pPr>
              <w:spacing w:line="254" w:lineRule="auto"/>
              <w:ind w:right="-40"/>
              <w:rPr>
                <w:b/>
                <w:sz w:val="28"/>
                <w:szCs w:val="28"/>
                <w:vertAlign w:val="baseline"/>
              </w:rPr>
            </w:pPr>
          </w:p>
          <w:p w14:paraId="1196E204" w14:textId="51843776" w:rsidR="006E5AA7" w:rsidRPr="00027682" w:rsidRDefault="00FE582B" w:rsidP="00027682">
            <w:pPr>
              <w:ind w:left="248" w:right="-40"/>
              <w:rPr>
                <w:b/>
                <w:sz w:val="28"/>
                <w:szCs w:val="28"/>
                <w:vertAlign w:val="baseline"/>
              </w:rPr>
            </w:pPr>
            <w:bookmarkStart w:id="6" w:name="bookmark=id.tyjcwt" w:colFirst="0" w:colLast="0"/>
            <w:bookmarkEnd w:id="6"/>
            <w:r w:rsidRPr="00417ABE">
              <w:rPr>
                <w:b/>
                <w:sz w:val="28"/>
                <w:szCs w:val="28"/>
                <w:vertAlign w:val="baseline"/>
              </w:rPr>
              <w:t xml:space="preserve">Reply Re: Petition to Amend </w:t>
            </w:r>
            <w:bookmarkStart w:id="7" w:name="dabmci_d82d35a4b9e242a8b2fd587ab6d73212"/>
            <w:r w:rsidR="0037425E" w:rsidRPr="00417ABE">
              <w:fldChar w:fldCharType="begin"/>
            </w:r>
            <w:r w:rsidR="0037425E" w:rsidRPr="00417ABE">
              <w:instrText xml:space="preserve"> HYPERLINK "https://www.westlaw.com/Document/N04C36671C30911EDAC23FF23DD106B76/View/FullText.html?transitionType=Default&amp;contextData=(sc.Default)&amp;VR=3.0&amp;RS=da3.0" </w:instrText>
            </w:r>
            <w:r w:rsidR="0037425E" w:rsidRPr="00417ABE">
              <w:fldChar w:fldCharType="separate"/>
            </w:r>
            <w:r w:rsidRPr="00417ABE">
              <w:rPr>
                <w:b/>
                <w:sz w:val="28"/>
                <w:szCs w:val="28"/>
                <w:vertAlign w:val="baseline"/>
              </w:rPr>
              <w:t>Ariz. R. Crim. P. 6.3</w:t>
            </w:r>
            <w:r w:rsidR="0037425E" w:rsidRPr="00417ABE">
              <w:rPr>
                <w:b/>
                <w:sz w:val="28"/>
                <w:szCs w:val="28"/>
                <w:vertAlign w:val="baseline"/>
              </w:rPr>
              <w:fldChar w:fldCharType="end"/>
            </w:r>
            <w:bookmarkStart w:id="8" w:name="dabmen_d82d35a4b9e242a8b2fd587ab6d73212"/>
            <w:bookmarkEnd w:id="7"/>
            <w:bookmarkEnd w:id="8"/>
            <w:r w:rsidRPr="00417ABE">
              <w:rPr>
                <w:b/>
                <w:sz w:val="28"/>
                <w:szCs w:val="28"/>
                <w:vertAlign w:val="baseline"/>
              </w:rPr>
              <w:t xml:space="preserve"> to Protect a Defendant’s Post-Conviction Rights and Comply with </w:t>
            </w:r>
            <w:bookmarkStart w:id="9" w:name="dabmci_2320f52702354aa083d2819c9d0ede9a"/>
            <w:r w:rsidR="0037425E" w:rsidRPr="00417ABE">
              <w:fldChar w:fldCharType="begin"/>
            </w:r>
            <w:r w:rsidR="0037425E" w:rsidRPr="00417ABE">
              <w:instrText xml:space="preserve"> HYPERLINK "https://www.westlaw.com/Document/I90cb43573a8211e9bc5c825c4b9add2e/View/FullText.html?transitionType=Default&amp;contextData=(sc.Default)&amp;VR=3.0&amp;RS=da3.0" </w:instrText>
            </w:r>
            <w:r w:rsidR="0037425E" w:rsidRPr="00417ABE">
              <w:fldChar w:fldCharType="separate"/>
            </w:r>
            <w:r w:rsidRPr="00417ABE">
              <w:rPr>
                <w:b/>
                <w:i/>
                <w:sz w:val="28"/>
                <w:szCs w:val="28"/>
                <w:vertAlign w:val="baseline"/>
              </w:rPr>
              <w:t>Garza v. Idaho</w:t>
            </w:r>
            <w:r w:rsidRPr="00417ABE">
              <w:rPr>
                <w:b/>
                <w:sz w:val="28"/>
                <w:szCs w:val="28"/>
                <w:vertAlign w:val="baseline"/>
              </w:rPr>
              <w:t>,</w:t>
            </w:r>
            <w:r w:rsidR="00FB1FFB">
              <w:rPr>
                <w:b/>
                <w:sz w:val="28"/>
                <w:szCs w:val="28"/>
                <w:vertAlign w:val="baseline"/>
              </w:rPr>
              <w:t xml:space="preserve"> </w:t>
            </w:r>
            <w:r w:rsidRPr="00417ABE">
              <w:rPr>
                <w:b/>
                <w:sz w:val="28"/>
                <w:szCs w:val="28"/>
                <w:vertAlign w:val="baseline"/>
              </w:rPr>
              <w:t>586 U.S. 232 (2019)</w:t>
            </w:r>
            <w:r w:rsidR="0037425E" w:rsidRPr="00417ABE">
              <w:rPr>
                <w:b/>
                <w:sz w:val="28"/>
                <w:szCs w:val="28"/>
                <w:vertAlign w:val="baseline"/>
              </w:rPr>
              <w:fldChar w:fldCharType="end"/>
            </w:r>
            <w:bookmarkStart w:id="10" w:name="dabmen_2320f52702354aa083d2819c9d0ede9a"/>
            <w:bookmarkEnd w:id="9"/>
            <w:bookmarkEnd w:id="10"/>
          </w:p>
        </w:tc>
      </w:tr>
    </w:tbl>
    <w:p w14:paraId="3DB226B3" w14:textId="77777777" w:rsidR="002F482A" w:rsidRDefault="002F482A" w:rsidP="00C62BBA">
      <w:pPr>
        <w:ind w:firstLine="720"/>
        <w:jc w:val="both"/>
        <w:rPr>
          <w:sz w:val="28"/>
          <w:szCs w:val="28"/>
          <w:vertAlign w:val="baseline"/>
        </w:rPr>
      </w:pPr>
    </w:p>
    <w:p w14:paraId="5BE7A21C" w14:textId="4B26CE2F" w:rsidR="002E1AFF" w:rsidRPr="002E1AFF" w:rsidRDefault="0037425E" w:rsidP="00CE34CF">
      <w:pPr>
        <w:pStyle w:val="NormalWeb"/>
        <w:spacing w:before="0" w:beforeAutospacing="0" w:after="0" w:afterAutospacing="0" w:line="480" w:lineRule="auto"/>
        <w:ind w:firstLine="720"/>
        <w:jc w:val="both"/>
        <w:rPr>
          <w:sz w:val="28"/>
          <w:szCs w:val="28"/>
        </w:rPr>
      </w:pPr>
      <w:r w:rsidRPr="00FD4794">
        <w:rPr>
          <w:sz w:val="28"/>
          <w:szCs w:val="28"/>
        </w:rPr>
        <w:t xml:space="preserve">Pursuant to </w:t>
      </w:r>
      <w:bookmarkStart w:id="11" w:name="dabmci_41304ad958dd4ac093f89b3ae61796e3"/>
      <w:r>
        <w:fldChar w:fldCharType="begin"/>
      </w:r>
      <w:r>
        <w:instrText xml:space="preserve"> HYPERLINK "https://www.westlaw.com/Document/NFC04BF0066DC11DCA632B52023A193A9/View/FullText.html?transitionType=Default&amp;contextData=(sc.Default)&amp;VR=3.0&amp;RS=da3.0" </w:instrText>
      </w:r>
      <w:r>
        <w:fldChar w:fldCharType="separate"/>
      </w:r>
      <w:bookmarkStart w:id="12" w:name="bookmark=id.3dy6vkm" w:colFirst="0" w:colLast="0"/>
      <w:bookmarkEnd w:id="12"/>
      <w:r w:rsidRPr="00FD4794">
        <w:rPr>
          <w:color w:val="3333FF"/>
          <w:sz w:val="28"/>
          <w:szCs w:val="28"/>
        </w:rPr>
        <w:t>Rule 28(a) of the Arizona Supreme Court Rules</w:t>
      </w:r>
      <w:r>
        <w:rPr>
          <w:color w:val="3333FF"/>
          <w:sz w:val="28"/>
          <w:szCs w:val="28"/>
        </w:rPr>
        <w:fldChar w:fldCharType="end"/>
      </w:r>
      <w:bookmarkStart w:id="13" w:name="dabmen_41304ad958dd4ac093f89b3ae61796e3"/>
      <w:bookmarkStart w:id="14" w:name="bookmark=id.1t3h5sf" w:colFirst="0" w:colLast="0"/>
      <w:bookmarkEnd w:id="11"/>
      <w:bookmarkEnd w:id="13"/>
      <w:bookmarkEnd w:id="14"/>
      <w:r>
        <w:rPr>
          <w:sz w:val="28"/>
          <w:szCs w:val="28"/>
        </w:rPr>
        <w:t>, the Pinal County Public Defender and Pinal County Office of Public Defense Services jointly submit this Reply in support of the petition to amend</w:t>
      </w:r>
      <w:r w:rsidR="00FB1FFB">
        <w:rPr>
          <w:sz w:val="28"/>
          <w:szCs w:val="28"/>
        </w:rPr>
        <w:t xml:space="preserve"> </w:t>
      </w:r>
      <w:bookmarkStart w:id="15" w:name="dabmci_c91d61d685684384aeb90f3ecfcc508d"/>
      <w:r>
        <w:fldChar w:fldCharType="begin"/>
      </w:r>
      <w:r>
        <w:instrText xml:space="preserve"> HYPERLINK "https://www.westlaw.com/Document/N04C36671C30911EDAC23FF23DD106B76/View/FullText.html?transitionType=Default&amp;contextData=(sc.Default)&amp;VR=3.0&amp;RS=da3.0" </w:instrText>
      </w:r>
      <w:r>
        <w:fldChar w:fldCharType="separate"/>
      </w:r>
      <w:r>
        <w:rPr>
          <w:color w:val="3333FF"/>
          <w:sz w:val="28"/>
          <w:szCs w:val="28"/>
        </w:rPr>
        <w:t>Ariz. R. Crim. P. 6.3</w:t>
      </w:r>
      <w:r>
        <w:rPr>
          <w:color w:val="3333FF"/>
          <w:sz w:val="28"/>
          <w:szCs w:val="28"/>
        </w:rPr>
        <w:fldChar w:fldCharType="end"/>
      </w:r>
      <w:bookmarkStart w:id="16" w:name="dabmen_c91d61d685684384aeb90f3ecfcc508d"/>
      <w:bookmarkEnd w:id="15"/>
      <w:bookmarkEnd w:id="16"/>
      <w:r>
        <w:rPr>
          <w:sz w:val="28"/>
          <w:szCs w:val="28"/>
        </w:rPr>
        <w:t xml:space="preserve">. The comments overwhelmingly confirm the </w:t>
      </w:r>
      <w:hyperlink r:id="rId9" w:history="1">
        <w:r w:rsidRPr="004000B8">
          <w:rPr>
            <w:rStyle w:val="Hyperlink"/>
            <w:sz w:val="28"/>
            <w:szCs w:val="28"/>
            <w:u w:val="none"/>
          </w:rPr>
          <w:t>Petition’s</w:t>
        </w:r>
      </w:hyperlink>
      <w:r>
        <w:rPr>
          <w:sz w:val="28"/>
          <w:szCs w:val="28"/>
        </w:rPr>
        <w:t xml:space="preserve"> central premise: the current version of </w:t>
      </w:r>
      <w:bookmarkStart w:id="17" w:name="dabmci_4ac37ea6489d4ca1b28fa51a3f12d7db"/>
      <w:r>
        <w:fldChar w:fldCharType="begin"/>
      </w:r>
      <w:r>
        <w:instrText xml:space="preserve"> HYPERLINK "https://www.westlaw.com/Document/N04C36671C30911EDAC23FF23DD106B76/View/FullText.html?transitionType=Default&amp;contextData=(sc.Default)&amp;VR=3.0&amp;RS=da3.0" </w:instrText>
      </w:r>
      <w:r>
        <w:fldChar w:fldCharType="separate"/>
      </w:r>
      <w:r>
        <w:rPr>
          <w:color w:val="3333FF"/>
          <w:sz w:val="28"/>
          <w:szCs w:val="28"/>
        </w:rPr>
        <w:t>Rule 6.3</w:t>
      </w:r>
      <w:r>
        <w:rPr>
          <w:color w:val="3333FF"/>
          <w:sz w:val="28"/>
          <w:szCs w:val="28"/>
        </w:rPr>
        <w:fldChar w:fldCharType="end"/>
      </w:r>
      <w:bookmarkStart w:id="18" w:name="dabmen_4ac37ea6489d4ca1b28fa51a3f12d7db"/>
      <w:bookmarkEnd w:id="17"/>
      <w:bookmarkEnd w:id="18"/>
      <w:r>
        <w:rPr>
          <w:sz w:val="28"/>
          <w:szCs w:val="28"/>
        </w:rPr>
        <w:t xml:space="preserve"> creates a procedural gap that leaves pleading defendants vulnerable to the loss of their only avenue of appellate review through the failure to perform a simple ministerial act. Even the opposing comment reinforces the need for reform by establishing how a drafting oversight in the current rule has contributed to constitutional and ethical misunderstandings. This Court should adopt the proposal. </w:t>
      </w:r>
    </w:p>
    <w:p w14:paraId="74A56581" w14:textId="59C0C859" w:rsidR="0012025D" w:rsidRDefault="0037425E" w:rsidP="00CE34CF">
      <w:pPr>
        <w:pStyle w:val="NormalWeb"/>
        <w:spacing w:before="0" w:beforeAutospacing="0" w:after="0" w:afterAutospacing="0" w:line="480" w:lineRule="auto"/>
        <w:jc w:val="both"/>
        <w:rPr>
          <w:b/>
          <w:sz w:val="28"/>
          <w:szCs w:val="28"/>
        </w:rPr>
      </w:pPr>
      <w:r w:rsidRPr="0012025D">
        <w:rPr>
          <w:b/>
          <w:sz w:val="28"/>
          <w:szCs w:val="28"/>
        </w:rPr>
        <w:lastRenderedPageBreak/>
        <w:t xml:space="preserve">I. </w:t>
      </w:r>
      <w:r w:rsidRPr="0012025D">
        <w:rPr>
          <w:b/>
          <w:sz w:val="28"/>
          <w:szCs w:val="28"/>
        </w:rPr>
        <w:tab/>
        <w:t xml:space="preserve">The Petition Does Not Extend </w:t>
      </w:r>
      <w:r w:rsidRPr="0012025D">
        <w:rPr>
          <w:b/>
          <w:i/>
          <w:sz w:val="28"/>
          <w:szCs w:val="28"/>
        </w:rPr>
        <w:t xml:space="preserve">Garza </w:t>
      </w:r>
      <w:r w:rsidRPr="0012025D">
        <w:rPr>
          <w:b/>
          <w:sz w:val="28"/>
          <w:szCs w:val="28"/>
        </w:rPr>
        <w:t>Beyond Its Constitutional Rationale.</w:t>
      </w:r>
    </w:p>
    <w:p w14:paraId="5C81CBD3" w14:textId="6865938B" w:rsidR="0012025D" w:rsidRPr="000A3AB4" w:rsidRDefault="0037425E" w:rsidP="00CE34CF">
      <w:pPr>
        <w:pStyle w:val="NormalWeb"/>
        <w:spacing w:before="0" w:beforeAutospacing="0" w:after="0" w:afterAutospacing="0" w:line="480" w:lineRule="auto"/>
        <w:ind w:firstLine="720"/>
        <w:contextualSpacing/>
        <w:jc w:val="both"/>
        <w:rPr>
          <w:b/>
          <w:sz w:val="28"/>
          <w:szCs w:val="28"/>
        </w:rPr>
      </w:pPr>
      <w:r w:rsidRPr="000A3AB4">
        <w:rPr>
          <w:sz w:val="28"/>
          <w:szCs w:val="28"/>
        </w:rPr>
        <w:t xml:space="preserve">The opposing comment argues that </w:t>
      </w:r>
      <w:hyperlink r:id="rId10" w:history="1">
        <w:r w:rsidRPr="004000B8">
          <w:rPr>
            <w:rStyle w:val="Hyperlink"/>
            <w:i/>
            <w:sz w:val="28"/>
            <w:szCs w:val="28"/>
            <w:u w:val="none"/>
          </w:rPr>
          <w:t>Garza</w:t>
        </w:r>
        <w:r w:rsidRPr="004000B8">
          <w:rPr>
            <w:rStyle w:val="Hyperlink"/>
            <w:sz w:val="28"/>
            <w:szCs w:val="28"/>
            <w:u w:val="none"/>
          </w:rPr>
          <w:t xml:space="preserve"> </w:t>
        </w:r>
      </w:hyperlink>
      <w:r w:rsidRPr="000A3AB4">
        <w:rPr>
          <w:sz w:val="28"/>
          <w:szCs w:val="28"/>
        </w:rPr>
        <w:t xml:space="preserve">was limited to circumstances in which counsel remained attorney of record at the time the defendant directed counsel to appeal. </w:t>
      </w:r>
      <w:hyperlink r:id="rId11" w:history="1">
        <w:r w:rsidRPr="000A3AB4">
          <w:rPr>
            <w:rStyle w:val="Hyperlink"/>
            <w:i/>
            <w:sz w:val="28"/>
            <w:szCs w:val="28"/>
            <w:u w:val="none"/>
          </w:rPr>
          <w:t>Skura</w:t>
        </w:r>
        <w:r w:rsidRPr="000A3AB4">
          <w:rPr>
            <w:rStyle w:val="Hyperlink"/>
            <w:sz w:val="28"/>
            <w:szCs w:val="28"/>
            <w:u w:val="none"/>
          </w:rPr>
          <w:t xml:space="preserve"> Comment at 2.</w:t>
        </w:r>
      </w:hyperlink>
      <w:r w:rsidRPr="000A3AB4">
        <w:rPr>
          <w:sz w:val="28"/>
          <w:szCs w:val="28"/>
        </w:rPr>
        <w:t xml:space="preserve"> But that </w:t>
      </w:r>
      <w:r w:rsidR="004E0D2B">
        <w:rPr>
          <w:sz w:val="28"/>
          <w:szCs w:val="28"/>
        </w:rPr>
        <w:t xml:space="preserve">assertion </w:t>
      </w:r>
      <w:r w:rsidRPr="000A3AB4">
        <w:rPr>
          <w:sz w:val="28"/>
          <w:szCs w:val="28"/>
        </w:rPr>
        <w:t xml:space="preserve">ultimately proves the </w:t>
      </w:r>
      <w:hyperlink r:id="rId12" w:history="1">
        <w:r w:rsidRPr="004000B8">
          <w:rPr>
            <w:rStyle w:val="Hyperlink"/>
            <w:sz w:val="28"/>
            <w:szCs w:val="28"/>
            <w:u w:val="none"/>
          </w:rPr>
          <w:t>Petition’s</w:t>
        </w:r>
      </w:hyperlink>
      <w:r w:rsidRPr="004000B8">
        <w:rPr>
          <w:sz w:val="28"/>
          <w:szCs w:val="28"/>
        </w:rPr>
        <w:t xml:space="preserve"> </w:t>
      </w:r>
      <w:r w:rsidRPr="000A3AB4">
        <w:rPr>
          <w:sz w:val="28"/>
          <w:szCs w:val="28"/>
        </w:rPr>
        <w:t>point rather than undermining it.</w:t>
      </w:r>
    </w:p>
    <w:p w14:paraId="7F570DA8" w14:textId="65636102" w:rsidR="002E1AFF" w:rsidRPr="000A3AB4" w:rsidRDefault="0037425E" w:rsidP="00CE34CF">
      <w:pPr>
        <w:pStyle w:val="NormalWeb"/>
        <w:spacing w:before="0" w:beforeAutospacing="0" w:after="0" w:afterAutospacing="0" w:line="480" w:lineRule="auto"/>
        <w:ind w:firstLine="720"/>
        <w:contextualSpacing/>
        <w:jc w:val="both"/>
        <w:rPr>
          <w:b/>
          <w:sz w:val="28"/>
          <w:szCs w:val="28"/>
        </w:rPr>
      </w:pPr>
      <w:r w:rsidRPr="000A3AB4">
        <w:rPr>
          <w:sz w:val="28"/>
          <w:szCs w:val="28"/>
        </w:rPr>
        <w:t xml:space="preserve">The constitutional violation identified in </w:t>
      </w:r>
      <w:bookmarkStart w:id="19" w:name="dabmci_e1277b6c77cf4fffb46f336e68833c9d"/>
      <w:r w:rsidRPr="000A3AB4">
        <w:fldChar w:fldCharType="begin"/>
      </w:r>
      <w:r w:rsidRPr="000A3AB4">
        <w:instrText xml:space="preserve"> HYPERLINK "https://www.westlaw.com/Document/I90cb43573a8211e9bc5c825c4b9add2e/View/FullText.html?transitionType=Default&amp;contextData=(sc.Default)&amp;VR=3.0&amp;RS=da3.0" </w:instrText>
      </w:r>
      <w:r w:rsidRPr="000A3AB4">
        <w:fldChar w:fldCharType="separate"/>
      </w:r>
      <w:r w:rsidRPr="000A3AB4">
        <w:rPr>
          <w:i/>
          <w:color w:val="3333FF"/>
          <w:sz w:val="28"/>
          <w:szCs w:val="28"/>
        </w:rPr>
        <w:t>Garza</w:t>
      </w:r>
      <w:r w:rsidRPr="000A3AB4">
        <w:rPr>
          <w:i/>
          <w:color w:val="3333FF"/>
          <w:sz w:val="28"/>
          <w:szCs w:val="28"/>
        </w:rPr>
        <w:fldChar w:fldCharType="end"/>
      </w:r>
      <w:bookmarkStart w:id="20" w:name="dabmen_e1277b6c77cf4fffb46f336e68833c9d"/>
      <w:bookmarkEnd w:id="19"/>
      <w:bookmarkEnd w:id="20"/>
      <w:r w:rsidRPr="000A3AB4">
        <w:rPr>
          <w:i/>
          <w:sz w:val="28"/>
          <w:szCs w:val="28"/>
        </w:rPr>
        <w:t xml:space="preserve"> </w:t>
      </w:r>
      <w:r w:rsidRPr="000A3AB4">
        <w:rPr>
          <w:sz w:val="28"/>
          <w:szCs w:val="28"/>
        </w:rPr>
        <w:t xml:space="preserve">occurs when counsel’s failure to perform a ministerial filing forfeits the defendant’s opportunity for review. </w:t>
      </w:r>
      <w:bookmarkStart w:id="21" w:name="dabmci_5496cd869a4244eab841e97810a36496"/>
      <w:r w:rsidRPr="000A3AB4">
        <w:fldChar w:fldCharType="begin"/>
      </w:r>
      <w:r w:rsidRPr="000A3AB4">
        <w:instrText xml:space="preserve"> HYPERLINK "https://www.westlaw.com/Document/I90cb43573a8211e9bc5c825c4b9add2e/View/FullText.html?transitionType=Default&amp;contextData=(sc.Default)&amp;VR=3.0&amp;RS=da3.0&amp;fragmentIdentifier=co_pp_sp_780_241" </w:instrText>
      </w:r>
      <w:r w:rsidRPr="000A3AB4">
        <w:fldChar w:fldCharType="separate"/>
      </w:r>
      <w:r w:rsidRPr="000A3AB4">
        <w:rPr>
          <w:color w:val="3333FF"/>
          <w:sz w:val="28"/>
          <w:szCs w:val="28"/>
        </w:rPr>
        <w:t>586 U.S. at 241–44</w:t>
      </w:r>
      <w:r w:rsidRPr="000A3AB4">
        <w:rPr>
          <w:color w:val="3333FF"/>
          <w:sz w:val="28"/>
          <w:szCs w:val="28"/>
        </w:rPr>
        <w:fldChar w:fldCharType="end"/>
      </w:r>
      <w:bookmarkStart w:id="22" w:name="dabmen_5496cd869a4244eab841e97810a36496"/>
      <w:bookmarkEnd w:id="21"/>
      <w:bookmarkEnd w:id="22"/>
      <w:r w:rsidRPr="000A3AB4">
        <w:rPr>
          <w:sz w:val="28"/>
          <w:szCs w:val="28"/>
        </w:rPr>
        <w:t xml:space="preserve">. If counsel could avoid that constitutional obligation simply by withdrawing before filing the notice, </w:t>
      </w:r>
      <w:hyperlink r:id="rId13" w:history="1">
        <w:r w:rsidRPr="000A3AB4">
          <w:rPr>
            <w:rStyle w:val="Hyperlink"/>
            <w:i/>
            <w:sz w:val="28"/>
            <w:szCs w:val="28"/>
            <w:u w:val="none"/>
          </w:rPr>
          <w:t>Garza’s</w:t>
        </w:r>
      </w:hyperlink>
      <w:r w:rsidRPr="000A3AB4">
        <w:rPr>
          <w:sz w:val="28"/>
          <w:szCs w:val="28"/>
        </w:rPr>
        <w:t xml:space="preserve"> protections would become largely illusory. The constitutional right cannot depend on the timing of a withdrawal motion.</w:t>
      </w:r>
    </w:p>
    <w:p w14:paraId="034737C9" w14:textId="548DC200" w:rsidR="00DB4BAA" w:rsidRPr="000A3AB4" w:rsidRDefault="00D36433" w:rsidP="00CE34CF">
      <w:pPr>
        <w:pStyle w:val="NormalWeb"/>
        <w:spacing w:before="0" w:beforeAutospacing="0" w:after="0" w:afterAutospacing="0" w:line="480" w:lineRule="auto"/>
        <w:contextualSpacing/>
        <w:jc w:val="both"/>
        <w:rPr>
          <w:sz w:val="28"/>
          <w:szCs w:val="28"/>
        </w:rPr>
      </w:pPr>
      <w:r w:rsidRPr="000A3AB4">
        <w:rPr>
          <w:sz w:val="28"/>
          <w:szCs w:val="28"/>
        </w:rPr>
        <w:tab/>
        <w:t xml:space="preserve">The cases cited in the </w:t>
      </w:r>
      <w:hyperlink r:id="rId14" w:history="1">
        <w:r w:rsidRPr="000A3AB4">
          <w:rPr>
            <w:rStyle w:val="Hyperlink"/>
            <w:sz w:val="28"/>
            <w:szCs w:val="28"/>
            <w:u w:val="none"/>
          </w:rPr>
          <w:t>Skura Comment</w:t>
        </w:r>
      </w:hyperlink>
      <w:r w:rsidRPr="000A3AB4">
        <w:rPr>
          <w:sz w:val="28"/>
          <w:szCs w:val="28"/>
        </w:rPr>
        <w:t xml:space="preserve"> supporting the claim that counsel has neither an ethical nor a constitutional duty to “initiate new proceedings after the attorney-client relationship has concluded” do not support the contention. </w:t>
      </w:r>
      <w:hyperlink r:id="rId15" w:history="1">
        <w:r w:rsidRPr="000A3AB4">
          <w:rPr>
            <w:rStyle w:val="Hyperlink"/>
            <w:sz w:val="28"/>
            <w:szCs w:val="28"/>
            <w:u w:val="none"/>
          </w:rPr>
          <w:t>Skura Comment at 2</w:t>
        </w:r>
      </w:hyperlink>
      <w:r w:rsidRPr="000A3AB4">
        <w:rPr>
          <w:sz w:val="28"/>
          <w:szCs w:val="28"/>
        </w:rPr>
        <w:t xml:space="preserve"> (citing </w:t>
      </w:r>
      <w:bookmarkStart w:id="23" w:name="dabmci_86a3483ebe484cbb8540bc3ebe3daac3"/>
      <w:r w:rsidR="0037425E" w:rsidRPr="000A3AB4">
        <w:fldChar w:fldCharType="begin"/>
      </w:r>
      <w:r w:rsidR="0037425E" w:rsidRPr="000A3AB4">
        <w:instrText xml:space="preserve"> HYPERLINK "https://www.westlaw.com/Document/Ib55d5e2ef58911d9bf60c1d57ebc853e/View/FullText.html?transitionType=Default&amp;contextData=(sc.Default)&amp;VR=3.0&amp;RS=da3.0" </w:instrText>
      </w:r>
      <w:r w:rsidR="0037425E" w:rsidRPr="000A3AB4">
        <w:fldChar w:fldCharType="separate"/>
      </w:r>
      <w:r w:rsidR="0037425E" w:rsidRPr="000A3AB4">
        <w:rPr>
          <w:i/>
          <w:color w:val="3333FF"/>
          <w:sz w:val="28"/>
          <w:szCs w:val="28"/>
        </w:rPr>
        <w:t>Montgomery v. Sheldon</w:t>
      </w:r>
      <w:r w:rsidRPr="000A3AB4">
        <w:rPr>
          <w:color w:val="3333FF"/>
          <w:sz w:val="28"/>
          <w:szCs w:val="28"/>
        </w:rPr>
        <w:t>, 181 Ariz. 256 (1995)</w:t>
      </w:r>
      <w:r w:rsidR="0037425E" w:rsidRPr="000A3AB4">
        <w:rPr>
          <w:color w:val="3333FF"/>
          <w:sz w:val="28"/>
          <w:szCs w:val="28"/>
        </w:rPr>
        <w:fldChar w:fldCharType="end"/>
      </w:r>
      <w:bookmarkStart w:id="24" w:name="dabmen_86a3483ebe484cbb8540bc3ebe3daac3"/>
      <w:bookmarkEnd w:id="23"/>
      <w:bookmarkEnd w:id="24"/>
      <w:r w:rsidRPr="000A3AB4">
        <w:rPr>
          <w:sz w:val="28"/>
          <w:szCs w:val="28"/>
        </w:rPr>
        <w:t xml:space="preserve">; </w:t>
      </w:r>
      <w:bookmarkStart w:id="25" w:name="dabmci_44d1164eecf34420bf9878e3fdc8bf74"/>
      <w:r w:rsidR="0037425E" w:rsidRPr="000A3AB4">
        <w:fldChar w:fldCharType="begin"/>
      </w:r>
      <w:r w:rsidR="0037425E" w:rsidRPr="000A3AB4">
        <w:instrText xml:space="preserve"> HYPERLINK "https://www.westlaw.com/Document/Idd9ce702f59511d9bf60c1d57ebc853e/View/FullText.html?transitionType=Default&amp;contextData=(sc.Default)&amp;VR=3.0&amp;RS=da3.0" </w:instrText>
      </w:r>
      <w:r w:rsidR="0037425E" w:rsidRPr="000A3AB4">
        <w:fldChar w:fldCharType="separate"/>
      </w:r>
      <w:r w:rsidR="0037425E" w:rsidRPr="000A3AB4">
        <w:rPr>
          <w:i/>
          <w:color w:val="3333FF"/>
          <w:sz w:val="28"/>
          <w:szCs w:val="28"/>
        </w:rPr>
        <w:t>State v. Rosales</w:t>
      </w:r>
      <w:r w:rsidRPr="000A3AB4">
        <w:rPr>
          <w:color w:val="3333FF"/>
          <w:sz w:val="28"/>
          <w:szCs w:val="28"/>
        </w:rPr>
        <w:t>, 205 Ariz. 86 (App. 2003)</w:t>
      </w:r>
      <w:r w:rsidR="0037425E" w:rsidRPr="000A3AB4">
        <w:rPr>
          <w:color w:val="3333FF"/>
          <w:sz w:val="28"/>
          <w:szCs w:val="28"/>
        </w:rPr>
        <w:fldChar w:fldCharType="end"/>
      </w:r>
      <w:bookmarkStart w:id="26" w:name="dabmen_44d1164eecf34420bf9878e3fdc8bf74"/>
      <w:bookmarkEnd w:id="25"/>
      <w:bookmarkEnd w:id="26"/>
      <w:r w:rsidRPr="000A3AB4">
        <w:rPr>
          <w:sz w:val="28"/>
          <w:szCs w:val="28"/>
        </w:rPr>
        <w:t xml:space="preserve">; </w:t>
      </w:r>
      <w:bookmarkStart w:id="27" w:name="dabmci_ecb9d8c6822b4baebd76e862f90e1905"/>
      <w:r w:rsidR="0037425E" w:rsidRPr="000A3AB4">
        <w:fldChar w:fldCharType="begin"/>
      </w:r>
      <w:r w:rsidR="0037425E" w:rsidRPr="000A3AB4">
        <w:instrText xml:space="preserve"> HYPERLINK "https://www.westlaw.com/Document/Ifefc8249f58f11d9b386b232635db992/View/FullText.html?transitionType=Default&amp;contextData=(sc.Default)&amp;VR=3.0&amp;RS=da3.0" </w:instrText>
      </w:r>
      <w:r w:rsidR="0037425E" w:rsidRPr="000A3AB4">
        <w:fldChar w:fldCharType="separate"/>
      </w:r>
      <w:r w:rsidR="0037425E" w:rsidRPr="000A3AB4">
        <w:rPr>
          <w:i/>
          <w:color w:val="3333FF"/>
          <w:sz w:val="28"/>
          <w:szCs w:val="28"/>
        </w:rPr>
        <w:t>State v. Pruett</w:t>
      </w:r>
      <w:r w:rsidR="0037425E" w:rsidRPr="000A3AB4">
        <w:rPr>
          <w:color w:val="3333FF"/>
          <w:sz w:val="28"/>
          <w:szCs w:val="28"/>
        </w:rPr>
        <w:t>, 185 Ariz. 128 (App. 1995)</w:t>
      </w:r>
      <w:r w:rsidR="0037425E" w:rsidRPr="000A3AB4">
        <w:rPr>
          <w:color w:val="3333FF"/>
          <w:sz w:val="28"/>
          <w:szCs w:val="28"/>
        </w:rPr>
        <w:fldChar w:fldCharType="end"/>
      </w:r>
      <w:bookmarkStart w:id="28" w:name="dabmen_ecb9d8c6822b4baebd76e862f90e1905"/>
      <w:bookmarkEnd w:id="27"/>
      <w:bookmarkEnd w:id="28"/>
      <w:r w:rsidR="0037425E" w:rsidRPr="000A3AB4">
        <w:rPr>
          <w:sz w:val="28"/>
          <w:szCs w:val="28"/>
        </w:rPr>
        <w:t xml:space="preserve">.) </w:t>
      </w:r>
    </w:p>
    <w:p w14:paraId="057EC5E2" w14:textId="4ACEC313" w:rsidR="00DB4BAA" w:rsidRPr="000A3AB4" w:rsidRDefault="0037425E" w:rsidP="00CE34CF">
      <w:pPr>
        <w:pStyle w:val="NormalWeb"/>
        <w:spacing w:before="0" w:beforeAutospacing="0" w:after="0" w:afterAutospacing="0" w:line="480" w:lineRule="auto"/>
        <w:contextualSpacing/>
        <w:jc w:val="both"/>
        <w:rPr>
          <w:sz w:val="28"/>
          <w:szCs w:val="28"/>
        </w:rPr>
      </w:pPr>
      <w:r w:rsidRPr="000A3AB4">
        <w:rPr>
          <w:sz w:val="28"/>
          <w:szCs w:val="28"/>
        </w:rPr>
        <w:tab/>
      </w:r>
      <w:hyperlink r:id="rId16" w:history="1">
        <w:r w:rsidR="00D36433" w:rsidRPr="000A3AB4">
          <w:rPr>
            <w:rStyle w:val="Hyperlink"/>
            <w:i/>
            <w:sz w:val="28"/>
            <w:szCs w:val="28"/>
            <w:u w:val="none"/>
          </w:rPr>
          <w:t>Montgomery</w:t>
        </w:r>
      </w:hyperlink>
      <w:r w:rsidR="00D36433" w:rsidRPr="000A3AB4">
        <w:rPr>
          <w:i/>
          <w:sz w:val="28"/>
          <w:szCs w:val="28"/>
        </w:rPr>
        <w:t xml:space="preserve"> </w:t>
      </w:r>
      <w:r w:rsidR="00D36433" w:rsidRPr="000A3AB4">
        <w:rPr>
          <w:sz w:val="28"/>
          <w:szCs w:val="28"/>
        </w:rPr>
        <w:t>reinforced that a post-conviction proceeding is required for pleading defendants as the “only means available for exercising the constitutional right to appellate review.”</w:t>
      </w:r>
      <w:r w:rsidR="00FB1FFB">
        <w:rPr>
          <w:sz w:val="28"/>
          <w:szCs w:val="28"/>
        </w:rPr>
        <w:t xml:space="preserve"> </w:t>
      </w:r>
      <w:bookmarkStart w:id="29" w:name="dabmci_6f05c5eaef3d47c89b14bc5452e3d805"/>
      <w:r w:rsidRPr="000A3AB4">
        <w:fldChar w:fldCharType="begin"/>
      </w:r>
      <w:r w:rsidRPr="000A3AB4">
        <w:instrText xml:space="preserve"> HYPERLINK "https://www.westlaw.com/Document/Ib55d5e2ef58911d9bf60c1d57ebc853e/View/FullText.html?transitionType=Default&amp;contextData=(sc.Default)&amp;VR=3.0&amp;RS=da3.0&amp;fragmentIdentifier=co_pp_sp_156_258" </w:instrText>
      </w:r>
      <w:r w:rsidRPr="000A3AB4">
        <w:fldChar w:fldCharType="separate"/>
      </w:r>
      <w:r w:rsidR="00D36433" w:rsidRPr="000A3AB4">
        <w:rPr>
          <w:color w:val="3333FF"/>
          <w:sz w:val="28"/>
          <w:szCs w:val="28"/>
        </w:rPr>
        <w:t>181 Ariz. at 258</w:t>
      </w:r>
      <w:r w:rsidRPr="000A3AB4">
        <w:rPr>
          <w:color w:val="3333FF"/>
          <w:sz w:val="28"/>
          <w:szCs w:val="28"/>
        </w:rPr>
        <w:fldChar w:fldCharType="end"/>
      </w:r>
      <w:bookmarkStart w:id="30" w:name="dabmen_6f05c5eaef3d47c89b14bc5452e3d805"/>
      <w:bookmarkEnd w:id="29"/>
      <w:bookmarkEnd w:id="30"/>
      <w:r w:rsidR="00D36433" w:rsidRPr="000A3AB4">
        <w:rPr>
          <w:sz w:val="28"/>
          <w:szCs w:val="28"/>
        </w:rPr>
        <w:t xml:space="preserve">. By holding that a defendant has a right to file a pro-se petition if his appointed PCR counsel files a notice of no-colorable </w:t>
      </w:r>
      <w:r w:rsidR="00D36433" w:rsidRPr="000A3AB4">
        <w:rPr>
          <w:sz w:val="28"/>
          <w:szCs w:val="28"/>
        </w:rPr>
        <w:lastRenderedPageBreak/>
        <w:t xml:space="preserve">claim, </w:t>
      </w:r>
      <w:hyperlink r:id="rId17" w:history="1">
        <w:r w:rsidR="00D36433" w:rsidRPr="000A3AB4">
          <w:rPr>
            <w:rStyle w:val="Hyperlink"/>
            <w:i/>
            <w:sz w:val="28"/>
            <w:szCs w:val="28"/>
            <w:u w:val="none"/>
          </w:rPr>
          <w:t xml:space="preserve">Montgomery </w:t>
        </w:r>
      </w:hyperlink>
      <w:r w:rsidR="00D36433" w:rsidRPr="000A3AB4">
        <w:rPr>
          <w:sz w:val="28"/>
          <w:szCs w:val="28"/>
        </w:rPr>
        <w:t xml:space="preserve">did nothing to suggest that counsel who represents a defendant in plea negotiations cannot be required to file a notice of post-conviction relief if so directed by the defendant. </w:t>
      </w:r>
      <w:bookmarkStart w:id="31" w:name="dabmci_7dfccbd23bd5488f8d6077a2ad59ad37"/>
      <w:r w:rsidR="00417ABE" w:rsidRPr="000A3AB4">
        <w:rPr>
          <w:i/>
          <w:sz w:val="28"/>
          <w:szCs w:val="28"/>
        </w:rPr>
        <w:fldChar w:fldCharType="begin"/>
      </w:r>
      <w:r w:rsidR="00417ABE" w:rsidRPr="000A3AB4">
        <w:rPr>
          <w:i/>
          <w:sz w:val="28"/>
          <w:szCs w:val="28"/>
        </w:rPr>
        <w:instrText xml:space="preserve"> HYPERLINK "https://www.westlaw.com/Document/Ib55d5e2ef58911d9bf60c1d57ebc853e/View/FullText.html?transitionType=Default&amp;contextData=(sc.Default)&amp;VR=3.0&amp;RS=da3.0" </w:instrText>
      </w:r>
      <w:r w:rsidR="00417ABE" w:rsidRPr="000A3AB4">
        <w:rPr>
          <w:i/>
          <w:sz w:val="28"/>
          <w:szCs w:val="28"/>
        </w:rPr>
        <w:fldChar w:fldCharType="separate"/>
      </w:r>
      <w:r w:rsidR="00D36433" w:rsidRPr="000A3AB4">
        <w:rPr>
          <w:rStyle w:val="Hyperlink"/>
          <w:i/>
          <w:sz w:val="28"/>
          <w:szCs w:val="28"/>
          <w:u w:val="none"/>
        </w:rPr>
        <w:t>Id</w:t>
      </w:r>
      <w:r w:rsidR="00D36433" w:rsidRPr="000A3AB4">
        <w:rPr>
          <w:rStyle w:val="Hyperlink"/>
          <w:sz w:val="28"/>
          <w:szCs w:val="28"/>
          <w:u w:val="none"/>
        </w:rPr>
        <w:t>. at 261</w:t>
      </w:r>
      <w:bookmarkStart w:id="32" w:name="dabmen_7dfccbd23bd5488f8d6077a2ad59ad37"/>
      <w:bookmarkEnd w:id="31"/>
      <w:bookmarkEnd w:id="32"/>
      <w:r w:rsidR="00D36433" w:rsidRPr="000A3AB4">
        <w:rPr>
          <w:rStyle w:val="Hyperlink"/>
          <w:sz w:val="28"/>
          <w:szCs w:val="28"/>
          <w:u w:val="none"/>
        </w:rPr>
        <w:t xml:space="preserve">. </w:t>
      </w:r>
      <w:r w:rsidR="00417ABE" w:rsidRPr="000A3AB4">
        <w:rPr>
          <w:i/>
          <w:sz w:val="28"/>
          <w:szCs w:val="28"/>
        </w:rPr>
        <w:fldChar w:fldCharType="end"/>
      </w:r>
      <w:hyperlink r:id="rId18" w:history="1">
        <w:r w:rsidR="00D36433" w:rsidRPr="000A3AB4">
          <w:rPr>
            <w:rStyle w:val="Hyperlink"/>
            <w:i/>
            <w:sz w:val="28"/>
            <w:szCs w:val="28"/>
            <w:u w:val="none"/>
          </w:rPr>
          <w:t>Montgomery’s</w:t>
        </w:r>
      </w:hyperlink>
      <w:r w:rsidR="00D36433" w:rsidRPr="000A3AB4">
        <w:rPr>
          <w:sz w:val="28"/>
          <w:szCs w:val="28"/>
        </w:rPr>
        <w:t xml:space="preserve"> rationale aligns with the proposal, not its opposition. </w:t>
      </w:r>
    </w:p>
    <w:p w14:paraId="6AE5D424" w14:textId="251DFE1C" w:rsidR="00D36433" w:rsidRPr="000A3AB4" w:rsidRDefault="008F225B" w:rsidP="00CE34CF">
      <w:pPr>
        <w:pStyle w:val="NormalWeb"/>
        <w:spacing w:before="0" w:beforeAutospacing="0" w:after="0" w:afterAutospacing="0" w:line="480" w:lineRule="auto"/>
        <w:ind w:firstLine="720"/>
        <w:contextualSpacing/>
        <w:jc w:val="both"/>
        <w:rPr>
          <w:sz w:val="28"/>
          <w:szCs w:val="28"/>
        </w:rPr>
      </w:pPr>
      <w:hyperlink r:id="rId19" w:history="1">
        <w:r w:rsidR="0037425E" w:rsidRPr="000A3AB4">
          <w:rPr>
            <w:rStyle w:val="Hyperlink"/>
            <w:i/>
            <w:sz w:val="28"/>
            <w:szCs w:val="28"/>
            <w:u w:val="none"/>
          </w:rPr>
          <w:t>Rosales</w:t>
        </w:r>
      </w:hyperlink>
      <w:r w:rsidR="0037425E" w:rsidRPr="000A3AB4">
        <w:rPr>
          <w:sz w:val="28"/>
          <w:szCs w:val="28"/>
        </w:rPr>
        <w:t xml:space="preserve"> held that an initial grant of post-conviction relief to remedy his counsel’s failure to timely file a notice of appeal did not preclude or waive substantive claims following a second post-conviction relief proceeding. </w:t>
      </w:r>
      <w:bookmarkStart w:id="33" w:name="dabmci_2feb29771b5948ea8ae933f2eaafd1d2"/>
      <w:r w:rsidR="0037425E" w:rsidRPr="000A3AB4">
        <w:fldChar w:fldCharType="begin"/>
      </w:r>
      <w:r w:rsidR="0037425E" w:rsidRPr="000A3AB4">
        <w:instrText xml:space="preserve"> HYPERLINK "https://www.westlaw.com/Document/I86efc3e9f59611d983e7e9deff98dc6f/View/FullText.html?transitionType=Default&amp;contextData=(sc.Default)&amp;VR=3.0&amp;RS=da3.0&amp;fragmentIdentifier=co_pp_sp_156_91" </w:instrText>
      </w:r>
      <w:r w:rsidR="0037425E" w:rsidRPr="000A3AB4">
        <w:fldChar w:fldCharType="separate"/>
      </w:r>
      <w:r w:rsidR="0037425E" w:rsidRPr="000A3AB4">
        <w:rPr>
          <w:color w:val="3333FF"/>
          <w:sz w:val="28"/>
          <w:szCs w:val="28"/>
        </w:rPr>
        <w:t>205 Ariz. at 91</w:t>
      </w:r>
      <w:r w:rsidR="0037425E" w:rsidRPr="000A3AB4">
        <w:rPr>
          <w:color w:val="3333FF"/>
          <w:sz w:val="28"/>
          <w:szCs w:val="28"/>
        </w:rPr>
        <w:fldChar w:fldCharType="end"/>
      </w:r>
      <w:bookmarkStart w:id="34" w:name="dabmen_2feb29771b5948ea8ae933f2eaafd1d2"/>
      <w:bookmarkEnd w:id="33"/>
      <w:bookmarkEnd w:id="34"/>
      <w:r w:rsidR="0037425E" w:rsidRPr="000A3AB4">
        <w:rPr>
          <w:sz w:val="28"/>
          <w:szCs w:val="28"/>
        </w:rPr>
        <w:t>.</w:t>
      </w:r>
      <w:r w:rsidR="00FB1FFB">
        <w:rPr>
          <w:sz w:val="28"/>
          <w:szCs w:val="28"/>
        </w:rPr>
        <w:t xml:space="preserve"> </w:t>
      </w:r>
      <w:r w:rsidR="0037425E" w:rsidRPr="000A3AB4">
        <w:rPr>
          <w:sz w:val="28"/>
          <w:szCs w:val="28"/>
        </w:rPr>
        <w:t xml:space="preserve">Rather than support the </w:t>
      </w:r>
      <w:hyperlink r:id="rId20" w:history="1">
        <w:r w:rsidR="0037425E" w:rsidRPr="000A3AB4">
          <w:rPr>
            <w:rStyle w:val="Hyperlink"/>
            <w:sz w:val="28"/>
            <w:szCs w:val="28"/>
            <w:u w:val="none"/>
          </w:rPr>
          <w:t>Skura Comment</w:t>
        </w:r>
      </w:hyperlink>
      <w:r w:rsidR="0037425E" w:rsidRPr="000A3AB4">
        <w:rPr>
          <w:sz w:val="28"/>
          <w:szCs w:val="28"/>
        </w:rPr>
        <w:t xml:space="preserve">, </w:t>
      </w:r>
      <w:hyperlink r:id="rId21" w:history="1">
        <w:r w:rsidR="0037425E" w:rsidRPr="000A3AB4">
          <w:rPr>
            <w:rStyle w:val="Hyperlink"/>
            <w:i/>
            <w:sz w:val="28"/>
            <w:szCs w:val="28"/>
            <w:u w:val="none"/>
          </w:rPr>
          <w:t>Rosales</w:t>
        </w:r>
      </w:hyperlink>
      <w:r w:rsidR="0037425E" w:rsidRPr="000A3AB4">
        <w:rPr>
          <w:sz w:val="28"/>
          <w:szCs w:val="28"/>
        </w:rPr>
        <w:t xml:space="preserve"> reinforces the need for counsel to timely file notices to ensure defendants are afforded their rights under the Arizona Constitution. </w:t>
      </w:r>
    </w:p>
    <w:p w14:paraId="4B14C80C" w14:textId="28BA0302" w:rsidR="00D36433" w:rsidRPr="00607257" w:rsidRDefault="0037425E" w:rsidP="00CE34CF">
      <w:pPr>
        <w:pStyle w:val="NormalWeb"/>
        <w:spacing w:before="0" w:beforeAutospacing="0" w:after="0" w:afterAutospacing="0" w:line="480" w:lineRule="auto"/>
        <w:ind w:firstLine="720"/>
        <w:contextualSpacing/>
        <w:jc w:val="both"/>
        <w:rPr>
          <w:sz w:val="28"/>
          <w:szCs w:val="28"/>
        </w:rPr>
      </w:pPr>
      <w:r w:rsidRPr="00607257">
        <w:rPr>
          <w:sz w:val="28"/>
          <w:szCs w:val="28"/>
        </w:rPr>
        <w:t xml:space="preserve">And </w:t>
      </w:r>
      <w:hyperlink r:id="rId22" w:history="1">
        <w:r w:rsidRPr="00607257">
          <w:rPr>
            <w:rStyle w:val="Hyperlink"/>
            <w:i/>
            <w:sz w:val="28"/>
            <w:szCs w:val="28"/>
            <w:u w:val="none"/>
          </w:rPr>
          <w:t xml:space="preserve">Pruett </w:t>
        </w:r>
      </w:hyperlink>
      <w:r w:rsidRPr="00607257">
        <w:rPr>
          <w:sz w:val="28"/>
          <w:szCs w:val="28"/>
        </w:rPr>
        <w:t xml:space="preserve">reinforced </w:t>
      </w:r>
      <w:hyperlink r:id="rId23" w:history="1">
        <w:r w:rsidRPr="00607257">
          <w:rPr>
            <w:rStyle w:val="Hyperlink"/>
            <w:i/>
            <w:sz w:val="28"/>
            <w:szCs w:val="28"/>
            <w:u w:val="none"/>
          </w:rPr>
          <w:t>Montgomery’s</w:t>
        </w:r>
        <w:r w:rsidRPr="00607257">
          <w:rPr>
            <w:rStyle w:val="Hyperlink"/>
            <w:sz w:val="28"/>
            <w:szCs w:val="28"/>
            <w:u w:val="none"/>
          </w:rPr>
          <w:t xml:space="preserve"> </w:t>
        </w:r>
      </w:hyperlink>
      <w:r w:rsidRPr="00607257">
        <w:rPr>
          <w:sz w:val="28"/>
          <w:szCs w:val="28"/>
        </w:rPr>
        <w:t>logic that “</w:t>
      </w:r>
      <w:r w:rsidRPr="00607257">
        <w:rPr>
          <w:color w:val="1F1F1F"/>
          <w:sz w:val="28"/>
          <w:szCs w:val="28"/>
          <w:shd w:val="clear" w:color="auto" w:fill="FFFFFF"/>
        </w:rPr>
        <w:t>a pleading defendant's first petition for post-conviction is ‘</w:t>
      </w:r>
      <w:r w:rsidRPr="00607257">
        <w:rPr>
          <w:rStyle w:val="Emphasis"/>
          <w:color w:val="1F1F1F"/>
          <w:sz w:val="28"/>
          <w:szCs w:val="28"/>
          <w:bdr w:val="none" w:sz="0" w:space="0" w:color="auto" w:frame="1"/>
          <w:shd w:val="clear" w:color="auto" w:fill="FFFFFF"/>
        </w:rPr>
        <w:t>the</w:t>
      </w:r>
      <w:r w:rsidRPr="00607257">
        <w:rPr>
          <w:color w:val="1F1F1F"/>
          <w:sz w:val="28"/>
          <w:szCs w:val="28"/>
          <w:shd w:val="clear" w:color="auto" w:fill="FFFFFF"/>
        </w:rPr>
        <w:t xml:space="preserve"> appeal for a defendant pleading guilty’” in holding that the first post-conviction proceeding triggered the same deadline as “the direct appeal” for filing a second notice of post-conviction relief. </w:t>
      </w:r>
      <w:bookmarkStart w:id="35" w:name="dabmci_2dd4df521bb742799b38533adeb6acab"/>
      <w:r w:rsidRPr="00607257">
        <w:fldChar w:fldCharType="begin"/>
      </w:r>
      <w:r w:rsidRPr="00607257">
        <w:instrText xml:space="preserve"> HYPERLINK "https://www.westlaw.com/Document/Ifefc8249f58f11d9b386b232635db992/View/FullText.html?transitionType=Default&amp;contextData=(sc.Default)&amp;VR=3.0&amp;RS=da3.0&amp;fragmentIdentifier=co_pp_sp_156_131" </w:instrText>
      </w:r>
      <w:r w:rsidRPr="00607257">
        <w:fldChar w:fldCharType="separate"/>
      </w:r>
      <w:r w:rsidRPr="00607257">
        <w:rPr>
          <w:i/>
          <w:color w:val="3333FF"/>
          <w:sz w:val="28"/>
          <w:szCs w:val="28"/>
          <w:shd w:val="clear" w:color="auto" w:fill="FFFFFF"/>
        </w:rPr>
        <w:t>Pruett</w:t>
      </w:r>
      <w:r w:rsidRPr="00607257">
        <w:rPr>
          <w:color w:val="3333FF"/>
          <w:sz w:val="28"/>
          <w:szCs w:val="28"/>
          <w:shd w:val="clear" w:color="auto" w:fill="FFFFFF"/>
        </w:rPr>
        <w:t>, 185 Ariz. at 131</w:t>
      </w:r>
      <w:r w:rsidRPr="00607257">
        <w:rPr>
          <w:color w:val="3333FF"/>
          <w:sz w:val="28"/>
          <w:szCs w:val="28"/>
          <w:shd w:val="clear" w:color="auto" w:fill="FFFFFF"/>
        </w:rPr>
        <w:fldChar w:fldCharType="end"/>
      </w:r>
      <w:bookmarkStart w:id="36" w:name="dabmen_2dd4df521bb742799b38533adeb6acab"/>
      <w:bookmarkEnd w:id="35"/>
      <w:bookmarkEnd w:id="36"/>
      <w:r w:rsidRPr="00607257">
        <w:rPr>
          <w:color w:val="1F1F1F"/>
          <w:sz w:val="28"/>
          <w:szCs w:val="28"/>
          <w:shd w:val="clear" w:color="auto" w:fill="FFFFFF"/>
        </w:rPr>
        <w:t xml:space="preserve"> (quoting </w:t>
      </w:r>
      <w:bookmarkStart w:id="37" w:name="dabmci_f61862e2385549ba94736d94a91234bd"/>
      <w:r w:rsidR="00417ABE" w:rsidRPr="00607257">
        <w:rPr>
          <w:i/>
          <w:color w:val="1F1F1F"/>
          <w:sz w:val="28"/>
          <w:szCs w:val="28"/>
          <w:shd w:val="clear" w:color="auto" w:fill="FFFFFF"/>
        </w:rPr>
        <w:fldChar w:fldCharType="begin"/>
      </w:r>
      <w:r w:rsidR="00417ABE" w:rsidRPr="00607257">
        <w:rPr>
          <w:i/>
          <w:color w:val="1F1F1F"/>
          <w:sz w:val="28"/>
          <w:szCs w:val="28"/>
          <w:shd w:val="clear" w:color="auto" w:fill="FFFFFF"/>
        </w:rPr>
        <w:instrText xml:space="preserve"> HYPERLINK "https://www.westlaw.com/Document/Ib55d5e2ef58911d9bf60c1d57ebc853e/View/FullText.html?transitionType=Default&amp;contextData=(sc.Default)&amp;VR=3.0&amp;RS=da3.0" </w:instrText>
      </w:r>
      <w:r w:rsidR="00417ABE" w:rsidRPr="00607257">
        <w:rPr>
          <w:i/>
          <w:color w:val="1F1F1F"/>
          <w:sz w:val="28"/>
          <w:szCs w:val="28"/>
          <w:shd w:val="clear" w:color="auto" w:fill="FFFFFF"/>
        </w:rPr>
        <w:fldChar w:fldCharType="separate"/>
      </w:r>
      <w:r w:rsidRPr="00607257">
        <w:rPr>
          <w:rStyle w:val="Hyperlink"/>
          <w:i/>
          <w:sz w:val="28"/>
          <w:szCs w:val="28"/>
          <w:u w:val="none"/>
          <w:shd w:val="clear" w:color="auto" w:fill="FFFFFF"/>
        </w:rPr>
        <w:t>Montgomery</w:t>
      </w:r>
      <w:r w:rsidRPr="00607257">
        <w:rPr>
          <w:rStyle w:val="Hyperlink"/>
          <w:sz w:val="28"/>
          <w:szCs w:val="28"/>
          <w:u w:val="none"/>
          <w:shd w:val="clear" w:color="auto" w:fill="FFFFFF"/>
        </w:rPr>
        <w:t>,</w:t>
      </w:r>
      <w:bookmarkStart w:id="38" w:name="dabmen_f61862e2385549ba94736d94a91234bd"/>
      <w:bookmarkEnd w:id="37"/>
      <w:bookmarkEnd w:id="38"/>
      <w:r w:rsidRPr="00607257">
        <w:rPr>
          <w:rStyle w:val="Hyperlink"/>
          <w:sz w:val="28"/>
          <w:szCs w:val="28"/>
          <w:u w:val="none"/>
          <w:shd w:val="clear" w:color="auto" w:fill="FFFFFF"/>
        </w:rPr>
        <w:t xml:space="preserve"> </w:t>
      </w:r>
      <w:bookmarkStart w:id="39" w:name="dabmci_24666ae3953648e39259293380c57637"/>
      <w:r w:rsidRPr="00607257">
        <w:rPr>
          <w:rStyle w:val="Hyperlink"/>
          <w:sz w:val="28"/>
          <w:szCs w:val="28"/>
          <w:u w:val="none"/>
          <w:shd w:val="clear" w:color="auto" w:fill="FFFFFF"/>
        </w:rPr>
        <w:t>18</w:t>
      </w:r>
      <w:r w:rsidR="00417ABE" w:rsidRPr="00607257">
        <w:rPr>
          <w:rStyle w:val="Hyperlink"/>
          <w:sz w:val="28"/>
          <w:szCs w:val="28"/>
          <w:u w:val="none"/>
          <w:shd w:val="clear" w:color="auto" w:fill="FFFFFF"/>
        </w:rPr>
        <w:t>1</w:t>
      </w:r>
      <w:r w:rsidRPr="00607257">
        <w:rPr>
          <w:rStyle w:val="Hyperlink"/>
          <w:sz w:val="28"/>
          <w:szCs w:val="28"/>
          <w:u w:val="none"/>
          <w:shd w:val="clear" w:color="auto" w:fill="FFFFFF"/>
        </w:rPr>
        <w:t xml:space="preserve"> Ariz. at </w:t>
      </w:r>
      <w:bookmarkEnd w:id="39"/>
      <w:r w:rsidR="00463B2D">
        <w:rPr>
          <w:rStyle w:val="Hyperlink"/>
          <w:sz w:val="28"/>
          <w:szCs w:val="28"/>
          <w:u w:val="none"/>
          <w:shd w:val="clear" w:color="auto" w:fill="FFFFFF"/>
        </w:rPr>
        <w:t>258</w:t>
      </w:r>
      <w:r w:rsidR="00417ABE" w:rsidRPr="00607257">
        <w:rPr>
          <w:i/>
          <w:color w:val="1F1F1F"/>
          <w:sz w:val="28"/>
          <w:szCs w:val="28"/>
          <w:shd w:val="clear" w:color="auto" w:fill="FFFFFF"/>
        </w:rPr>
        <w:fldChar w:fldCharType="end"/>
      </w:r>
      <w:r w:rsidRPr="00607257">
        <w:rPr>
          <w:color w:val="1F1F1F"/>
          <w:sz w:val="28"/>
          <w:szCs w:val="28"/>
          <w:shd w:val="clear" w:color="auto" w:fill="FFFFFF"/>
        </w:rPr>
        <w:t xml:space="preserve">) (emphasis in original). </w:t>
      </w:r>
      <w:hyperlink r:id="rId24" w:history="1">
        <w:r w:rsidRPr="00607257">
          <w:rPr>
            <w:rStyle w:val="Hyperlink"/>
            <w:i/>
            <w:sz w:val="28"/>
            <w:szCs w:val="28"/>
            <w:u w:val="none"/>
            <w:shd w:val="clear" w:color="auto" w:fill="FFFFFF"/>
          </w:rPr>
          <w:t>Pruett</w:t>
        </w:r>
      </w:hyperlink>
      <w:r w:rsidRPr="00607257">
        <w:rPr>
          <w:color w:val="1F1F1F"/>
          <w:sz w:val="28"/>
          <w:szCs w:val="28"/>
          <w:shd w:val="clear" w:color="auto" w:fill="FFFFFF"/>
        </w:rPr>
        <w:t>, too, supports the proposal, not the opposition.</w:t>
      </w:r>
    </w:p>
    <w:p w14:paraId="01E379C0" w14:textId="09F0A647" w:rsidR="0012025D" w:rsidRPr="00607257" w:rsidRDefault="0037425E" w:rsidP="00CE34CF">
      <w:pPr>
        <w:pStyle w:val="NormalWeb"/>
        <w:spacing w:before="0" w:beforeAutospacing="0" w:after="0" w:afterAutospacing="0" w:line="480" w:lineRule="auto"/>
        <w:ind w:firstLine="720"/>
        <w:contextualSpacing/>
        <w:jc w:val="both"/>
        <w:rPr>
          <w:sz w:val="28"/>
          <w:szCs w:val="28"/>
        </w:rPr>
      </w:pPr>
      <w:r w:rsidRPr="00607257">
        <w:rPr>
          <w:sz w:val="28"/>
          <w:szCs w:val="28"/>
        </w:rPr>
        <w:t xml:space="preserve">That any criminal defense attorney could read any case, including </w:t>
      </w:r>
      <w:hyperlink r:id="rId25" w:history="1">
        <w:r w:rsidR="00417ABE" w:rsidRPr="00607257">
          <w:rPr>
            <w:rStyle w:val="Hyperlink"/>
            <w:i/>
            <w:sz w:val="28"/>
            <w:szCs w:val="28"/>
            <w:u w:val="none"/>
          </w:rPr>
          <w:t>Montgomery,</w:t>
        </w:r>
      </w:hyperlink>
      <w:r w:rsidR="00417ABE" w:rsidRPr="00607257">
        <w:rPr>
          <w:i/>
          <w:sz w:val="28"/>
          <w:szCs w:val="28"/>
        </w:rPr>
        <w:t xml:space="preserve"> </w:t>
      </w:r>
      <w:hyperlink r:id="rId26" w:history="1">
        <w:r w:rsidRPr="00607257">
          <w:rPr>
            <w:rStyle w:val="Hyperlink"/>
            <w:i/>
            <w:sz w:val="28"/>
            <w:szCs w:val="28"/>
            <w:u w:val="none"/>
          </w:rPr>
          <w:t>Rosales</w:t>
        </w:r>
        <w:r w:rsidRPr="00607257">
          <w:rPr>
            <w:rStyle w:val="Hyperlink"/>
            <w:sz w:val="28"/>
            <w:szCs w:val="28"/>
            <w:u w:val="none"/>
          </w:rPr>
          <w:t>,</w:t>
        </w:r>
      </w:hyperlink>
      <w:r w:rsidRPr="00607257">
        <w:rPr>
          <w:sz w:val="28"/>
          <w:szCs w:val="28"/>
        </w:rPr>
        <w:t xml:space="preserve"> and </w:t>
      </w:r>
      <w:hyperlink r:id="rId27" w:history="1">
        <w:r w:rsidRPr="00607257">
          <w:rPr>
            <w:rStyle w:val="Hyperlink"/>
            <w:i/>
            <w:sz w:val="28"/>
            <w:szCs w:val="28"/>
            <w:u w:val="none"/>
          </w:rPr>
          <w:t>Pruett,</w:t>
        </w:r>
      </w:hyperlink>
      <w:r w:rsidRPr="00607257">
        <w:rPr>
          <w:sz w:val="28"/>
          <w:szCs w:val="28"/>
        </w:rPr>
        <w:t xml:space="preserve"> to support the conclusion that counsel can refuse to initiate a post-conviction proceeding by withdrawing before a client directs counsel to file the notice solidifies the necessity of amending </w:t>
      </w:r>
      <w:bookmarkStart w:id="40" w:name="dabmci_e5bb37025b2549b08e0b1ec73521c194"/>
      <w:r w:rsidRPr="00607257">
        <w:fldChar w:fldCharType="begin"/>
      </w:r>
      <w:r w:rsidRPr="00607257">
        <w:instrText xml:space="preserve"> HYPERLINK "https://www.westlaw.com/Document/N04C36671C30911EDAC23FF23DD106B76/View/FullText.html?transitionType=Default&amp;contextData=(sc.Default)&amp;VR=3.0&amp;RS=da3.0" </w:instrText>
      </w:r>
      <w:r w:rsidRPr="00607257">
        <w:fldChar w:fldCharType="separate"/>
      </w:r>
      <w:r w:rsidRPr="00607257">
        <w:rPr>
          <w:color w:val="3333FF"/>
          <w:sz w:val="28"/>
          <w:szCs w:val="28"/>
        </w:rPr>
        <w:t>Rule 6.3</w:t>
      </w:r>
      <w:r w:rsidRPr="00607257">
        <w:rPr>
          <w:color w:val="3333FF"/>
          <w:sz w:val="28"/>
          <w:szCs w:val="28"/>
        </w:rPr>
        <w:fldChar w:fldCharType="end"/>
      </w:r>
      <w:bookmarkStart w:id="41" w:name="dabmen_e5bb37025b2549b08e0b1ec73521c194"/>
      <w:bookmarkEnd w:id="40"/>
      <w:bookmarkEnd w:id="41"/>
      <w:r w:rsidRPr="00607257">
        <w:rPr>
          <w:sz w:val="28"/>
          <w:szCs w:val="28"/>
        </w:rPr>
        <w:t xml:space="preserve">. </w:t>
      </w:r>
    </w:p>
    <w:p w14:paraId="13F0B06E" w14:textId="3F8CB7A1" w:rsidR="002E1AFF" w:rsidRPr="000A3AB4" w:rsidRDefault="0037425E" w:rsidP="00CE34CF">
      <w:pPr>
        <w:pStyle w:val="NormalWeb"/>
        <w:spacing w:before="0" w:beforeAutospacing="0" w:after="0" w:afterAutospacing="0" w:line="480" w:lineRule="auto"/>
        <w:ind w:firstLine="720"/>
        <w:contextualSpacing/>
        <w:jc w:val="both"/>
        <w:rPr>
          <w:sz w:val="28"/>
          <w:szCs w:val="28"/>
        </w:rPr>
      </w:pPr>
      <w:r w:rsidRPr="000A3AB4">
        <w:rPr>
          <w:sz w:val="28"/>
          <w:szCs w:val="28"/>
        </w:rPr>
        <w:lastRenderedPageBreak/>
        <w:t xml:space="preserve">The proposed amendment does not require counsel to litigate a post-conviction proceeding, investigate claims, or continue substantive representation after withdrawal. It requires only the same type of ministerial preservation step already required for notices of appeal under </w:t>
      </w:r>
      <w:bookmarkStart w:id="42" w:name="dabmci_845ea4a755464affaaeffa9ef768979e"/>
      <w:r w:rsidRPr="000A3AB4">
        <w:fldChar w:fldCharType="begin"/>
      </w:r>
      <w:r w:rsidRPr="000A3AB4">
        <w:instrText xml:space="preserve"> HYPERLINK "https://www.westlaw.com/Document/N04C36671C30911EDAC23FF23DD106B76/View/FullText.html?transitionType=Default&amp;contextData=(sc.Default)&amp;VR=3.0&amp;RS=da3.0" </w:instrText>
      </w:r>
      <w:r w:rsidRPr="000A3AB4">
        <w:fldChar w:fldCharType="separate"/>
      </w:r>
      <w:r w:rsidRPr="000A3AB4">
        <w:rPr>
          <w:color w:val="3333FF"/>
          <w:sz w:val="28"/>
          <w:szCs w:val="28"/>
        </w:rPr>
        <w:t>Rule 6.3(b)</w:t>
      </w:r>
      <w:r w:rsidRPr="000A3AB4">
        <w:rPr>
          <w:color w:val="3333FF"/>
          <w:sz w:val="28"/>
          <w:szCs w:val="28"/>
        </w:rPr>
        <w:fldChar w:fldCharType="end"/>
      </w:r>
      <w:bookmarkStart w:id="43" w:name="dabmen_845ea4a755464affaaeffa9ef768979e"/>
      <w:bookmarkEnd w:id="42"/>
      <w:bookmarkEnd w:id="43"/>
      <w:r w:rsidRPr="000A3AB4">
        <w:rPr>
          <w:sz w:val="28"/>
          <w:szCs w:val="28"/>
        </w:rPr>
        <w:t xml:space="preserve">. The comments submitted by AACJ, the State Bar, and the ASU Post-Conviction Clinic all correctly recognize that the filing obligation is minimal, ministerial, and fully consistent with </w:t>
      </w:r>
      <w:hyperlink r:id="rId28" w:history="1">
        <w:r w:rsidRPr="000A3AB4">
          <w:rPr>
            <w:rStyle w:val="Hyperlink"/>
            <w:i/>
            <w:sz w:val="28"/>
            <w:szCs w:val="28"/>
            <w:u w:val="none"/>
          </w:rPr>
          <w:t>Garza</w:t>
        </w:r>
        <w:r w:rsidRPr="000A3AB4">
          <w:rPr>
            <w:rStyle w:val="Hyperlink"/>
            <w:sz w:val="28"/>
            <w:szCs w:val="28"/>
            <w:u w:val="none"/>
          </w:rPr>
          <w:t xml:space="preserve">, </w:t>
        </w:r>
      </w:hyperlink>
      <w:hyperlink r:id="rId29" w:history="1">
        <w:r w:rsidRPr="000A3AB4">
          <w:rPr>
            <w:rStyle w:val="Hyperlink"/>
            <w:i/>
            <w:sz w:val="28"/>
            <w:szCs w:val="28"/>
            <w:u w:val="none"/>
          </w:rPr>
          <w:t>Flores-Ortega</w:t>
        </w:r>
      </w:hyperlink>
      <w:r w:rsidR="0004228D" w:rsidRPr="000A3AB4">
        <w:rPr>
          <w:sz w:val="28"/>
          <w:szCs w:val="28"/>
        </w:rPr>
        <w:t xml:space="preserve">, and existing ethical standards. </w:t>
      </w:r>
      <w:hyperlink r:id="rId30" w:history="1">
        <w:r w:rsidR="0004228D" w:rsidRPr="000A3AB4">
          <w:rPr>
            <w:rStyle w:val="Hyperlink"/>
            <w:sz w:val="28"/>
            <w:szCs w:val="28"/>
            <w:u w:val="none"/>
          </w:rPr>
          <w:t>AACJ Comment at 4-5</w:t>
        </w:r>
      </w:hyperlink>
      <w:r w:rsidR="0004228D" w:rsidRPr="000A3AB4">
        <w:rPr>
          <w:sz w:val="28"/>
          <w:szCs w:val="28"/>
        </w:rPr>
        <w:t xml:space="preserve">; </w:t>
      </w:r>
      <w:hyperlink r:id="rId31" w:history="1">
        <w:r w:rsidR="0004228D" w:rsidRPr="000A3AB4">
          <w:rPr>
            <w:rStyle w:val="Hyperlink"/>
            <w:sz w:val="28"/>
            <w:szCs w:val="28"/>
            <w:u w:val="none"/>
          </w:rPr>
          <w:t>State Bar Comment at 2;</w:t>
        </w:r>
      </w:hyperlink>
      <w:r w:rsidR="00FB1FFB">
        <w:rPr>
          <w:sz w:val="28"/>
          <w:szCs w:val="28"/>
        </w:rPr>
        <w:t xml:space="preserve"> </w:t>
      </w:r>
      <w:hyperlink r:id="rId32" w:history="1">
        <w:r w:rsidR="0004228D" w:rsidRPr="000A3AB4">
          <w:rPr>
            <w:rStyle w:val="Hyperlink"/>
            <w:sz w:val="28"/>
            <w:szCs w:val="28"/>
            <w:u w:val="none"/>
          </w:rPr>
          <w:t>ASU Post-Conviction Clinic Comment at 3.</w:t>
        </w:r>
      </w:hyperlink>
      <w:r w:rsidR="0004228D" w:rsidRPr="000A3AB4">
        <w:rPr>
          <w:sz w:val="28"/>
          <w:szCs w:val="28"/>
        </w:rPr>
        <w:t xml:space="preserve"> </w:t>
      </w:r>
    </w:p>
    <w:p w14:paraId="13AD19D2" w14:textId="63BD979F" w:rsidR="002E1AFF" w:rsidRPr="0012025D" w:rsidRDefault="0037425E" w:rsidP="00CE34CF">
      <w:pPr>
        <w:pStyle w:val="NormalWeb"/>
        <w:spacing w:before="0" w:beforeAutospacing="0" w:after="0" w:afterAutospacing="0" w:line="480" w:lineRule="auto"/>
        <w:contextualSpacing/>
        <w:jc w:val="both"/>
        <w:rPr>
          <w:b/>
          <w:sz w:val="28"/>
          <w:szCs w:val="28"/>
        </w:rPr>
      </w:pPr>
      <w:r w:rsidRPr="0012025D">
        <w:rPr>
          <w:b/>
          <w:sz w:val="28"/>
          <w:szCs w:val="28"/>
        </w:rPr>
        <w:t xml:space="preserve">II. </w:t>
      </w:r>
      <w:r w:rsidR="000D1A00">
        <w:rPr>
          <w:b/>
          <w:sz w:val="28"/>
          <w:szCs w:val="28"/>
        </w:rPr>
        <w:tab/>
      </w:r>
      <w:r w:rsidRPr="0012025D">
        <w:rPr>
          <w:b/>
          <w:sz w:val="28"/>
          <w:szCs w:val="28"/>
        </w:rPr>
        <w:t>Existing</w:t>
      </w:r>
      <w:r w:rsidR="000D1A00">
        <w:rPr>
          <w:b/>
          <w:sz w:val="28"/>
          <w:szCs w:val="28"/>
        </w:rPr>
        <w:t xml:space="preserve"> </w:t>
      </w:r>
      <w:r w:rsidRPr="0012025D">
        <w:rPr>
          <w:b/>
          <w:sz w:val="28"/>
          <w:szCs w:val="28"/>
        </w:rPr>
        <w:t>Advisements Are Not an Adequate Substitute.</w:t>
      </w:r>
    </w:p>
    <w:p w14:paraId="72C4470E" w14:textId="45D92D96" w:rsidR="002E1AFF" w:rsidRPr="000A3AB4" w:rsidRDefault="00D36433" w:rsidP="00CE34CF">
      <w:pPr>
        <w:pStyle w:val="NormalWeb"/>
        <w:spacing w:before="0" w:beforeAutospacing="0" w:after="0" w:afterAutospacing="0" w:line="480" w:lineRule="auto"/>
        <w:ind w:firstLine="720"/>
        <w:contextualSpacing/>
        <w:jc w:val="both"/>
        <w:rPr>
          <w:sz w:val="28"/>
          <w:szCs w:val="28"/>
        </w:rPr>
      </w:pPr>
      <w:r w:rsidRPr="000A3AB4">
        <w:rPr>
          <w:sz w:val="28"/>
          <w:szCs w:val="28"/>
        </w:rPr>
        <w:t xml:space="preserve">The opposing comment suggests existing </w:t>
      </w:r>
      <w:hyperlink r:id="rId33" w:history="1">
        <w:r w:rsidRPr="000A3AB4">
          <w:rPr>
            <w:rStyle w:val="Hyperlink"/>
            <w:sz w:val="28"/>
            <w:szCs w:val="28"/>
            <w:u w:val="none"/>
          </w:rPr>
          <w:t xml:space="preserve">Rule 17 </w:t>
        </w:r>
        <w:r w:rsidRPr="000A3AB4">
          <w:rPr>
            <w:rStyle w:val="Hyperlink"/>
            <w:color w:val="auto"/>
            <w:sz w:val="28"/>
            <w:szCs w:val="28"/>
            <w:u w:val="none"/>
          </w:rPr>
          <w:t>a</w:t>
        </w:r>
      </w:hyperlink>
      <w:r w:rsidRPr="000A3AB4">
        <w:rPr>
          <w:sz w:val="28"/>
          <w:szCs w:val="28"/>
        </w:rPr>
        <w:t>dvisements and sentencing advisements sufficiently protect defendants. Experience</w:t>
      </w:r>
      <w:r w:rsidR="00FB1FFB">
        <w:rPr>
          <w:sz w:val="28"/>
          <w:szCs w:val="28"/>
        </w:rPr>
        <w:t xml:space="preserve"> </w:t>
      </w:r>
      <w:r w:rsidRPr="000A3AB4">
        <w:rPr>
          <w:sz w:val="28"/>
          <w:szCs w:val="28"/>
        </w:rPr>
        <w:t xml:space="preserve">and Sixth Amendment case law establish otherwise. </w:t>
      </w:r>
      <w:hyperlink r:id="rId34" w:history="1">
        <w:r w:rsidRPr="000A3AB4">
          <w:rPr>
            <w:rStyle w:val="Hyperlink"/>
            <w:sz w:val="28"/>
            <w:szCs w:val="28"/>
            <w:u w:val="none"/>
          </w:rPr>
          <w:t>Skura Comment at 4.</w:t>
        </w:r>
      </w:hyperlink>
    </w:p>
    <w:p w14:paraId="6EE6E602" w14:textId="4CDB51F3" w:rsidR="002E1AFF" w:rsidRPr="000A3AB4" w:rsidRDefault="0004228D" w:rsidP="00CE34CF">
      <w:pPr>
        <w:pStyle w:val="NormalWeb"/>
        <w:spacing w:before="0" w:beforeAutospacing="0" w:after="0" w:afterAutospacing="0" w:line="480" w:lineRule="auto"/>
        <w:ind w:firstLine="720"/>
        <w:contextualSpacing/>
        <w:jc w:val="both"/>
        <w:rPr>
          <w:sz w:val="28"/>
          <w:szCs w:val="28"/>
        </w:rPr>
      </w:pPr>
      <w:r w:rsidRPr="000A3AB4">
        <w:rPr>
          <w:sz w:val="28"/>
          <w:szCs w:val="28"/>
        </w:rPr>
        <w:t xml:space="preserve">As AACJ and the ASU Post-Conviction Clinic explain, defendants routinely lose appellate and post-conviction rights because notices are not timely filed despite receiving generalized advisements at sentencing. </w:t>
      </w:r>
      <w:hyperlink r:id="rId35" w:history="1">
        <w:r w:rsidRPr="000A3AB4">
          <w:rPr>
            <w:rStyle w:val="Hyperlink"/>
            <w:sz w:val="28"/>
            <w:szCs w:val="28"/>
            <w:u w:val="none"/>
          </w:rPr>
          <w:t>AACJ Comment at 4-5</w:t>
        </w:r>
      </w:hyperlink>
      <w:r w:rsidRPr="000A3AB4">
        <w:rPr>
          <w:sz w:val="28"/>
          <w:szCs w:val="28"/>
        </w:rPr>
        <w:t xml:space="preserve">; </w:t>
      </w:r>
      <w:hyperlink r:id="rId36" w:history="1">
        <w:r w:rsidRPr="000A3AB4">
          <w:rPr>
            <w:rStyle w:val="Hyperlink"/>
            <w:sz w:val="28"/>
            <w:szCs w:val="28"/>
            <w:u w:val="none"/>
          </w:rPr>
          <w:t>ASU Post-Conviction Clinic Comment at 2.</w:t>
        </w:r>
      </w:hyperlink>
    </w:p>
    <w:p w14:paraId="4C98AE03" w14:textId="77777777" w:rsidR="00AD0576" w:rsidRPr="000A3AB4" w:rsidRDefault="0037425E" w:rsidP="00CE34CF">
      <w:pPr>
        <w:pStyle w:val="NormalWeb"/>
        <w:spacing w:before="0" w:beforeAutospacing="0" w:after="0" w:afterAutospacing="0" w:line="480" w:lineRule="auto"/>
        <w:ind w:firstLine="720"/>
        <w:contextualSpacing/>
        <w:jc w:val="both"/>
        <w:rPr>
          <w:sz w:val="28"/>
          <w:szCs w:val="28"/>
        </w:rPr>
      </w:pPr>
      <w:r w:rsidRPr="000A3AB4">
        <w:rPr>
          <w:sz w:val="28"/>
          <w:szCs w:val="28"/>
        </w:rPr>
        <w:t>The problem is not lack of abstract notice. The problem is forfeiture caused by the failure to perform a jurisdictional ministerial act during a narrow filing window immediately following sentencing, often while defendants are entering custody and are least capable of navigating procedural requirements.</w:t>
      </w:r>
    </w:p>
    <w:p w14:paraId="7E5A1DBC" w14:textId="56C4410D" w:rsidR="00AD0576" w:rsidRPr="000A3AB4" w:rsidRDefault="0037425E" w:rsidP="00CE34CF">
      <w:pPr>
        <w:pStyle w:val="NormalWeb"/>
        <w:spacing w:before="0" w:beforeAutospacing="0" w:after="0" w:afterAutospacing="0" w:line="480" w:lineRule="auto"/>
        <w:ind w:firstLine="720"/>
        <w:contextualSpacing/>
        <w:jc w:val="both"/>
        <w:rPr>
          <w:sz w:val="28"/>
          <w:szCs w:val="28"/>
        </w:rPr>
      </w:pPr>
      <w:r w:rsidRPr="000A3AB4">
        <w:rPr>
          <w:sz w:val="28"/>
          <w:szCs w:val="28"/>
        </w:rPr>
        <w:lastRenderedPageBreak/>
        <w:t xml:space="preserve">And, contrary to the </w:t>
      </w:r>
      <w:hyperlink r:id="rId37" w:history="1">
        <w:r w:rsidRPr="000A3AB4">
          <w:rPr>
            <w:rStyle w:val="Hyperlink"/>
            <w:sz w:val="28"/>
            <w:szCs w:val="28"/>
            <w:u w:val="none"/>
          </w:rPr>
          <w:t>Skura Comment,</w:t>
        </w:r>
      </w:hyperlink>
      <w:r w:rsidRPr="000A3AB4">
        <w:rPr>
          <w:sz w:val="28"/>
          <w:szCs w:val="28"/>
        </w:rPr>
        <w:t xml:space="preserve"> defense counsel has a constitutional duty to consult with a client post-sentencing to ascertain whether the client wishes to appeal the outcome. </w:t>
      </w:r>
      <w:r w:rsidRPr="000A3AB4">
        <w:rPr>
          <w:i/>
          <w:sz w:val="28"/>
          <w:szCs w:val="28"/>
        </w:rPr>
        <w:t>See</w:t>
      </w:r>
      <w:r w:rsidRPr="000A3AB4">
        <w:rPr>
          <w:sz w:val="28"/>
          <w:szCs w:val="28"/>
        </w:rPr>
        <w:t xml:space="preserve"> </w:t>
      </w:r>
      <w:hyperlink r:id="rId38" w:history="1">
        <w:r w:rsidRPr="000A3AB4">
          <w:rPr>
            <w:rStyle w:val="Hyperlink"/>
            <w:sz w:val="28"/>
            <w:szCs w:val="28"/>
            <w:u w:val="none"/>
          </w:rPr>
          <w:t xml:space="preserve">Skura Comment at 3 </w:t>
        </w:r>
      </w:hyperlink>
      <w:r w:rsidRPr="000A3AB4">
        <w:rPr>
          <w:sz w:val="28"/>
          <w:szCs w:val="28"/>
        </w:rPr>
        <w:t>(claiming the proposal would create a “mandatory post-conviction consultation, a requirement that has no basis in the Supreme Court’s existing jurisprudence.”)</w:t>
      </w:r>
    </w:p>
    <w:p w14:paraId="260F1F29" w14:textId="7408F8F3" w:rsidR="003E2B0D" w:rsidRDefault="0037425E" w:rsidP="00CE34CF">
      <w:pPr>
        <w:pStyle w:val="NormalWeb"/>
        <w:spacing w:before="0" w:beforeAutospacing="0" w:after="0" w:afterAutospacing="0" w:line="480" w:lineRule="auto"/>
        <w:ind w:firstLine="720"/>
        <w:contextualSpacing/>
        <w:jc w:val="both"/>
        <w:rPr>
          <w:color w:val="000000"/>
          <w:sz w:val="28"/>
          <w:szCs w:val="28"/>
        </w:rPr>
      </w:pPr>
      <w:r w:rsidRPr="000A3AB4">
        <w:rPr>
          <w:sz w:val="28"/>
          <w:szCs w:val="28"/>
        </w:rPr>
        <w:t>“</w:t>
      </w:r>
      <w:r w:rsidRPr="000A3AB4">
        <w:rPr>
          <w:color w:val="000000"/>
          <w:sz w:val="28"/>
          <w:szCs w:val="28"/>
        </w:rPr>
        <w:t xml:space="preserve">By </w:t>
      </w:r>
      <w:r w:rsidR="003E2B0D">
        <w:rPr>
          <w:color w:val="000000"/>
          <w:sz w:val="28"/>
          <w:szCs w:val="28"/>
        </w:rPr>
        <w:t>‘</w:t>
      </w:r>
      <w:r w:rsidRPr="000A3AB4">
        <w:rPr>
          <w:color w:val="000000"/>
          <w:sz w:val="28"/>
          <w:szCs w:val="28"/>
        </w:rPr>
        <w:t>consult,</w:t>
      </w:r>
      <w:r w:rsidR="003E2B0D">
        <w:rPr>
          <w:color w:val="000000"/>
          <w:sz w:val="28"/>
          <w:szCs w:val="28"/>
        </w:rPr>
        <w:t>’</w:t>
      </w:r>
      <w:r w:rsidRPr="000A3AB4">
        <w:rPr>
          <w:color w:val="000000"/>
          <w:sz w:val="28"/>
          <w:szCs w:val="28"/>
        </w:rPr>
        <w:t xml:space="preserve"> the [United States Supreme] Court means advising the defendant about the advantages and disadvantages of taking an appeal and making a reasonable effort to discover the defendant's wishes. Counsel who consults with the defendant performs in a professionally unreasonable manner only by failing to follow the defendant's express instructions about an appeal.</w:t>
      </w:r>
      <w:r w:rsidR="003E2B0D">
        <w:rPr>
          <w:color w:val="000000"/>
          <w:sz w:val="28"/>
          <w:szCs w:val="28"/>
        </w:rPr>
        <w:t>”</w:t>
      </w:r>
      <w:r w:rsidRPr="000A3AB4">
        <w:rPr>
          <w:color w:val="000000"/>
          <w:sz w:val="28"/>
          <w:szCs w:val="28"/>
        </w:rPr>
        <w:t xml:space="preserve"> </w:t>
      </w:r>
      <w:bookmarkStart w:id="44" w:name="dabmci_fc22f122c37b4e73b52d3ea76e1eb878"/>
      <w:r w:rsidRPr="000A3AB4">
        <w:fldChar w:fldCharType="begin"/>
      </w:r>
      <w:r w:rsidRPr="000A3AB4">
        <w:instrText xml:space="preserve"> HYPERLINK "https://www.westlaw.com/Document/I6b3468669c2511d9bc61beebb95be672/View/FullText.html?transitionType=Default&amp;contextData=(sc.Default)&amp;VR=3.0&amp;RS=da3.0&amp;fragmentIdentifier=co_pp_sp_780_471" </w:instrText>
      </w:r>
      <w:r w:rsidRPr="000A3AB4">
        <w:fldChar w:fldCharType="separate"/>
      </w:r>
      <w:r w:rsidRPr="000A3AB4">
        <w:rPr>
          <w:i/>
          <w:color w:val="3333FF"/>
          <w:sz w:val="28"/>
          <w:szCs w:val="28"/>
          <w:bdr w:val="none" w:sz="0" w:space="0" w:color="auto" w:frame="1"/>
        </w:rPr>
        <w:t>Roe v. Flores-Ortega</w:t>
      </w:r>
      <w:r w:rsidRPr="000A3AB4">
        <w:rPr>
          <w:i/>
          <w:color w:val="3333FF"/>
          <w:sz w:val="28"/>
          <w:szCs w:val="28"/>
        </w:rPr>
        <w:t>,</w:t>
      </w:r>
      <w:r w:rsidRPr="000A3AB4">
        <w:rPr>
          <w:color w:val="3333FF"/>
          <w:sz w:val="28"/>
          <w:szCs w:val="28"/>
        </w:rPr>
        <w:t xml:space="preserve"> 528 U.S. 470</w:t>
      </w:r>
      <w:r w:rsidR="003E2B0D">
        <w:rPr>
          <w:color w:val="3333FF"/>
          <w:sz w:val="28"/>
          <w:szCs w:val="28"/>
        </w:rPr>
        <w:t xml:space="preserve">, 471 </w:t>
      </w:r>
      <w:r w:rsidRPr="000A3AB4">
        <w:rPr>
          <w:color w:val="3333FF"/>
          <w:sz w:val="28"/>
          <w:szCs w:val="28"/>
        </w:rPr>
        <w:t>(2000)</w:t>
      </w:r>
      <w:r w:rsidRPr="000A3AB4">
        <w:rPr>
          <w:color w:val="3333FF"/>
          <w:sz w:val="28"/>
          <w:szCs w:val="28"/>
        </w:rPr>
        <w:fldChar w:fldCharType="end"/>
      </w:r>
      <w:bookmarkStart w:id="45" w:name="dabmen_fc22f122c37b4e73b52d3ea76e1eb878"/>
      <w:bookmarkEnd w:id="44"/>
      <w:bookmarkEnd w:id="45"/>
      <w:r w:rsidR="003E2B0D">
        <w:rPr>
          <w:color w:val="3333FF"/>
          <w:sz w:val="28"/>
          <w:szCs w:val="28"/>
        </w:rPr>
        <w:t xml:space="preserve"> </w:t>
      </w:r>
      <w:r w:rsidR="003E2B0D" w:rsidRPr="003E2B0D">
        <w:rPr>
          <w:color w:val="FF0000"/>
          <w:sz w:val="28"/>
          <w:szCs w:val="28"/>
        </w:rPr>
        <w:t>(summary in syllabus</w:t>
      </w:r>
      <w:r w:rsidR="003E2B0D">
        <w:rPr>
          <w:color w:val="FF0000"/>
          <w:sz w:val="28"/>
          <w:szCs w:val="28"/>
        </w:rPr>
        <w:t>.</w:t>
      </w:r>
      <w:r w:rsidR="003E2B0D" w:rsidRPr="003E2B0D">
        <w:rPr>
          <w:color w:val="FF0000"/>
          <w:sz w:val="28"/>
          <w:szCs w:val="28"/>
        </w:rPr>
        <w:t>)</w:t>
      </w:r>
      <w:r w:rsidRPr="003E2B0D">
        <w:rPr>
          <w:color w:val="FF0000"/>
          <w:sz w:val="28"/>
          <w:szCs w:val="28"/>
        </w:rPr>
        <w:t xml:space="preserve"> “</w:t>
      </w:r>
      <w:r w:rsidRPr="000A3AB4">
        <w:rPr>
          <w:color w:val="000000"/>
          <w:sz w:val="28"/>
          <w:szCs w:val="28"/>
        </w:rPr>
        <w:t xml:space="preserve">It follows then that since the decision to appeal </w:t>
      </w:r>
      <w:r w:rsidR="003E2B0D">
        <w:rPr>
          <w:color w:val="000000"/>
          <w:sz w:val="28"/>
          <w:szCs w:val="28"/>
        </w:rPr>
        <w:t>‘</w:t>
      </w:r>
      <w:r w:rsidRPr="000A3AB4">
        <w:rPr>
          <w:color w:val="000000"/>
          <w:sz w:val="28"/>
          <w:szCs w:val="28"/>
        </w:rPr>
        <w:t xml:space="preserve">cannot be made intelligently without appreciating the merits of possible grounds for seeking review, and the potential risks to the appealing defendant, a lay defendant needs help </w:t>
      </w:r>
      <w:r w:rsidRPr="000A3AB4">
        <w:rPr>
          <w:i/>
          <w:iCs/>
          <w:color w:val="3D3D3D"/>
          <w:sz w:val="28"/>
          <w:szCs w:val="28"/>
          <w:bdr w:val="none" w:sz="0" w:space="0" w:color="auto" w:frame="1"/>
        </w:rPr>
        <w:t>before</w:t>
      </w:r>
      <w:r w:rsidRPr="000A3AB4">
        <w:rPr>
          <w:color w:val="000000"/>
          <w:sz w:val="28"/>
          <w:szCs w:val="28"/>
        </w:rPr>
        <w:t xml:space="preserve"> deciding.</w:t>
      </w:r>
      <w:r w:rsidR="003E2B0D">
        <w:rPr>
          <w:color w:val="000000"/>
          <w:sz w:val="28"/>
          <w:szCs w:val="28"/>
        </w:rPr>
        <w:t>’</w:t>
      </w:r>
      <w:r w:rsidRPr="000A3AB4">
        <w:rPr>
          <w:color w:val="000000"/>
          <w:sz w:val="28"/>
          <w:szCs w:val="28"/>
        </w:rPr>
        <w:t xml:space="preserve">” </w:t>
      </w:r>
      <w:bookmarkStart w:id="46" w:name="dabmci_d6358891db4f41379c655097750c5f62"/>
      <w:r w:rsidRPr="000A3AB4">
        <w:fldChar w:fldCharType="begin"/>
      </w:r>
      <w:r w:rsidRPr="000A3AB4">
        <w:instrText xml:space="preserve"> HYPERLINK "https://www.westlaw.com/Document/I6ae1948c89fd11d9ac45f46c5ea084a3/View/FullText.html?transitionType=Default&amp;contextData=(sc.Default)&amp;VR=3.0&amp;RS=da3.0&amp;fragmentIdentifier=co_pp_sp_506_656" </w:instrText>
      </w:r>
      <w:r w:rsidRPr="000A3AB4">
        <w:fldChar w:fldCharType="separate"/>
      </w:r>
      <w:r w:rsidRPr="000A3AB4">
        <w:rPr>
          <w:i/>
          <w:color w:val="3333FF"/>
          <w:sz w:val="28"/>
          <w:szCs w:val="28"/>
          <w:bdr w:val="none" w:sz="0" w:space="0" w:color="auto" w:frame="1"/>
        </w:rPr>
        <w:t>Lewis v. Johnson</w:t>
      </w:r>
      <w:r w:rsidRPr="000A3AB4">
        <w:rPr>
          <w:color w:val="3333FF"/>
          <w:sz w:val="28"/>
          <w:szCs w:val="28"/>
        </w:rPr>
        <w:t>, 359 F.3d 646, 656 (3d Cir. 2004)</w:t>
      </w:r>
      <w:r w:rsidRPr="000A3AB4">
        <w:rPr>
          <w:color w:val="3333FF"/>
          <w:sz w:val="28"/>
          <w:szCs w:val="28"/>
        </w:rPr>
        <w:fldChar w:fldCharType="end"/>
      </w:r>
      <w:bookmarkStart w:id="47" w:name="dabmen_d6358891db4f41379c655097750c5f62"/>
      <w:bookmarkEnd w:id="46"/>
      <w:bookmarkEnd w:id="47"/>
      <w:r w:rsidR="003E2B0D">
        <w:rPr>
          <w:color w:val="3333FF"/>
          <w:sz w:val="28"/>
          <w:szCs w:val="28"/>
        </w:rPr>
        <w:t xml:space="preserve"> </w:t>
      </w:r>
      <w:r w:rsidRPr="000A3AB4">
        <w:rPr>
          <w:color w:val="000000"/>
          <w:sz w:val="28"/>
          <w:szCs w:val="28"/>
        </w:rPr>
        <w:t xml:space="preserve">(quoting </w:t>
      </w:r>
      <w:bookmarkStart w:id="48" w:name="dabmci_68eff28f2d7343efbc61098b76b1e9f8"/>
      <w:r w:rsidRPr="000A3AB4">
        <w:fldChar w:fldCharType="begin"/>
      </w:r>
      <w:r w:rsidRPr="000A3AB4">
        <w:instrText xml:space="preserve"> HYPERLINK "https://www.westlaw.com/Document/I6b3468669c2511d9bc61beebb95be672/View/FullText.html?transitionType=Default&amp;contextData=(sc.Default)&amp;VR=3.0&amp;RS=da3.0&amp;fragmentIdentifier=co_pp_sp_780_489" </w:instrText>
      </w:r>
      <w:r w:rsidRPr="000A3AB4">
        <w:fldChar w:fldCharType="separate"/>
      </w:r>
      <w:r w:rsidRPr="000A3AB4">
        <w:rPr>
          <w:i/>
          <w:color w:val="3333FF"/>
          <w:sz w:val="28"/>
          <w:szCs w:val="28"/>
        </w:rPr>
        <w:t>Flores-Ortega</w:t>
      </w:r>
      <w:r w:rsidRPr="000A3AB4">
        <w:rPr>
          <w:color w:val="3333FF"/>
          <w:sz w:val="28"/>
          <w:szCs w:val="28"/>
        </w:rPr>
        <w:t>, 528 U.S. at 489 (Souter, J</w:t>
      </w:r>
      <w:r w:rsidR="00B144AA">
        <w:rPr>
          <w:color w:val="3333FF"/>
          <w:sz w:val="28"/>
          <w:szCs w:val="28"/>
        </w:rPr>
        <w:t>.</w:t>
      </w:r>
      <w:r w:rsidRPr="000A3AB4">
        <w:rPr>
          <w:color w:val="3333FF"/>
          <w:sz w:val="28"/>
          <w:szCs w:val="28"/>
        </w:rPr>
        <w:t>)</w:t>
      </w:r>
      <w:r w:rsidRPr="000A3AB4">
        <w:rPr>
          <w:color w:val="3333FF"/>
          <w:sz w:val="28"/>
          <w:szCs w:val="28"/>
        </w:rPr>
        <w:fldChar w:fldCharType="end"/>
      </w:r>
      <w:bookmarkStart w:id="49" w:name="dabmen_68eff28f2d7343efbc61098b76b1e9f8"/>
      <w:bookmarkEnd w:id="48"/>
      <w:bookmarkEnd w:id="49"/>
      <w:r w:rsidRPr="000A3AB4">
        <w:rPr>
          <w:color w:val="000000"/>
          <w:sz w:val="28"/>
          <w:szCs w:val="28"/>
        </w:rPr>
        <w:t xml:space="preserve"> (granting habeas relief under AEDPA following counsel’s failure to consult and file notice of appeal despite client’s “unequivocal desire to challenge his sentence and guilty plea, and abandon his client at this critical stage in the proceedings.”) </w:t>
      </w:r>
    </w:p>
    <w:p w14:paraId="06DEB5AA" w14:textId="17438435" w:rsidR="00AD0576" w:rsidRPr="004E0D2B" w:rsidRDefault="0037425E" w:rsidP="00CE34CF">
      <w:pPr>
        <w:pStyle w:val="NormalWeb"/>
        <w:spacing w:before="0" w:beforeAutospacing="0" w:after="0" w:afterAutospacing="0" w:line="480" w:lineRule="auto"/>
        <w:ind w:firstLine="720"/>
        <w:contextualSpacing/>
        <w:jc w:val="both"/>
        <w:rPr>
          <w:iCs/>
          <w:color w:val="3D3D3D"/>
          <w:sz w:val="28"/>
          <w:szCs w:val="28"/>
          <w:bdr w:val="none" w:sz="0" w:space="0" w:color="auto" w:frame="1"/>
        </w:rPr>
      </w:pPr>
      <w:r w:rsidRPr="000A3AB4">
        <w:rPr>
          <w:color w:val="000000"/>
          <w:sz w:val="28"/>
          <w:szCs w:val="28"/>
        </w:rPr>
        <w:t>“[A]</w:t>
      </w:r>
      <w:proofErr w:type="spellStart"/>
      <w:r w:rsidRPr="000A3AB4">
        <w:rPr>
          <w:color w:val="000000"/>
          <w:sz w:val="28"/>
          <w:szCs w:val="28"/>
        </w:rPr>
        <w:t>dequate</w:t>
      </w:r>
      <w:proofErr w:type="spellEnd"/>
      <w:r w:rsidRPr="000A3AB4">
        <w:rPr>
          <w:color w:val="000000"/>
          <w:sz w:val="28"/>
          <w:szCs w:val="28"/>
        </w:rPr>
        <w:t xml:space="preserve"> consultation requires informing a client about his right to appeal, advising the client about the advantages and disadvantages of taking an appeal, </w:t>
      </w:r>
      <w:r w:rsidRPr="000A3AB4">
        <w:rPr>
          <w:i/>
          <w:iCs/>
          <w:color w:val="3D3D3D"/>
          <w:sz w:val="28"/>
          <w:szCs w:val="28"/>
          <w:bdr w:val="none" w:sz="0" w:space="0" w:color="auto" w:frame="1"/>
        </w:rPr>
        <w:t>and</w:t>
      </w:r>
      <w:r w:rsidRPr="000A3AB4">
        <w:rPr>
          <w:color w:val="000000"/>
          <w:sz w:val="28"/>
          <w:szCs w:val="28"/>
        </w:rPr>
        <w:t xml:space="preserve"> </w:t>
      </w:r>
      <w:r w:rsidRPr="000A3AB4">
        <w:rPr>
          <w:color w:val="000000"/>
          <w:sz w:val="28"/>
          <w:szCs w:val="28"/>
        </w:rPr>
        <w:lastRenderedPageBreak/>
        <w:t xml:space="preserve">making a reasonable effort to determine whether the client wishes to pursue an appeal, regardless of the merits of such an appeal.” </w:t>
      </w:r>
      <w:bookmarkStart w:id="50" w:name="dabmci_472ec9f8a9c342d49173456be4bfdc98"/>
      <w:r w:rsidRPr="000A3AB4">
        <w:fldChar w:fldCharType="begin"/>
      </w:r>
      <w:r w:rsidRPr="000A3AB4">
        <w:instrText xml:space="preserve"> HYPERLINK "https://www.westlaw.com/Document/I2fe039d87e3611dc8200d0063168b01f/View/FullText.html?transitionType=Default&amp;contextData=(sc.Default)&amp;VR=3.0&amp;RS=da3.0&amp;fragmentIdentifier=co_pp_sp_506_1206" </w:instrText>
      </w:r>
      <w:r w:rsidRPr="000A3AB4">
        <w:fldChar w:fldCharType="separate"/>
      </w:r>
      <w:r w:rsidRPr="000A3AB4">
        <w:rPr>
          <w:i/>
          <w:color w:val="3333FF"/>
          <w:sz w:val="28"/>
          <w:szCs w:val="28"/>
          <w:bdr w:val="none" w:sz="0" w:space="0" w:color="auto" w:frame="1"/>
        </w:rPr>
        <w:t>Thompson v. United States</w:t>
      </w:r>
      <w:r w:rsidRPr="000A3AB4">
        <w:rPr>
          <w:color w:val="3333FF"/>
          <w:sz w:val="28"/>
          <w:szCs w:val="28"/>
        </w:rPr>
        <w:t>, 504 F.3d 1203, 1206 (11th Cir. 2007)</w:t>
      </w:r>
      <w:r w:rsidRPr="000A3AB4">
        <w:rPr>
          <w:color w:val="3333FF"/>
          <w:sz w:val="28"/>
          <w:szCs w:val="28"/>
        </w:rPr>
        <w:fldChar w:fldCharType="end"/>
      </w:r>
      <w:bookmarkStart w:id="51" w:name="dabmen_472ec9f8a9c342d49173456be4bfdc98"/>
      <w:bookmarkEnd w:id="50"/>
      <w:bookmarkEnd w:id="51"/>
      <w:r w:rsidRPr="000A3AB4">
        <w:rPr>
          <w:color w:val="000000"/>
          <w:sz w:val="28"/>
          <w:szCs w:val="28"/>
        </w:rPr>
        <w:t xml:space="preserve">; </w:t>
      </w:r>
      <w:r w:rsidRPr="000A3AB4">
        <w:rPr>
          <w:i/>
          <w:color w:val="000000"/>
          <w:sz w:val="28"/>
          <w:szCs w:val="28"/>
        </w:rPr>
        <w:t xml:space="preserve">see also </w:t>
      </w:r>
      <w:bookmarkStart w:id="52" w:name="dabmci_2e33d4fa1f514959aaf939e098e0069e"/>
      <w:r w:rsidRPr="000A3AB4">
        <w:fldChar w:fldCharType="begin"/>
      </w:r>
      <w:r w:rsidRPr="000A3AB4">
        <w:instrText xml:space="preserve"> HYPERLINK "https://www.westlaw.com/Document/I9dc67bb2681a11da97faf3f66e4b6844/View/FullText.html?transitionType=Default&amp;contextData=(sc.Default)&amp;VR=3.0&amp;RS=da3.0&amp;fragmentIdentifier=co_pp_sp_506_711" </w:instrText>
      </w:r>
      <w:r w:rsidRPr="000A3AB4">
        <w:fldChar w:fldCharType="separate"/>
      </w:r>
      <w:r w:rsidRPr="000A3AB4">
        <w:rPr>
          <w:i/>
          <w:color w:val="3333FF"/>
          <w:sz w:val="28"/>
          <w:szCs w:val="28"/>
        </w:rPr>
        <w:t>Frazer v. South Carolina</w:t>
      </w:r>
      <w:r w:rsidRPr="000A3AB4">
        <w:rPr>
          <w:color w:val="3333FF"/>
          <w:sz w:val="28"/>
          <w:szCs w:val="28"/>
        </w:rPr>
        <w:t>, 430 F.3d 696, 711 (4th Cir. 2005)</w:t>
      </w:r>
      <w:r w:rsidRPr="000A3AB4">
        <w:rPr>
          <w:color w:val="3333FF"/>
          <w:sz w:val="28"/>
          <w:szCs w:val="28"/>
        </w:rPr>
        <w:fldChar w:fldCharType="end"/>
      </w:r>
      <w:bookmarkStart w:id="53" w:name="dabmen_2e33d4fa1f514959aaf939e098e0069e"/>
      <w:bookmarkEnd w:id="52"/>
      <w:bookmarkEnd w:id="53"/>
      <w:r w:rsidRPr="000A3AB4">
        <w:rPr>
          <w:color w:val="000000"/>
          <w:sz w:val="28"/>
          <w:szCs w:val="28"/>
        </w:rPr>
        <w:t xml:space="preserve"> (“Simply demonstrating that the defendant was actually or constructively aware of his right to appeal is insufficient to relieve defense counsel of his obligations under </w:t>
      </w:r>
      <w:hyperlink r:id="rId39" w:history="1">
        <w:r w:rsidRPr="000A3AB4">
          <w:rPr>
            <w:rStyle w:val="Hyperlink"/>
            <w:i/>
            <w:iCs/>
            <w:sz w:val="28"/>
            <w:szCs w:val="28"/>
            <w:u w:val="none"/>
            <w:bdr w:val="none" w:sz="0" w:space="0" w:color="auto" w:frame="1"/>
          </w:rPr>
          <w:t>Flores–Ortega.</w:t>
        </w:r>
      </w:hyperlink>
      <w:r w:rsidRPr="000A3AB4">
        <w:rPr>
          <w:i/>
          <w:iCs/>
          <w:color w:val="3D3D3D"/>
          <w:sz w:val="28"/>
          <w:szCs w:val="28"/>
          <w:bdr w:val="none" w:sz="0" w:space="0" w:color="auto" w:frame="1"/>
        </w:rPr>
        <w:t>”</w:t>
      </w:r>
      <w:r w:rsidR="004E0D2B">
        <w:rPr>
          <w:iCs/>
          <w:color w:val="3D3D3D"/>
          <w:sz w:val="28"/>
          <w:szCs w:val="28"/>
          <w:bdr w:val="none" w:sz="0" w:space="0" w:color="auto" w:frame="1"/>
        </w:rPr>
        <w:t>)</w:t>
      </w:r>
    </w:p>
    <w:p w14:paraId="0D37B048" w14:textId="1474E8B2" w:rsidR="002E1AFF" w:rsidRPr="004000B8" w:rsidRDefault="0004228D" w:rsidP="00CE34CF">
      <w:pPr>
        <w:pStyle w:val="NormalWeb"/>
        <w:spacing w:before="0" w:beforeAutospacing="0" w:after="0" w:afterAutospacing="0" w:line="480" w:lineRule="auto"/>
        <w:ind w:firstLine="720"/>
        <w:contextualSpacing/>
        <w:jc w:val="both"/>
        <w:rPr>
          <w:sz w:val="28"/>
          <w:szCs w:val="28"/>
        </w:rPr>
      </w:pPr>
      <w:r w:rsidRPr="004000B8">
        <w:rPr>
          <w:sz w:val="28"/>
          <w:szCs w:val="28"/>
        </w:rPr>
        <w:t xml:space="preserve">Nor is </w:t>
      </w:r>
      <w:hyperlink r:id="rId40" w:history="1">
        <w:r w:rsidRPr="004000B8">
          <w:rPr>
            <w:rStyle w:val="Hyperlink"/>
            <w:sz w:val="28"/>
            <w:szCs w:val="28"/>
            <w:u w:val="none"/>
          </w:rPr>
          <w:t xml:space="preserve">Rule 33.1(f) </w:t>
        </w:r>
      </w:hyperlink>
      <w:r w:rsidRPr="004000B8">
        <w:rPr>
          <w:sz w:val="28"/>
          <w:szCs w:val="28"/>
        </w:rPr>
        <w:t xml:space="preserve">an adequate substitute. As the </w:t>
      </w:r>
      <w:hyperlink r:id="rId41" w:history="1">
        <w:r w:rsidRPr="004000B8">
          <w:rPr>
            <w:rStyle w:val="Hyperlink"/>
            <w:sz w:val="28"/>
            <w:szCs w:val="28"/>
            <w:u w:val="none"/>
          </w:rPr>
          <w:t>Petition</w:t>
        </w:r>
      </w:hyperlink>
      <w:r w:rsidRPr="004000B8">
        <w:rPr>
          <w:sz w:val="28"/>
          <w:szCs w:val="28"/>
        </w:rPr>
        <w:t xml:space="preserve"> explained, </w:t>
      </w:r>
      <w:hyperlink r:id="rId42" w:history="1">
        <w:r w:rsidRPr="004000B8">
          <w:rPr>
            <w:rStyle w:val="Hyperlink"/>
            <w:sz w:val="28"/>
            <w:szCs w:val="28"/>
            <w:u w:val="none"/>
          </w:rPr>
          <w:t>R</w:t>
        </w:r>
      </w:hyperlink>
      <w:hyperlink r:id="rId43" w:history="1">
        <w:r w:rsidRPr="004000B8">
          <w:rPr>
            <w:rStyle w:val="Hyperlink"/>
            <w:sz w:val="28"/>
            <w:szCs w:val="28"/>
            <w:u w:val="none"/>
          </w:rPr>
          <w:t>ule 33.1(f)</w:t>
        </w:r>
      </w:hyperlink>
      <w:r w:rsidRPr="004000B8">
        <w:rPr>
          <w:sz w:val="28"/>
          <w:szCs w:val="28"/>
        </w:rPr>
        <w:t xml:space="preserve"> is a remedial mechanism requiring additional litigation after rights have already been forfeited. The existence of a remedial process does not eliminate the need for a rule designed to prevent the forfeiture from occurring in the first place. </w:t>
      </w:r>
      <w:hyperlink r:id="rId44" w:history="1">
        <w:r w:rsidRPr="004000B8">
          <w:rPr>
            <w:rStyle w:val="Hyperlink"/>
            <w:sz w:val="28"/>
            <w:szCs w:val="28"/>
            <w:u w:val="none"/>
          </w:rPr>
          <w:t>Petition at 6.</w:t>
        </w:r>
      </w:hyperlink>
    </w:p>
    <w:p w14:paraId="2C72695D" w14:textId="3A86E947" w:rsidR="002E1AFF" w:rsidRDefault="00AD0576" w:rsidP="00CE34CF">
      <w:pPr>
        <w:pStyle w:val="NormalWeb"/>
        <w:spacing w:before="0" w:beforeAutospacing="0" w:after="0" w:afterAutospacing="0"/>
        <w:ind w:left="720" w:hanging="720"/>
        <w:contextualSpacing/>
        <w:jc w:val="both"/>
        <w:rPr>
          <w:b/>
          <w:sz w:val="28"/>
          <w:szCs w:val="28"/>
        </w:rPr>
      </w:pPr>
      <w:r w:rsidRPr="00AD0576">
        <w:rPr>
          <w:b/>
          <w:sz w:val="28"/>
          <w:szCs w:val="28"/>
        </w:rPr>
        <w:t xml:space="preserve">III. </w:t>
      </w:r>
      <w:r w:rsidRPr="00AD0576">
        <w:rPr>
          <w:b/>
          <w:sz w:val="28"/>
          <w:szCs w:val="28"/>
        </w:rPr>
        <w:tab/>
        <w:t>The Proposed Amendment Does Not Create Practical Implementation Concerns</w:t>
      </w:r>
    </w:p>
    <w:p w14:paraId="01BBA509" w14:textId="77777777" w:rsidR="00CE34CF" w:rsidRDefault="00CE34CF" w:rsidP="00CE34CF">
      <w:pPr>
        <w:pStyle w:val="NormalWeb"/>
        <w:spacing w:before="0" w:beforeAutospacing="0" w:after="0" w:afterAutospacing="0"/>
        <w:ind w:left="720" w:hanging="720"/>
        <w:contextualSpacing/>
        <w:jc w:val="both"/>
        <w:rPr>
          <w:b/>
          <w:sz w:val="28"/>
          <w:szCs w:val="28"/>
        </w:rPr>
      </w:pPr>
    </w:p>
    <w:p w14:paraId="3C40D8E5" w14:textId="1C5C88C8" w:rsidR="002E1AFF" w:rsidRPr="000A3AB4" w:rsidRDefault="0004228D" w:rsidP="00CE34CF">
      <w:pPr>
        <w:pStyle w:val="NormalWeb"/>
        <w:spacing w:before="0" w:beforeAutospacing="0" w:after="0" w:afterAutospacing="0" w:line="480" w:lineRule="auto"/>
        <w:ind w:firstLine="720"/>
        <w:contextualSpacing/>
        <w:jc w:val="both"/>
        <w:rPr>
          <w:sz w:val="28"/>
          <w:szCs w:val="28"/>
        </w:rPr>
      </w:pPr>
      <w:r w:rsidRPr="000A3AB4">
        <w:rPr>
          <w:sz w:val="28"/>
          <w:szCs w:val="28"/>
        </w:rPr>
        <w:t xml:space="preserve">The opposing comment also hypothesizes situations involving communication breakdowns or unresponsive clients. </w:t>
      </w:r>
      <w:hyperlink r:id="rId45" w:history="1">
        <w:r w:rsidRPr="000A3AB4">
          <w:rPr>
            <w:rStyle w:val="Hyperlink"/>
            <w:sz w:val="28"/>
            <w:szCs w:val="28"/>
            <w:u w:val="none"/>
          </w:rPr>
          <w:t>Skura Comment at</w:t>
        </w:r>
        <w:r w:rsidR="00FB1FFB">
          <w:rPr>
            <w:rStyle w:val="Hyperlink"/>
            <w:sz w:val="28"/>
            <w:szCs w:val="28"/>
            <w:u w:val="none"/>
          </w:rPr>
          <w:t xml:space="preserve"> </w:t>
        </w:r>
        <w:r w:rsidRPr="000A3AB4">
          <w:rPr>
            <w:rStyle w:val="Hyperlink"/>
            <w:sz w:val="28"/>
            <w:szCs w:val="28"/>
            <w:u w:val="none"/>
          </w:rPr>
          <w:t>4.</w:t>
        </w:r>
      </w:hyperlink>
      <w:r w:rsidRPr="000A3AB4">
        <w:rPr>
          <w:sz w:val="28"/>
          <w:szCs w:val="28"/>
        </w:rPr>
        <w:t xml:space="preserve"> But the </w:t>
      </w:r>
      <w:hyperlink r:id="rId46" w:history="1">
        <w:r w:rsidRPr="000A3AB4">
          <w:rPr>
            <w:rStyle w:val="Hyperlink"/>
            <w:sz w:val="28"/>
            <w:szCs w:val="28"/>
            <w:u w:val="none"/>
          </w:rPr>
          <w:t>AACJ Comment</w:t>
        </w:r>
      </w:hyperlink>
      <w:r w:rsidRPr="000A3AB4">
        <w:rPr>
          <w:sz w:val="28"/>
          <w:szCs w:val="28"/>
        </w:rPr>
        <w:t xml:space="preserve"> supporting the </w:t>
      </w:r>
      <w:hyperlink r:id="rId47" w:history="1">
        <w:r w:rsidRPr="004000B8">
          <w:rPr>
            <w:rStyle w:val="Hyperlink"/>
            <w:sz w:val="28"/>
            <w:szCs w:val="28"/>
            <w:u w:val="none"/>
          </w:rPr>
          <w:t>Petition</w:t>
        </w:r>
      </w:hyperlink>
      <w:r w:rsidRPr="004000B8">
        <w:rPr>
          <w:sz w:val="28"/>
          <w:szCs w:val="28"/>
        </w:rPr>
        <w:t xml:space="preserve"> </w:t>
      </w:r>
      <w:r w:rsidRPr="000A3AB4">
        <w:rPr>
          <w:sz w:val="28"/>
          <w:szCs w:val="28"/>
        </w:rPr>
        <w:t>correctly note</w:t>
      </w:r>
      <w:r w:rsidR="004E0D2B">
        <w:rPr>
          <w:sz w:val="28"/>
          <w:szCs w:val="28"/>
        </w:rPr>
        <w:t>s</w:t>
      </w:r>
      <w:r w:rsidRPr="000A3AB4">
        <w:rPr>
          <w:sz w:val="28"/>
          <w:szCs w:val="28"/>
        </w:rPr>
        <w:t xml:space="preserve"> that these concerns are largely theoretical and easily resolved. </w:t>
      </w:r>
      <w:hyperlink r:id="rId48" w:history="1">
        <w:r w:rsidRPr="000A3AB4">
          <w:rPr>
            <w:rStyle w:val="Hyperlink"/>
            <w:sz w:val="28"/>
            <w:szCs w:val="28"/>
            <w:u w:val="none"/>
          </w:rPr>
          <w:t>AACJ Comment at 6-7</w:t>
        </w:r>
        <w:r w:rsidR="00607257" w:rsidRPr="000A3AB4">
          <w:rPr>
            <w:rStyle w:val="Hyperlink"/>
            <w:sz w:val="28"/>
            <w:szCs w:val="28"/>
            <w:u w:val="none"/>
          </w:rPr>
          <w:t>.</w:t>
        </w:r>
      </w:hyperlink>
    </w:p>
    <w:p w14:paraId="1ECDA74E" w14:textId="6FFE766B" w:rsidR="00DB4BAA" w:rsidRPr="000A3AB4" w:rsidRDefault="0037425E" w:rsidP="00CE34CF">
      <w:pPr>
        <w:pStyle w:val="NormalWeb"/>
        <w:spacing w:before="0" w:beforeAutospacing="0" w:after="0" w:afterAutospacing="0" w:line="480" w:lineRule="auto"/>
        <w:ind w:firstLine="720"/>
        <w:contextualSpacing/>
        <w:jc w:val="both"/>
        <w:rPr>
          <w:sz w:val="28"/>
          <w:szCs w:val="28"/>
        </w:rPr>
      </w:pPr>
      <w:r w:rsidRPr="000A3AB4">
        <w:rPr>
          <w:sz w:val="28"/>
          <w:szCs w:val="28"/>
        </w:rPr>
        <w:t>The proposed amendment imposes no substantial burden. Filing a notice of post-conviction relief is a short, non-substantive, ministerial filing.</w:t>
      </w:r>
      <w:r w:rsidR="00FB1FFB">
        <w:rPr>
          <w:sz w:val="28"/>
          <w:szCs w:val="28"/>
        </w:rPr>
        <w:t xml:space="preserve"> </w:t>
      </w:r>
      <w:r w:rsidRPr="000A3AB4">
        <w:rPr>
          <w:sz w:val="28"/>
          <w:szCs w:val="28"/>
        </w:rPr>
        <w:t xml:space="preserve">As noted above, counsel has a constitutional obligation to consult and advise clients to ensure that </w:t>
      </w:r>
      <w:r w:rsidRPr="000A3AB4">
        <w:rPr>
          <w:sz w:val="28"/>
          <w:szCs w:val="28"/>
        </w:rPr>
        <w:lastRenderedPageBreak/>
        <w:t xml:space="preserve">the decision of whether to challenge a conviction is knowingly, intelligently, and voluntarily asserted or waived. </w:t>
      </w:r>
    </w:p>
    <w:p w14:paraId="2F4C09ED" w14:textId="7027B946" w:rsidR="002E1AFF" w:rsidRPr="00AD0576" w:rsidRDefault="0037425E" w:rsidP="00CE34CF">
      <w:pPr>
        <w:pStyle w:val="NormalWeb"/>
        <w:spacing w:before="0" w:beforeAutospacing="0" w:after="0" w:afterAutospacing="0" w:line="480" w:lineRule="auto"/>
        <w:contextualSpacing/>
        <w:jc w:val="both"/>
        <w:rPr>
          <w:b/>
          <w:sz w:val="28"/>
          <w:szCs w:val="28"/>
        </w:rPr>
      </w:pPr>
      <w:r w:rsidRPr="00AD0576">
        <w:rPr>
          <w:b/>
          <w:sz w:val="28"/>
          <w:szCs w:val="28"/>
        </w:rPr>
        <w:t xml:space="preserve">IV. </w:t>
      </w:r>
      <w:r w:rsidR="00607257">
        <w:rPr>
          <w:b/>
          <w:sz w:val="28"/>
          <w:szCs w:val="28"/>
        </w:rPr>
        <w:tab/>
      </w:r>
      <w:r w:rsidRPr="00AD0576">
        <w:rPr>
          <w:b/>
          <w:sz w:val="28"/>
          <w:szCs w:val="28"/>
        </w:rPr>
        <w:t>The Amendment Properly Places Pleading Defendants on Equal Footing.</w:t>
      </w:r>
    </w:p>
    <w:p w14:paraId="13258651" w14:textId="449B1420" w:rsidR="002E1AFF" w:rsidRPr="000A3AB4" w:rsidRDefault="00AD0576" w:rsidP="00CE34CF">
      <w:pPr>
        <w:pStyle w:val="NormalWeb"/>
        <w:spacing w:before="0" w:beforeAutospacing="0" w:after="0" w:afterAutospacing="0" w:line="480" w:lineRule="auto"/>
        <w:ind w:firstLine="720"/>
        <w:contextualSpacing/>
        <w:jc w:val="both"/>
        <w:rPr>
          <w:sz w:val="28"/>
          <w:szCs w:val="28"/>
        </w:rPr>
      </w:pPr>
      <w:r w:rsidRPr="000A3AB4">
        <w:rPr>
          <w:sz w:val="28"/>
          <w:szCs w:val="28"/>
        </w:rPr>
        <w:t xml:space="preserve">Ultimately, the current version of </w:t>
      </w:r>
      <w:bookmarkStart w:id="54" w:name="dabmci_6a35c33af58843ecafff8c7ee2952713"/>
      <w:r w:rsidR="0037425E" w:rsidRPr="000A3AB4">
        <w:fldChar w:fldCharType="begin"/>
      </w:r>
      <w:r w:rsidR="0037425E" w:rsidRPr="000A3AB4">
        <w:instrText xml:space="preserve"> HYPERLINK "https://www.westlaw.com/Document/N04C36671C30911EDAC23FF23DD106B76/View/FullText.html?transitionType=Default&amp;contextData=(sc.Default)&amp;VR=3.0&amp;RS=da3.0" </w:instrText>
      </w:r>
      <w:r w:rsidR="0037425E" w:rsidRPr="000A3AB4">
        <w:fldChar w:fldCharType="separate"/>
      </w:r>
      <w:r w:rsidRPr="000A3AB4">
        <w:rPr>
          <w:color w:val="3333FF"/>
          <w:sz w:val="28"/>
          <w:szCs w:val="28"/>
        </w:rPr>
        <w:t>Rule 6.3</w:t>
      </w:r>
      <w:r w:rsidR="0037425E" w:rsidRPr="000A3AB4">
        <w:rPr>
          <w:color w:val="3333FF"/>
          <w:sz w:val="28"/>
          <w:szCs w:val="28"/>
        </w:rPr>
        <w:fldChar w:fldCharType="end"/>
      </w:r>
      <w:bookmarkStart w:id="55" w:name="dabmen_6a35c33af58843ecafff8c7ee2952713"/>
      <w:bookmarkEnd w:id="54"/>
      <w:bookmarkEnd w:id="55"/>
      <w:r w:rsidRPr="000A3AB4">
        <w:rPr>
          <w:sz w:val="28"/>
          <w:szCs w:val="28"/>
        </w:rPr>
        <w:t xml:space="preserve"> creates unequal procedural protection between pleading and non-pleading defendants.</w:t>
      </w:r>
      <w:r w:rsidR="00FB1FFB">
        <w:rPr>
          <w:sz w:val="28"/>
          <w:szCs w:val="28"/>
        </w:rPr>
        <w:t xml:space="preserve"> </w:t>
      </w:r>
      <w:r w:rsidRPr="000A3AB4">
        <w:rPr>
          <w:sz w:val="28"/>
          <w:szCs w:val="28"/>
        </w:rPr>
        <w:t>After filing this proposal and speaking with various stakeholders who did not file comments, undersigned counsel learned that</w:t>
      </w:r>
      <w:r w:rsidR="003F202A">
        <w:rPr>
          <w:sz w:val="28"/>
          <w:szCs w:val="28"/>
        </w:rPr>
        <w:t xml:space="preserve"> it </w:t>
      </w:r>
      <w:r w:rsidR="00463B2D">
        <w:rPr>
          <w:sz w:val="28"/>
          <w:szCs w:val="28"/>
        </w:rPr>
        <w:t xml:space="preserve">is </w:t>
      </w:r>
      <w:r w:rsidR="003F202A">
        <w:rPr>
          <w:sz w:val="28"/>
          <w:szCs w:val="28"/>
        </w:rPr>
        <w:t>widely believed that</w:t>
      </w:r>
      <w:r w:rsidRPr="000A3AB4">
        <w:rPr>
          <w:sz w:val="28"/>
          <w:szCs w:val="28"/>
        </w:rPr>
        <w:t xml:space="preserve"> </w:t>
      </w:r>
      <w:bookmarkStart w:id="56" w:name="dabmci_a7edf2fbea9644759cb9fe774d22af4e"/>
      <w:r w:rsidR="0037425E" w:rsidRPr="000A3AB4">
        <w:fldChar w:fldCharType="begin"/>
      </w:r>
      <w:r w:rsidR="0037425E" w:rsidRPr="000A3AB4">
        <w:instrText xml:space="preserve"> HYPERLINK "https://www.westlaw.com/Document/N04C36671C30911EDAC23FF23DD106B76/View/FullText.html?transitionType=Default&amp;contextData=(sc.Default)&amp;VR=3.0&amp;RS=da3.0" </w:instrText>
      </w:r>
      <w:r w:rsidR="0037425E" w:rsidRPr="000A3AB4">
        <w:fldChar w:fldCharType="separate"/>
      </w:r>
      <w:r w:rsidRPr="000A3AB4">
        <w:rPr>
          <w:color w:val="3333FF"/>
          <w:sz w:val="28"/>
          <w:szCs w:val="28"/>
        </w:rPr>
        <w:t>Rule 6.3</w:t>
      </w:r>
      <w:r w:rsidR="0037425E" w:rsidRPr="000A3AB4">
        <w:rPr>
          <w:color w:val="3333FF"/>
          <w:sz w:val="28"/>
          <w:szCs w:val="28"/>
        </w:rPr>
        <w:fldChar w:fldCharType="end"/>
      </w:r>
      <w:bookmarkStart w:id="57" w:name="dabmen_a7edf2fbea9644759cb9fe774d22af4e"/>
      <w:bookmarkEnd w:id="56"/>
      <w:bookmarkEnd w:id="57"/>
      <w:r w:rsidRPr="000A3AB4">
        <w:rPr>
          <w:sz w:val="28"/>
          <w:szCs w:val="28"/>
        </w:rPr>
        <w:t xml:space="preserve">’s omission of the requirement to file a notice of post-conviction relief before withdrawal was simply a drafting oversight. </w:t>
      </w:r>
    </w:p>
    <w:p w14:paraId="43658C98" w14:textId="6840EDD2" w:rsidR="00AD0576" w:rsidRPr="000A3AB4" w:rsidRDefault="0037425E" w:rsidP="00CE34CF">
      <w:pPr>
        <w:pStyle w:val="NormalWeb"/>
        <w:spacing w:before="0" w:beforeAutospacing="0" w:after="0" w:afterAutospacing="0" w:line="480" w:lineRule="auto"/>
        <w:ind w:firstLine="720"/>
        <w:contextualSpacing/>
        <w:jc w:val="both"/>
        <w:rPr>
          <w:sz w:val="28"/>
          <w:szCs w:val="28"/>
        </w:rPr>
      </w:pPr>
      <w:r w:rsidRPr="000A3AB4">
        <w:rPr>
          <w:sz w:val="28"/>
          <w:szCs w:val="28"/>
        </w:rPr>
        <w:t xml:space="preserve">The comments supporting the </w:t>
      </w:r>
      <w:hyperlink r:id="rId49" w:history="1">
        <w:r w:rsidRPr="004000B8">
          <w:rPr>
            <w:rStyle w:val="Hyperlink"/>
            <w:sz w:val="28"/>
            <w:szCs w:val="28"/>
            <w:u w:val="none"/>
          </w:rPr>
          <w:t>Petition</w:t>
        </w:r>
      </w:hyperlink>
      <w:r w:rsidRPr="004000B8">
        <w:rPr>
          <w:sz w:val="28"/>
          <w:szCs w:val="28"/>
        </w:rPr>
        <w:t xml:space="preserve"> </w:t>
      </w:r>
      <w:r w:rsidRPr="000A3AB4">
        <w:rPr>
          <w:sz w:val="28"/>
          <w:szCs w:val="28"/>
        </w:rPr>
        <w:t xml:space="preserve">uniformly recognize this disparity and the practical harms it causes. </w:t>
      </w:r>
      <w:r w:rsidR="0004228D" w:rsidRPr="000A3AB4">
        <w:rPr>
          <w:sz w:val="28"/>
          <w:szCs w:val="28"/>
        </w:rPr>
        <w:t xml:space="preserve">And the </w:t>
      </w:r>
      <w:hyperlink r:id="rId50" w:history="1">
        <w:proofErr w:type="spellStart"/>
        <w:r w:rsidR="0004228D" w:rsidRPr="000A3AB4">
          <w:rPr>
            <w:rStyle w:val="Hyperlink"/>
            <w:sz w:val="28"/>
            <w:szCs w:val="28"/>
            <w:u w:val="none"/>
          </w:rPr>
          <w:t>Skura</w:t>
        </w:r>
        <w:proofErr w:type="spellEnd"/>
        <w:r w:rsidR="0004228D" w:rsidRPr="000A3AB4">
          <w:rPr>
            <w:rStyle w:val="Hyperlink"/>
            <w:sz w:val="28"/>
            <w:szCs w:val="28"/>
            <w:u w:val="none"/>
          </w:rPr>
          <w:t xml:space="preserve"> Comment</w:t>
        </w:r>
      </w:hyperlink>
      <w:r w:rsidR="002A354C">
        <w:rPr>
          <w:rStyle w:val="Hyperlink"/>
          <w:sz w:val="28"/>
          <w:szCs w:val="28"/>
          <w:u w:val="none"/>
        </w:rPr>
        <w:t xml:space="preserve"> </w:t>
      </w:r>
      <w:r w:rsidR="002A354C" w:rsidRPr="00B144AA">
        <w:rPr>
          <w:rStyle w:val="Hyperlink"/>
          <w:color w:val="auto"/>
          <w:sz w:val="28"/>
          <w:szCs w:val="28"/>
          <w:u w:val="none"/>
        </w:rPr>
        <w:t>itself demonstrates</w:t>
      </w:r>
      <w:r w:rsidR="002A354C" w:rsidRPr="002A354C">
        <w:rPr>
          <w:rStyle w:val="Hyperlink"/>
          <w:color w:val="FF0000"/>
          <w:sz w:val="28"/>
          <w:szCs w:val="28"/>
          <w:u w:val="none"/>
        </w:rPr>
        <w:t xml:space="preserve"> that</w:t>
      </w:r>
      <w:r w:rsidR="0004228D" w:rsidRPr="000A3AB4">
        <w:rPr>
          <w:sz w:val="28"/>
          <w:szCs w:val="28"/>
        </w:rPr>
        <w:t xml:space="preserve"> the omission of a requirement to file a notice of post-conviction relief in </w:t>
      </w:r>
      <w:bookmarkStart w:id="58" w:name="dabmci_66d6c63627ec4b6e9df22bc8ac6876ae"/>
      <w:r w:rsidRPr="000A3AB4">
        <w:fldChar w:fldCharType="begin"/>
      </w:r>
      <w:r w:rsidRPr="000A3AB4">
        <w:instrText xml:space="preserve"> HYPERLINK "https://www.westlaw.com/Document/N04C36671C30911EDAC23FF23DD106B76/View/FullText.html?transitionType=Default&amp;contextData=(sc.Default)&amp;VR=3.0&amp;RS=da3.0" </w:instrText>
      </w:r>
      <w:r w:rsidRPr="000A3AB4">
        <w:fldChar w:fldCharType="separate"/>
      </w:r>
      <w:r w:rsidR="0004228D" w:rsidRPr="000A3AB4">
        <w:rPr>
          <w:color w:val="3333FF"/>
          <w:sz w:val="28"/>
          <w:szCs w:val="28"/>
        </w:rPr>
        <w:t>Rule 6.3</w:t>
      </w:r>
      <w:r w:rsidRPr="000A3AB4">
        <w:rPr>
          <w:color w:val="3333FF"/>
          <w:sz w:val="28"/>
          <w:szCs w:val="28"/>
        </w:rPr>
        <w:fldChar w:fldCharType="end"/>
      </w:r>
      <w:bookmarkStart w:id="59" w:name="dabmen_66d6c63627ec4b6e9df22bc8ac6876ae"/>
      <w:bookmarkEnd w:id="58"/>
      <w:bookmarkEnd w:id="59"/>
      <w:r w:rsidR="0004228D" w:rsidRPr="000A3AB4">
        <w:rPr>
          <w:sz w:val="28"/>
          <w:szCs w:val="28"/>
        </w:rPr>
        <w:t xml:space="preserve"> has led some criminal defense attorneys to take unconstitutional positions concerning their post-sentencing obligations. </w:t>
      </w:r>
      <w:hyperlink r:id="rId51" w:history="1">
        <w:r w:rsidR="0004228D" w:rsidRPr="000A3AB4">
          <w:rPr>
            <w:rStyle w:val="Hyperlink"/>
            <w:sz w:val="28"/>
            <w:szCs w:val="28"/>
            <w:u w:val="none"/>
          </w:rPr>
          <w:t>Skura Comment at 2.</w:t>
        </w:r>
      </w:hyperlink>
      <w:r w:rsidR="0004228D" w:rsidRPr="000A3AB4">
        <w:rPr>
          <w:sz w:val="28"/>
          <w:szCs w:val="28"/>
        </w:rPr>
        <w:t xml:space="preserve"> </w:t>
      </w:r>
    </w:p>
    <w:p w14:paraId="3D253CD5" w14:textId="3F376CE7" w:rsidR="002E1AFF" w:rsidRDefault="0037425E" w:rsidP="00CE34CF">
      <w:pPr>
        <w:pStyle w:val="NormalWeb"/>
        <w:spacing w:before="0" w:beforeAutospacing="0" w:after="0" w:afterAutospacing="0" w:line="480" w:lineRule="auto"/>
        <w:ind w:firstLine="720"/>
        <w:contextualSpacing/>
        <w:jc w:val="both"/>
        <w:rPr>
          <w:sz w:val="28"/>
          <w:szCs w:val="28"/>
        </w:rPr>
      </w:pPr>
      <w:r w:rsidRPr="000A3AB4">
        <w:rPr>
          <w:sz w:val="28"/>
          <w:szCs w:val="28"/>
        </w:rPr>
        <w:t xml:space="preserve">The proposal clarifies confusion, promotes constitutionally adequate post-sentencing representation, and closes the gap in the current rule through a narrow, administrable, ministerial safeguard fully consistent with </w:t>
      </w:r>
      <w:hyperlink r:id="rId52" w:history="1">
        <w:r w:rsidRPr="000A3AB4">
          <w:rPr>
            <w:rStyle w:val="Hyperlink"/>
            <w:i/>
            <w:sz w:val="28"/>
            <w:szCs w:val="28"/>
            <w:u w:val="none"/>
          </w:rPr>
          <w:t>Garza</w:t>
        </w:r>
      </w:hyperlink>
      <w:r w:rsidRPr="000A3AB4">
        <w:rPr>
          <w:sz w:val="28"/>
          <w:szCs w:val="28"/>
        </w:rPr>
        <w:t xml:space="preserve">, </w:t>
      </w:r>
      <w:hyperlink r:id="rId53" w:history="1">
        <w:r w:rsidRPr="000A3AB4">
          <w:rPr>
            <w:rStyle w:val="Hyperlink"/>
            <w:i/>
            <w:sz w:val="28"/>
            <w:szCs w:val="28"/>
            <w:u w:val="none"/>
          </w:rPr>
          <w:t>Flores-Ortega</w:t>
        </w:r>
      </w:hyperlink>
      <w:r w:rsidRPr="000A3AB4">
        <w:rPr>
          <w:sz w:val="28"/>
          <w:szCs w:val="28"/>
        </w:rPr>
        <w:t xml:space="preserve">, </w:t>
      </w:r>
      <w:hyperlink r:id="rId54" w:history="1">
        <w:r w:rsidRPr="000A3AB4">
          <w:rPr>
            <w:rStyle w:val="Hyperlink"/>
            <w:i/>
            <w:sz w:val="28"/>
            <w:szCs w:val="28"/>
            <w:u w:val="none"/>
          </w:rPr>
          <w:t>McCoy</w:t>
        </w:r>
      </w:hyperlink>
      <w:r w:rsidRPr="000A3AB4">
        <w:rPr>
          <w:sz w:val="28"/>
          <w:szCs w:val="28"/>
        </w:rPr>
        <w:t>, Arizona’s ethical rules, and existing professional standards.</w:t>
      </w:r>
      <w:r w:rsidR="003F202A">
        <w:rPr>
          <w:sz w:val="28"/>
          <w:szCs w:val="28"/>
        </w:rPr>
        <w:t xml:space="preserve"> </w:t>
      </w:r>
      <w:r w:rsidRPr="000A3AB4">
        <w:rPr>
          <w:sz w:val="28"/>
          <w:szCs w:val="28"/>
        </w:rPr>
        <w:t>For these reasons, Petitioner</w:t>
      </w:r>
      <w:r w:rsidR="00B144AA">
        <w:rPr>
          <w:sz w:val="28"/>
          <w:szCs w:val="28"/>
        </w:rPr>
        <w:t>s</w:t>
      </w:r>
      <w:r w:rsidRPr="000A3AB4">
        <w:rPr>
          <w:sz w:val="28"/>
          <w:szCs w:val="28"/>
        </w:rPr>
        <w:t xml:space="preserve"> respectfully </w:t>
      </w:r>
      <w:proofErr w:type="spellStart"/>
      <w:r w:rsidRPr="000A3AB4">
        <w:rPr>
          <w:sz w:val="28"/>
          <w:szCs w:val="28"/>
        </w:rPr>
        <w:t>request</w:t>
      </w:r>
      <w:r w:rsidR="00463B2D">
        <w:rPr>
          <w:sz w:val="28"/>
          <w:szCs w:val="28"/>
        </w:rPr>
        <w:t>any</w:t>
      </w:r>
      <w:proofErr w:type="spellEnd"/>
      <w:r w:rsidR="00463B2D">
        <w:rPr>
          <w:sz w:val="28"/>
          <w:szCs w:val="28"/>
        </w:rPr>
        <w:t xml:space="preserve"> </w:t>
      </w:r>
      <w:r w:rsidRPr="000A3AB4">
        <w:rPr>
          <w:sz w:val="28"/>
          <w:szCs w:val="28"/>
        </w:rPr>
        <w:t xml:space="preserve"> that the Court adopt the proposed amendments to </w:t>
      </w:r>
      <w:bookmarkStart w:id="60" w:name="dabmci_d152c6074360485ba6dae1d241332604"/>
      <w:r w:rsidRPr="000A3AB4">
        <w:fldChar w:fldCharType="begin"/>
      </w:r>
      <w:r w:rsidRPr="000A3AB4">
        <w:instrText xml:space="preserve"> HYPERLINK "https://www.westlaw.com/Document/N04C36671C30911EDAC23FF23DD106B76/View/FullText.html?transitionType=Default&amp;contextData=(sc.Default)&amp;VR=3.0&amp;RS=da3.0" </w:instrText>
      </w:r>
      <w:r w:rsidRPr="000A3AB4">
        <w:fldChar w:fldCharType="separate"/>
      </w:r>
      <w:r w:rsidRPr="000A3AB4">
        <w:rPr>
          <w:color w:val="3333FF"/>
          <w:sz w:val="28"/>
          <w:szCs w:val="28"/>
        </w:rPr>
        <w:t>Rule 6.3</w:t>
      </w:r>
      <w:r w:rsidRPr="000A3AB4">
        <w:rPr>
          <w:color w:val="3333FF"/>
          <w:sz w:val="28"/>
          <w:szCs w:val="28"/>
        </w:rPr>
        <w:fldChar w:fldCharType="end"/>
      </w:r>
      <w:bookmarkStart w:id="61" w:name="dabmen_d152c6074360485ba6dae1d241332604"/>
      <w:bookmarkEnd w:id="60"/>
      <w:bookmarkEnd w:id="61"/>
      <w:r w:rsidRPr="000A3AB4">
        <w:rPr>
          <w:sz w:val="28"/>
          <w:szCs w:val="28"/>
        </w:rPr>
        <w:t>.</w:t>
      </w:r>
    </w:p>
    <w:p w14:paraId="60FB037F" w14:textId="5F58123A" w:rsidR="006E5AA7" w:rsidRDefault="002E1AFF" w:rsidP="0012025D">
      <w:pPr>
        <w:ind w:right="58"/>
        <w:contextualSpacing/>
        <w:jc w:val="center"/>
        <w:rPr>
          <w:sz w:val="28"/>
          <w:szCs w:val="28"/>
          <w:vertAlign w:val="baseline"/>
        </w:rPr>
      </w:pPr>
      <w:r>
        <w:rPr>
          <w:sz w:val="28"/>
          <w:szCs w:val="28"/>
          <w:vertAlign w:val="baseline"/>
        </w:rPr>
        <w:lastRenderedPageBreak/>
        <w:t xml:space="preserve">Respectfully submitted this </w:t>
      </w:r>
      <w:r w:rsidR="003E2B0D">
        <w:rPr>
          <w:sz w:val="28"/>
          <w:szCs w:val="28"/>
          <w:vertAlign w:val="baseline"/>
        </w:rPr>
        <w:t>2</w:t>
      </w:r>
      <w:r>
        <w:rPr>
          <w:sz w:val="28"/>
          <w:szCs w:val="28"/>
          <w:vertAlign w:val="baseline"/>
        </w:rPr>
        <w:t>1</w:t>
      </w:r>
      <w:r w:rsidRPr="002E1AFF">
        <w:rPr>
          <w:sz w:val="28"/>
          <w:szCs w:val="28"/>
        </w:rPr>
        <w:t>st</w:t>
      </w:r>
      <w:r w:rsidR="00FB1FFB">
        <w:rPr>
          <w:sz w:val="28"/>
          <w:szCs w:val="28"/>
          <w:vertAlign w:val="baseline"/>
        </w:rPr>
        <w:t xml:space="preserve"> </w:t>
      </w:r>
      <w:r w:rsidR="00030782">
        <w:rPr>
          <w:sz w:val="28"/>
          <w:szCs w:val="28"/>
          <w:vertAlign w:val="baseline"/>
        </w:rPr>
        <w:t>day of</w:t>
      </w:r>
      <w:r w:rsidR="003E2B0D">
        <w:rPr>
          <w:sz w:val="28"/>
          <w:szCs w:val="28"/>
          <w:vertAlign w:val="baseline"/>
        </w:rPr>
        <w:t xml:space="preserve"> May</w:t>
      </w:r>
      <w:r w:rsidR="00866506">
        <w:rPr>
          <w:sz w:val="28"/>
          <w:szCs w:val="28"/>
          <w:vertAlign w:val="baseline"/>
        </w:rPr>
        <w:t xml:space="preserve">, </w:t>
      </w:r>
      <w:bookmarkStart w:id="62" w:name="_GoBack"/>
      <w:bookmarkEnd w:id="62"/>
      <w:r w:rsidR="00030782">
        <w:rPr>
          <w:sz w:val="28"/>
          <w:szCs w:val="28"/>
          <w:vertAlign w:val="baseline"/>
        </w:rPr>
        <w:t>2026</w:t>
      </w:r>
    </w:p>
    <w:p w14:paraId="18C1F89B" w14:textId="77777777" w:rsidR="006E5AA7" w:rsidRDefault="006E5AA7" w:rsidP="0012025D">
      <w:pPr>
        <w:ind w:right="58"/>
        <w:contextualSpacing/>
        <w:jc w:val="center"/>
        <w:rPr>
          <w:sz w:val="28"/>
          <w:szCs w:val="28"/>
          <w:vertAlign w:val="baseline"/>
        </w:rPr>
      </w:pPr>
    </w:p>
    <w:p w14:paraId="646B0123" w14:textId="0296F57D" w:rsidR="006E5AA7" w:rsidRDefault="0037425E" w:rsidP="0012025D">
      <w:pPr>
        <w:widowControl w:val="0"/>
        <w:tabs>
          <w:tab w:val="left" w:pos="0"/>
          <w:tab w:val="left" w:pos="720"/>
        </w:tabs>
        <w:contextualSpacing/>
        <w:rPr>
          <w:i/>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sidR="00FB1FFB">
        <w:rPr>
          <w:sz w:val="28"/>
          <w:szCs w:val="28"/>
          <w:vertAlign w:val="baseline"/>
        </w:rPr>
        <w:t xml:space="preserve"> </w:t>
      </w:r>
      <w:r>
        <w:rPr>
          <w:sz w:val="28"/>
          <w:szCs w:val="28"/>
          <w:vertAlign w:val="baseline"/>
        </w:rPr>
        <w:t xml:space="preserve"> By: /s/</w:t>
      </w:r>
      <w:r>
        <w:rPr>
          <w:sz w:val="28"/>
          <w:szCs w:val="28"/>
          <w:u w:val="single"/>
          <w:vertAlign w:val="baseline"/>
        </w:rPr>
        <w:t xml:space="preserve"> </w:t>
      </w:r>
      <w:r w:rsidR="003206D1">
        <w:rPr>
          <w:i/>
          <w:sz w:val="28"/>
          <w:szCs w:val="28"/>
          <w:u w:val="single"/>
          <w:vertAlign w:val="baseline"/>
        </w:rPr>
        <w:t>Kevin D. Heade</w:t>
      </w:r>
      <w:r w:rsidR="000D1A00">
        <w:rPr>
          <w:i/>
          <w:sz w:val="28"/>
          <w:szCs w:val="28"/>
          <w:u w:val="single"/>
          <w:vertAlign w:val="baseline"/>
        </w:rPr>
        <w:tab/>
      </w:r>
      <w:r w:rsidR="000D1A00">
        <w:rPr>
          <w:i/>
          <w:sz w:val="28"/>
          <w:szCs w:val="28"/>
          <w:u w:val="single"/>
          <w:vertAlign w:val="baseline"/>
        </w:rPr>
        <w:tab/>
      </w:r>
      <w:r w:rsidR="000D1A00">
        <w:rPr>
          <w:i/>
          <w:sz w:val="28"/>
          <w:szCs w:val="28"/>
          <w:u w:val="single"/>
          <w:vertAlign w:val="baseline"/>
        </w:rPr>
        <w:tab/>
      </w:r>
      <w:r w:rsidR="003206D1">
        <w:rPr>
          <w:i/>
          <w:sz w:val="28"/>
          <w:szCs w:val="28"/>
          <w:u w:val="single"/>
          <w:vertAlign w:val="baseline"/>
        </w:rPr>
        <w:t xml:space="preserve"> </w:t>
      </w:r>
    </w:p>
    <w:p w14:paraId="781789B5" w14:textId="4AEECB73" w:rsidR="006E5AA7" w:rsidRDefault="0037425E" w:rsidP="0012025D">
      <w:pPr>
        <w:contextualSpacing/>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sidR="00FB1FFB">
        <w:rPr>
          <w:sz w:val="28"/>
          <w:szCs w:val="28"/>
          <w:vertAlign w:val="baseline"/>
        </w:rPr>
        <w:t xml:space="preserve">  </w:t>
      </w:r>
      <w:r>
        <w:rPr>
          <w:sz w:val="28"/>
          <w:szCs w:val="28"/>
          <w:vertAlign w:val="baseline"/>
        </w:rPr>
        <w:t>Kevin D. Heade</w:t>
      </w:r>
    </w:p>
    <w:p w14:paraId="3A0AD778" w14:textId="41CEE2C8" w:rsidR="006E5AA7" w:rsidRDefault="0037425E" w:rsidP="0012025D">
      <w:pPr>
        <w:contextualSpacing/>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sidR="00FB1FFB">
        <w:rPr>
          <w:sz w:val="28"/>
          <w:szCs w:val="28"/>
          <w:vertAlign w:val="baseline"/>
        </w:rPr>
        <w:t xml:space="preserve">  </w:t>
      </w:r>
      <w:r>
        <w:rPr>
          <w:sz w:val="28"/>
          <w:szCs w:val="28"/>
          <w:vertAlign w:val="baseline"/>
        </w:rPr>
        <w:t>AZ State Bar #029909</w:t>
      </w:r>
    </w:p>
    <w:p w14:paraId="3ABFFF5E" w14:textId="21B84725" w:rsidR="0004228D" w:rsidRPr="0004228D" w:rsidRDefault="0037425E" w:rsidP="0004228D">
      <w:pPr>
        <w:pStyle w:val="Default"/>
        <w:rPr>
          <w:sz w:val="28"/>
          <w:szCs w:val="28"/>
          <w:vertAlign w:val="baseline"/>
        </w:rPr>
      </w:pPr>
      <w:r w:rsidRPr="0004228D">
        <w:rPr>
          <w:sz w:val="28"/>
          <w:szCs w:val="28"/>
          <w:vertAlign w:val="baseline"/>
        </w:rPr>
        <w:tab/>
      </w:r>
      <w:r w:rsidRPr="0004228D">
        <w:rPr>
          <w:sz w:val="28"/>
          <w:szCs w:val="28"/>
          <w:vertAlign w:val="baseline"/>
        </w:rPr>
        <w:tab/>
      </w:r>
      <w:r w:rsidRPr="0004228D">
        <w:rPr>
          <w:sz w:val="28"/>
          <w:szCs w:val="28"/>
          <w:vertAlign w:val="baseline"/>
        </w:rPr>
        <w:tab/>
      </w:r>
      <w:r w:rsidRPr="0004228D">
        <w:rPr>
          <w:sz w:val="28"/>
          <w:szCs w:val="28"/>
          <w:vertAlign w:val="baseline"/>
        </w:rPr>
        <w:tab/>
      </w:r>
      <w:r w:rsidRPr="0004228D">
        <w:rPr>
          <w:sz w:val="28"/>
          <w:szCs w:val="28"/>
          <w:vertAlign w:val="baseline"/>
        </w:rPr>
        <w:tab/>
      </w:r>
      <w:r w:rsidRPr="0004228D">
        <w:rPr>
          <w:sz w:val="28"/>
          <w:szCs w:val="28"/>
          <w:vertAlign w:val="baseline"/>
        </w:rPr>
        <w:tab/>
      </w:r>
      <w:r w:rsidR="00FB1FFB">
        <w:rPr>
          <w:sz w:val="28"/>
          <w:szCs w:val="28"/>
          <w:vertAlign w:val="baseline"/>
        </w:rPr>
        <w:t xml:space="preserve">  </w:t>
      </w:r>
      <w:r w:rsidRPr="0004228D">
        <w:rPr>
          <w:sz w:val="28"/>
          <w:szCs w:val="28"/>
          <w:vertAlign w:val="baseline"/>
        </w:rPr>
        <w:t xml:space="preserve">Training Director </w:t>
      </w:r>
    </w:p>
    <w:p w14:paraId="2166AE44" w14:textId="4D96820C" w:rsidR="0004228D" w:rsidRPr="0004228D" w:rsidRDefault="00FB1FFB" w:rsidP="0004228D">
      <w:pPr>
        <w:contextualSpacing/>
        <w:rPr>
          <w:sz w:val="28"/>
          <w:szCs w:val="28"/>
          <w:vertAlign w:val="baseline"/>
        </w:rPr>
      </w:pPr>
      <w:r>
        <w:rPr>
          <w:sz w:val="28"/>
          <w:szCs w:val="28"/>
          <w:vertAlign w:val="baseline"/>
        </w:rPr>
        <w:t xml:space="preserve">                                                                </w:t>
      </w:r>
      <w:r w:rsidR="0037425E" w:rsidRPr="0004228D">
        <w:rPr>
          <w:sz w:val="28"/>
          <w:szCs w:val="28"/>
          <w:vertAlign w:val="baseline"/>
        </w:rPr>
        <w:t>Pinal County Public Defender</w:t>
      </w:r>
    </w:p>
    <w:p w14:paraId="4CF8F407" w14:textId="77777777" w:rsidR="001413F1" w:rsidRPr="0004228D" w:rsidRDefault="001413F1" w:rsidP="0012025D">
      <w:pPr>
        <w:contextualSpacing/>
        <w:rPr>
          <w:sz w:val="28"/>
          <w:szCs w:val="28"/>
          <w:vertAlign w:val="baseline"/>
        </w:rPr>
      </w:pPr>
    </w:p>
    <w:p w14:paraId="05B69DCB" w14:textId="77777777" w:rsidR="001413F1" w:rsidRDefault="001413F1" w:rsidP="0012025D">
      <w:pPr>
        <w:contextualSpacing/>
        <w:rPr>
          <w:sz w:val="28"/>
          <w:szCs w:val="28"/>
          <w:vertAlign w:val="baseline"/>
        </w:rPr>
      </w:pPr>
    </w:p>
    <w:p w14:paraId="49D021C7" w14:textId="77777777" w:rsidR="001413F1" w:rsidRDefault="001413F1">
      <w:pPr>
        <w:rPr>
          <w:sz w:val="28"/>
          <w:szCs w:val="28"/>
          <w:vertAlign w:val="baseline"/>
        </w:rPr>
      </w:pPr>
    </w:p>
    <w:p w14:paraId="50ACAF80" w14:textId="77777777" w:rsidR="001413F1" w:rsidRDefault="001413F1">
      <w:pPr>
        <w:rPr>
          <w:sz w:val="28"/>
          <w:szCs w:val="28"/>
          <w:vertAlign w:val="baseline"/>
        </w:rPr>
      </w:pPr>
    </w:p>
    <w:p w14:paraId="0BD5A409" w14:textId="77777777" w:rsidR="001413F1" w:rsidRDefault="001413F1">
      <w:pPr>
        <w:rPr>
          <w:sz w:val="28"/>
          <w:szCs w:val="28"/>
          <w:vertAlign w:val="baseline"/>
        </w:rPr>
      </w:pPr>
    </w:p>
    <w:p w14:paraId="1E029B47" w14:textId="15C1FC96" w:rsidR="001413F1" w:rsidRDefault="001413F1">
      <w:pPr>
        <w:rPr>
          <w:sz w:val="28"/>
          <w:szCs w:val="28"/>
          <w:vertAlign w:val="baseline"/>
        </w:rPr>
      </w:pPr>
    </w:p>
    <w:p w14:paraId="4E03CF79" w14:textId="033B2BA7" w:rsidR="00FD4794" w:rsidRDefault="00FD4794">
      <w:pPr>
        <w:rPr>
          <w:sz w:val="28"/>
          <w:szCs w:val="28"/>
          <w:vertAlign w:val="baseline"/>
        </w:rPr>
      </w:pPr>
    </w:p>
    <w:p w14:paraId="10065F37" w14:textId="5F7F87A3" w:rsidR="00FD4794" w:rsidRDefault="00FD4794">
      <w:pPr>
        <w:rPr>
          <w:sz w:val="28"/>
          <w:szCs w:val="28"/>
          <w:vertAlign w:val="baseline"/>
        </w:rPr>
      </w:pPr>
    </w:p>
    <w:p w14:paraId="3A837412" w14:textId="6008BA0B" w:rsidR="00FD4794" w:rsidRDefault="00FD4794">
      <w:pPr>
        <w:rPr>
          <w:sz w:val="28"/>
          <w:szCs w:val="28"/>
          <w:vertAlign w:val="baseline"/>
        </w:rPr>
      </w:pPr>
    </w:p>
    <w:p w14:paraId="49D61A3A" w14:textId="35B901EE" w:rsidR="00FD4794" w:rsidRDefault="00FD4794">
      <w:pPr>
        <w:rPr>
          <w:sz w:val="28"/>
          <w:szCs w:val="28"/>
          <w:vertAlign w:val="baseline"/>
        </w:rPr>
      </w:pPr>
    </w:p>
    <w:p w14:paraId="158BDFA8" w14:textId="320FDB7E" w:rsidR="00FD4794" w:rsidRDefault="00FD4794">
      <w:pPr>
        <w:rPr>
          <w:sz w:val="28"/>
          <w:szCs w:val="28"/>
          <w:vertAlign w:val="baseline"/>
        </w:rPr>
      </w:pPr>
    </w:p>
    <w:p w14:paraId="256431BD" w14:textId="0FD4E5A5" w:rsidR="00FD4794" w:rsidRDefault="00FD4794">
      <w:pPr>
        <w:rPr>
          <w:sz w:val="28"/>
          <w:szCs w:val="28"/>
          <w:vertAlign w:val="baseline"/>
        </w:rPr>
      </w:pPr>
    </w:p>
    <w:p w14:paraId="757AB771" w14:textId="7FDC5558" w:rsidR="00FD4794" w:rsidRDefault="00FD4794">
      <w:pPr>
        <w:rPr>
          <w:sz w:val="28"/>
          <w:szCs w:val="28"/>
          <w:vertAlign w:val="baseline"/>
        </w:rPr>
      </w:pPr>
    </w:p>
    <w:p w14:paraId="4F657427" w14:textId="77777777" w:rsidR="00A45540" w:rsidRPr="000E1675" w:rsidRDefault="00A45540" w:rsidP="00A45540">
      <w:pPr>
        <w:rPr>
          <w:sz w:val="28"/>
          <w:szCs w:val="28"/>
          <w:vertAlign w:val="baseline"/>
        </w:rPr>
      </w:pPr>
    </w:p>
    <w:sectPr w:rsidR="00A45540" w:rsidRPr="000E1675" w:rsidSect="000D1A00">
      <w:footerReference w:type="default" r:id="rId55"/>
      <w:pgSz w:w="12240" w:h="15840"/>
      <w:pgMar w:top="1440" w:right="1440" w:bottom="1440" w:left="1440" w:header="720" w:footer="720" w:gutter="0"/>
      <w:pgNumType w:start="1"/>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D58E2" w14:textId="77777777" w:rsidR="008F225B" w:rsidRDefault="008F225B">
      <w:r>
        <w:separator/>
      </w:r>
    </w:p>
  </w:endnote>
  <w:endnote w:type="continuationSeparator" w:id="0">
    <w:p w14:paraId="0F9DE186" w14:textId="77777777" w:rsidR="008F225B" w:rsidRDefault="008F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04375"/>
      <w:docPartObj>
        <w:docPartGallery w:val="Page Numbers (Bottom of Page)"/>
        <w:docPartUnique/>
      </w:docPartObj>
    </w:sdtPr>
    <w:sdtEndPr>
      <w:rPr>
        <w:noProof/>
      </w:rPr>
    </w:sdtEndPr>
    <w:sdtContent>
      <w:p w14:paraId="2327FD8B" w14:textId="46A83545" w:rsidR="000D1A00" w:rsidRDefault="000D1A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FEEE87" w14:textId="77777777" w:rsidR="00BB7768" w:rsidRDefault="00BB7768" w:rsidP="009843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3F375" w14:textId="77777777" w:rsidR="008F225B" w:rsidRDefault="008F225B">
      <w:r>
        <w:separator/>
      </w:r>
    </w:p>
  </w:footnote>
  <w:footnote w:type="continuationSeparator" w:id="0">
    <w:p w14:paraId="23D931C4" w14:textId="77777777" w:rsidR="008F225B" w:rsidRDefault="008F2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6B209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EB2B2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83A52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3DAD96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DFE8D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C60DD4"/>
    <w:multiLevelType w:val="multilevel"/>
    <w:tmpl w:val="4F1A32D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285FF3"/>
    <w:multiLevelType w:val="hybridMultilevel"/>
    <w:tmpl w:val="884651C0"/>
    <w:lvl w:ilvl="0" w:tplc="D5B6320E">
      <w:start w:val="1"/>
      <w:numFmt w:val="decimal"/>
      <w:lvlText w:val="(%1)"/>
      <w:lvlJc w:val="left"/>
      <w:pPr>
        <w:ind w:left="720" w:hanging="360"/>
      </w:pPr>
      <w:rPr>
        <w:rFonts w:ascii="Times New Roman" w:eastAsiaTheme="minorHAnsi" w:hAnsi="Times New Roman" w:cs="Times New Roman"/>
      </w:rPr>
    </w:lvl>
    <w:lvl w:ilvl="1" w:tplc="B5BC7362" w:tentative="1">
      <w:start w:val="1"/>
      <w:numFmt w:val="lowerLetter"/>
      <w:lvlText w:val="%2."/>
      <w:lvlJc w:val="left"/>
      <w:pPr>
        <w:ind w:left="1440" w:hanging="360"/>
      </w:pPr>
    </w:lvl>
    <w:lvl w:ilvl="2" w:tplc="EDE4EF66" w:tentative="1">
      <w:start w:val="1"/>
      <w:numFmt w:val="lowerRoman"/>
      <w:lvlText w:val="%3."/>
      <w:lvlJc w:val="right"/>
      <w:pPr>
        <w:ind w:left="2160" w:hanging="180"/>
      </w:pPr>
    </w:lvl>
    <w:lvl w:ilvl="3" w:tplc="C668F7CC" w:tentative="1">
      <w:start w:val="1"/>
      <w:numFmt w:val="decimal"/>
      <w:lvlText w:val="%4."/>
      <w:lvlJc w:val="left"/>
      <w:pPr>
        <w:ind w:left="2880" w:hanging="360"/>
      </w:pPr>
    </w:lvl>
    <w:lvl w:ilvl="4" w:tplc="EF60C57A" w:tentative="1">
      <w:start w:val="1"/>
      <w:numFmt w:val="lowerLetter"/>
      <w:lvlText w:val="%5."/>
      <w:lvlJc w:val="left"/>
      <w:pPr>
        <w:ind w:left="3600" w:hanging="360"/>
      </w:pPr>
    </w:lvl>
    <w:lvl w:ilvl="5" w:tplc="74AC86DA" w:tentative="1">
      <w:start w:val="1"/>
      <w:numFmt w:val="lowerRoman"/>
      <w:lvlText w:val="%6."/>
      <w:lvlJc w:val="right"/>
      <w:pPr>
        <w:ind w:left="4320" w:hanging="180"/>
      </w:pPr>
    </w:lvl>
    <w:lvl w:ilvl="6" w:tplc="D556BE20" w:tentative="1">
      <w:start w:val="1"/>
      <w:numFmt w:val="decimal"/>
      <w:lvlText w:val="%7."/>
      <w:lvlJc w:val="left"/>
      <w:pPr>
        <w:ind w:left="5040" w:hanging="360"/>
      </w:pPr>
    </w:lvl>
    <w:lvl w:ilvl="7" w:tplc="4456EB2E" w:tentative="1">
      <w:start w:val="1"/>
      <w:numFmt w:val="lowerLetter"/>
      <w:lvlText w:val="%8."/>
      <w:lvlJc w:val="left"/>
      <w:pPr>
        <w:ind w:left="5760" w:hanging="360"/>
      </w:pPr>
    </w:lvl>
    <w:lvl w:ilvl="8" w:tplc="F9EA44A8" w:tentative="1">
      <w:start w:val="1"/>
      <w:numFmt w:val="lowerRoman"/>
      <w:lvlText w:val="%9."/>
      <w:lvlJc w:val="right"/>
      <w:pPr>
        <w:ind w:left="6480" w:hanging="180"/>
      </w:pPr>
    </w:lvl>
  </w:abstractNum>
  <w:abstractNum w:abstractNumId="7" w15:restartNumberingAfterBreak="0">
    <w:nsid w:val="24423B2B"/>
    <w:multiLevelType w:val="hybridMultilevel"/>
    <w:tmpl w:val="C916FDC6"/>
    <w:lvl w:ilvl="0" w:tplc="4B0A4DF8">
      <w:start w:val="1"/>
      <w:numFmt w:val="upperRoman"/>
      <w:lvlText w:val="%1."/>
      <w:lvlJc w:val="left"/>
      <w:pPr>
        <w:ind w:left="1440" w:hanging="720"/>
      </w:pPr>
      <w:rPr>
        <w:rFonts w:hint="default"/>
        <w:b w:val="0"/>
        <w:color w:val="auto"/>
      </w:rPr>
    </w:lvl>
    <w:lvl w:ilvl="1" w:tplc="898675FA" w:tentative="1">
      <w:start w:val="1"/>
      <w:numFmt w:val="lowerLetter"/>
      <w:lvlText w:val="%2."/>
      <w:lvlJc w:val="left"/>
      <w:pPr>
        <w:ind w:left="1800" w:hanging="360"/>
      </w:pPr>
    </w:lvl>
    <w:lvl w:ilvl="2" w:tplc="58A4FDAC" w:tentative="1">
      <w:start w:val="1"/>
      <w:numFmt w:val="lowerRoman"/>
      <w:lvlText w:val="%3."/>
      <w:lvlJc w:val="right"/>
      <w:pPr>
        <w:ind w:left="2520" w:hanging="180"/>
      </w:pPr>
    </w:lvl>
    <w:lvl w:ilvl="3" w:tplc="5A42016A" w:tentative="1">
      <w:start w:val="1"/>
      <w:numFmt w:val="decimal"/>
      <w:lvlText w:val="%4."/>
      <w:lvlJc w:val="left"/>
      <w:pPr>
        <w:ind w:left="3240" w:hanging="360"/>
      </w:pPr>
    </w:lvl>
    <w:lvl w:ilvl="4" w:tplc="810E8AF4" w:tentative="1">
      <w:start w:val="1"/>
      <w:numFmt w:val="lowerLetter"/>
      <w:lvlText w:val="%5."/>
      <w:lvlJc w:val="left"/>
      <w:pPr>
        <w:ind w:left="3960" w:hanging="360"/>
      </w:pPr>
    </w:lvl>
    <w:lvl w:ilvl="5" w:tplc="2408C9C6" w:tentative="1">
      <w:start w:val="1"/>
      <w:numFmt w:val="lowerRoman"/>
      <w:lvlText w:val="%6."/>
      <w:lvlJc w:val="right"/>
      <w:pPr>
        <w:ind w:left="4680" w:hanging="180"/>
      </w:pPr>
    </w:lvl>
    <w:lvl w:ilvl="6" w:tplc="24FAF7B8" w:tentative="1">
      <w:start w:val="1"/>
      <w:numFmt w:val="decimal"/>
      <w:lvlText w:val="%7."/>
      <w:lvlJc w:val="left"/>
      <w:pPr>
        <w:ind w:left="5400" w:hanging="360"/>
      </w:pPr>
    </w:lvl>
    <w:lvl w:ilvl="7" w:tplc="E104ED70" w:tentative="1">
      <w:start w:val="1"/>
      <w:numFmt w:val="lowerLetter"/>
      <w:lvlText w:val="%8."/>
      <w:lvlJc w:val="left"/>
      <w:pPr>
        <w:ind w:left="6120" w:hanging="360"/>
      </w:pPr>
    </w:lvl>
    <w:lvl w:ilvl="8" w:tplc="967A581E" w:tentative="1">
      <w:start w:val="1"/>
      <w:numFmt w:val="lowerRoman"/>
      <w:lvlText w:val="%9."/>
      <w:lvlJc w:val="right"/>
      <w:pPr>
        <w:ind w:left="6840" w:hanging="180"/>
      </w:pPr>
    </w:lvl>
  </w:abstractNum>
  <w:abstractNum w:abstractNumId="8" w15:restartNumberingAfterBreak="0">
    <w:nsid w:val="45DF2E5F"/>
    <w:multiLevelType w:val="hybridMultilevel"/>
    <w:tmpl w:val="884651C0"/>
    <w:lvl w:ilvl="0" w:tplc="697ADE3E">
      <w:start w:val="1"/>
      <w:numFmt w:val="decimal"/>
      <w:lvlText w:val="(%1)"/>
      <w:lvlJc w:val="left"/>
      <w:pPr>
        <w:ind w:left="720" w:hanging="360"/>
      </w:pPr>
      <w:rPr>
        <w:rFonts w:ascii="Times New Roman" w:eastAsiaTheme="minorHAnsi" w:hAnsi="Times New Roman" w:cs="Times New Roman"/>
      </w:rPr>
    </w:lvl>
    <w:lvl w:ilvl="1" w:tplc="7A5471F0" w:tentative="1">
      <w:start w:val="1"/>
      <w:numFmt w:val="lowerLetter"/>
      <w:lvlText w:val="%2."/>
      <w:lvlJc w:val="left"/>
      <w:pPr>
        <w:ind w:left="1440" w:hanging="360"/>
      </w:pPr>
    </w:lvl>
    <w:lvl w:ilvl="2" w:tplc="813EBF8E" w:tentative="1">
      <w:start w:val="1"/>
      <w:numFmt w:val="lowerRoman"/>
      <w:lvlText w:val="%3."/>
      <w:lvlJc w:val="right"/>
      <w:pPr>
        <w:ind w:left="2160" w:hanging="180"/>
      </w:pPr>
    </w:lvl>
    <w:lvl w:ilvl="3" w:tplc="573E3610" w:tentative="1">
      <w:start w:val="1"/>
      <w:numFmt w:val="decimal"/>
      <w:lvlText w:val="%4."/>
      <w:lvlJc w:val="left"/>
      <w:pPr>
        <w:ind w:left="2880" w:hanging="360"/>
      </w:pPr>
    </w:lvl>
    <w:lvl w:ilvl="4" w:tplc="59B01B5C" w:tentative="1">
      <w:start w:val="1"/>
      <w:numFmt w:val="lowerLetter"/>
      <w:lvlText w:val="%5."/>
      <w:lvlJc w:val="left"/>
      <w:pPr>
        <w:ind w:left="3600" w:hanging="360"/>
      </w:pPr>
    </w:lvl>
    <w:lvl w:ilvl="5" w:tplc="1D605FF6" w:tentative="1">
      <w:start w:val="1"/>
      <w:numFmt w:val="lowerRoman"/>
      <w:lvlText w:val="%6."/>
      <w:lvlJc w:val="right"/>
      <w:pPr>
        <w:ind w:left="4320" w:hanging="180"/>
      </w:pPr>
    </w:lvl>
    <w:lvl w:ilvl="6" w:tplc="C63C9450" w:tentative="1">
      <w:start w:val="1"/>
      <w:numFmt w:val="decimal"/>
      <w:lvlText w:val="%7."/>
      <w:lvlJc w:val="left"/>
      <w:pPr>
        <w:ind w:left="5040" w:hanging="360"/>
      </w:pPr>
    </w:lvl>
    <w:lvl w:ilvl="7" w:tplc="3E687CC0" w:tentative="1">
      <w:start w:val="1"/>
      <w:numFmt w:val="lowerLetter"/>
      <w:lvlText w:val="%8."/>
      <w:lvlJc w:val="left"/>
      <w:pPr>
        <w:ind w:left="5760" w:hanging="360"/>
      </w:pPr>
    </w:lvl>
    <w:lvl w:ilvl="8" w:tplc="3B6CF446" w:tentative="1">
      <w:start w:val="1"/>
      <w:numFmt w:val="lowerRoman"/>
      <w:lvlText w:val="%9."/>
      <w:lvlJc w:val="right"/>
      <w:pPr>
        <w:ind w:left="6480" w:hanging="180"/>
      </w:pPr>
    </w:lvl>
  </w:abstractNum>
  <w:abstractNum w:abstractNumId="9" w15:restartNumberingAfterBreak="0">
    <w:nsid w:val="4E9C04A3"/>
    <w:multiLevelType w:val="multilevel"/>
    <w:tmpl w:val="250EDC0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5403BE6"/>
    <w:multiLevelType w:val="hybridMultilevel"/>
    <w:tmpl w:val="DA0C7B9C"/>
    <w:lvl w:ilvl="0" w:tplc="BAB40D9C">
      <w:start w:val="1"/>
      <w:numFmt w:val="upperRoman"/>
      <w:lvlText w:val="%1."/>
      <w:lvlJc w:val="left"/>
      <w:pPr>
        <w:ind w:left="1080" w:hanging="720"/>
      </w:pPr>
      <w:rPr>
        <w:rFonts w:hint="default"/>
      </w:rPr>
    </w:lvl>
    <w:lvl w:ilvl="1" w:tplc="55F4E90E" w:tentative="1">
      <w:start w:val="1"/>
      <w:numFmt w:val="lowerLetter"/>
      <w:lvlText w:val="%2."/>
      <w:lvlJc w:val="left"/>
      <w:pPr>
        <w:ind w:left="1440" w:hanging="360"/>
      </w:pPr>
    </w:lvl>
    <w:lvl w:ilvl="2" w:tplc="54907E48" w:tentative="1">
      <w:start w:val="1"/>
      <w:numFmt w:val="lowerRoman"/>
      <w:lvlText w:val="%3."/>
      <w:lvlJc w:val="right"/>
      <w:pPr>
        <w:ind w:left="2160" w:hanging="180"/>
      </w:pPr>
    </w:lvl>
    <w:lvl w:ilvl="3" w:tplc="025CC03C" w:tentative="1">
      <w:start w:val="1"/>
      <w:numFmt w:val="decimal"/>
      <w:lvlText w:val="%4."/>
      <w:lvlJc w:val="left"/>
      <w:pPr>
        <w:ind w:left="2880" w:hanging="360"/>
      </w:pPr>
    </w:lvl>
    <w:lvl w:ilvl="4" w:tplc="40FC8644" w:tentative="1">
      <w:start w:val="1"/>
      <w:numFmt w:val="lowerLetter"/>
      <w:lvlText w:val="%5."/>
      <w:lvlJc w:val="left"/>
      <w:pPr>
        <w:ind w:left="3600" w:hanging="360"/>
      </w:pPr>
    </w:lvl>
    <w:lvl w:ilvl="5" w:tplc="5ADE58EA" w:tentative="1">
      <w:start w:val="1"/>
      <w:numFmt w:val="lowerRoman"/>
      <w:lvlText w:val="%6."/>
      <w:lvlJc w:val="right"/>
      <w:pPr>
        <w:ind w:left="4320" w:hanging="180"/>
      </w:pPr>
    </w:lvl>
    <w:lvl w:ilvl="6" w:tplc="5D48168E" w:tentative="1">
      <w:start w:val="1"/>
      <w:numFmt w:val="decimal"/>
      <w:lvlText w:val="%7."/>
      <w:lvlJc w:val="left"/>
      <w:pPr>
        <w:ind w:left="5040" w:hanging="360"/>
      </w:pPr>
    </w:lvl>
    <w:lvl w:ilvl="7" w:tplc="9502EA72" w:tentative="1">
      <w:start w:val="1"/>
      <w:numFmt w:val="lowerLetter"/>
      <w:lvlText w:val="%8."/>
      <w:lvlJc w:val="left"/>
      <w:pPr>
        <w:ind w:left="5760" w:hanging="360"/>
      </w:pPr>
    </w:lvl>
    <w:lvl w:ilvl="8" w:tplc="9FDC4678" w:tentative="1">
      <w:start w:val="1"/>
      <w:numFmt w:val="lowerRoman"/>
      <w:lvlText w:val="%9."/>
      <w:lvlJc w:val="right"/>
      <w:pPr>
        <w:ind w:left="6480" w:hanging="180"/>
      </w:pPr>
    </w:lvl>
  </w:abstractNum>
  <w:abstractNum w:abstractNumId="11" w15:restartNumberingAfterBreak="0">
    <w:nsid w:val="588E186E"/>
    <w:multiLevelType w:val="hybridMultilevel"/>
    <w:tmpl w:val="AAF05FA0"/>
    <w:lvl w:ilvl="0" w:tplc="08340FC6">
      <w:start w:val="1"/>
      <w:numFmt w:val="upperLetter"/>
      <w:lvlText w:val="%1."/>
      <w:lvlJc w:val="left"/>
      <w:pPr>
        <w:ind w:left="1080" w:hanging="360"/>
      </w:pPr>
      <w:rPr>
        <w:rFonts w:hint="default"/>
      </w:rPr>
    </w:lvl>
    <w:lvl w:ilvl="1" w:tplc="824E93C8" w:tentative="1">
      <w:start w:val="1"/>
      <w:numFmt w:val="lowerLetter"/>
      <w:lvlText w:val="%2."/>
      <w:lvlJc w:val="left"/>
      <w:pPr>
        <w:ind w:left="1800" w:hanging="360"/>
      </w:pPr>
    </w:lvl>
    <w:lvl w:ilvl="2" w:tplc="F5AA193A" w:tentative="1">
      <w:start w:val="1"/>
      <w:numFmt w:val="lowerRoman"/>
      <w:lvlText w:val="%3."/>
      <w:lvlJc w:val="right"/>
      <w:pPr>
        <w:ind w:left="2520" w:hanging="180"/>
      </w:pPr>
    </w:lvl>
    <w:lvl w:ilvl="3" w:tplc="4E6010EC" w:tentative="1">
      <w:start w:val="1"/>
      <w:numFmt w:val="decimal"/>
      <w:lvlText w:val="%4."/>
      <w:lvlJc w:val="left"/>
      <w:pPr>
        <w:ind w:left="3240" w:hanging="360"/>
      </w:pPr>
    </w:lvl>
    <w:lvl w:ilvl="4" w:tplc="97BA59D6" w:tentative="1">
      <w:start w:val="1"/>
      <w:numFmt w:val="lowerLetter"/>
      <w:lvlText w:val="%5."/>
      <w:lvlJc w:val="left"/>
      <w:pPr>
        <w:ind w:left="3960" w:hanging="360"/>
      </w:pPr>
    </w:lvl>
    <w:lvl w:ilvl="5" w:tplc="D17CFF8A" w:tentative="1">
      <w:start w:val="1"/>
      <w:numFmt w:val="lowerRoman"/>
      <w:lvlText w:val="%6."/>
      <w:lvlJc w:val="right"/>
      <w:pPr>
        <w:ind w:left="4680" w:hanging="180"/>
      </w:pPr>
    </w:lvl>
    <w:lvl w:ilvl="6" w:tplc="FA542524" w:tentative="1">
      <w:start w:val="1"/>
      <w:numFmt w:val="decimal"/>
      <w:lvlText w:val="%7."/>
      <w:lvlJc w:val="left"/>
      <w:pPr>
        <w:ind w:left="5400" w:hanging="360"/>
      </w:pPr>
    </w:lvl>
    <w:lvl w:ilvl="7" w:tplc="1D5CC6E8" w:tentative="1">
      <w:start w:val="1"/>
      <w:numFmt w:val="lowerLetter"/>
      <w:lvlText w:val="%8."/>
      <w:lvlJc w:val="left"/>
      <w:pPr>
        <w:ind w:left="6120" w:hanging="360"/>
      </w:pPr>
    </w:lvl>
    <w:lvl w:ilvl="8" w:tplc="6E4E34DC" w:tentative="1">
      <w:start w:val="1"/>
      <w:numFmt w:val="lowerRoman"/>
      <w:lvlText w:val="%9."/>
      <w:lvlJc w:val="right"/>
      <w:pPr>
        <w:ind w:left="6840" w:hanging="180"/>
      </w:pPr>
    </w:lvl>
  </w:abstractNum>
  <w:abstractNum w:abstractNumId="12" w15:restartNumberingAfterBreak="0">
    <w:nsid w:val="785D4EDD"/>
    <w:multiLevelType w:val="multilevel"/>
    <w:tmpl w:val="5490AB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12"/>
  </w:num>
  <w:num w:numId="3">
    <w:abstractNumId w:val="9"/>
  </w:num>
  <w:num w:numId="4">
    <w:abstractNumId w:val="4"/>
  </w:num>
  <w:num w:numId="5">
    <w:abstractNumId w:val="3"/>
  </w:num>
  <w:num w:numId="6">
    <w:abstractNumId w:val="2"/>
  </w:num>
  <w:num w:numId="7">
    <w:abstractNumId w:val="1"/>
  </w:num>
  <w:num w:numId="8">
    <w:abstractNumId w:val="0"/>
  </w:num>
  <w:num w:numId="9">
    <w:abstractNumId w:val="7"/>
  </w:num>
  <w:num w:numId="10">
    <w:abstractNumId w:val="11"/>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A7"/>
    <w:rsid w:val="00022CDB"/>
    <w:rsid w:val="00027682"/>
    <w:rsid w:val="00030782"/>
    <w:rsid w:val="00033AE1"/>
    <w:rsid w:val="00035E53"/>
    <w:rsid w:val="0004228D"/>
    <w:rsid w:val="000A3AB4"/>
    <w:rsid w:val="000B45C9"/>
    <w:rsid w:val="000D1A00"/>
    <w:rsid w:val="000E1675"/>
    <w:rsid w:val="000E2C1A"/>
    <w:rsid w:val="0012025D"/>
    <w:rsid w:val="00131EB3"/>
    <w:rsid w:val="001413F1"/>
    <w:rsid w:val="0015185A"/>
    <w:rsid w:val="00153E3C"/>
    <w:rsid w:val="00166882"/>
    <w:rsid w:val="00167DF4"/>
    <w:rsid w:val="001B49DA"/>
    <w:rsid w:val="001D6CD4"/>
    <w:rsid w:val="002A1E11"/>
    <w:rsid w:val="002A354C"/>
    <w:rsid w:val="002E1AFF"/>
    <w:rsid w:val="002F482A"/>
    <w:rsid w:val="002F723A"/>
    <w:rsid w:val="00317F9C"/>
    <w:rsid w:val="003206D1"/>
    <w:rsid w:val="0033192E"/>
    <w:rsid w:val="00351C1D"/>
    <w:rsid w:val="0037425E"/>
    <w:rsid w:val="00392373"/>
    <w:rsid w:val="00396C57"/>
    <w:rsid w:val="003A680E"/>
    <w:rsid w:val="003B1748"/>
    <w:rsid w:val="003E2B0D"/>
    <w:rsid w:val="003E5CBB"/>
    <w:rsid w:val="003F202A"/>
    <w:rsid w:val="004000B8"/>
    <w:rsid w:val="00417ABE"/>
    <w:rsid w:val="00422B4F"/>
    <w:rsid w:val="004310A4"/>
    <w:rsid w:val="004350F8"/>
    <w:rsid w:val="00440FDC"/>
    <w:rsid w:val="00463B2D"/>
    <w:rsid w:val="00473AEB"/>
    <w:rsid w:val="00484547"/>
    <w:rsid w:val="00491857"/>
    <w:rsid w:val="004E0D2B"/>
    <w:rsid w:val="005118C5"/>
    <w:rsid w:val="0051589B"/>
    <w:rsid w:val="005231B2"/>
    <w:rsid w:val="00567971"/>
    <w:rsid w:val="005C75D7"/>
    <w:rsid w:val="00607257"/>
    <w:rsid w:val="00610440"/>
    <w:rsid w:val="00643B04"/>
    <w:rsid w:val="00652C86"/>
    <w:rsid w:val="0067433F"/>
    <w:rsid w:val="00684535"/>
    <w:rsid w:val="00692434"/>
    <w:rsid w:val="006B34C7"/>
    <w:rsid w:val="006B3B47"/>
    <w:rsid w:val="006E5AA7"/>
    <w:rsid w:val="00714E7A"/>
    <w:rsid w:val="00734F69"/>
    <w:rsid w:val="007710B6"/>
    <w:rsid w:val="007F0771"/>
    <w:rsid w:val="00803A5A"/>
    <w:rsid w:val="0085082C"/>
    <w:rsid w:val="00866506"/>
    <w:rsid w:val="00882EB0"/>
    <w:rsid w:val="008831A8"/>
    <w:rsid w:val="008866C4"/>
    <w:rsid w:val="008A3E23"/>
    <w:rsid w:val="008B32A2"/>
    <w:rsid w:val="008F225B"/>
    <w:rsid w:val="00913130"/>
    <w:rsid w:val="0096470E"/>
    <w:rsid w:val="0098439D"/>
    <w:rsid w:val="009B5036"/>
    <w:rsid w:val="009C07D2"/>
    <w:rsid w:val="009D6CBB"/>
    <w:rsid w:val="009E605E"/>
    <w:rsid w:val="00A34270"/>
    <w:rsid w:val="00A45540"/>
    <w:rsid w:val="00A46F46"/>
    <w:rsid w:val="00A9037A"/>
    <w:rsid w:val="00AD0576"/>
    <w:rsid w:val="00AE1A4F"/>
    <w:rsid w:val="00AE43B7"/>
    <w:rsid w:val="00B144AA"/>
    <w:rsid w:val="00B20AB0"/>
    <w:rsid w:val="00B21536"/>
    <w:rsid w:val="00B3517F"/>
    <w:rsid w:val="00B412A5"/>
    <w:rsid w:val="00B51AF3"/>
    <w:rsid w:val="00B549CB"/>
    <w:rsid w:val="00B83756"/>
    <w:rsid w:val="00B84BA1"/>
    <w:rsid w:val="00BB18BB"/>
    <w:rsid w:val="00BB7768"/>
    <w:rsid w:val="00BC5A6C"/>
    <w:rsid w:val="00C0143A"/>
    <w:rsid w:val="00C62BBA"/>
    <w:rsid w:val="00C93DEF"/>
    <w:rsid w:val="00CD33A6"/>
    <w:rsid w:val="00CE34CF"/>
    <w:rsid w:val="00D14F09"/>
    <w:rsid w:val="00D23A44"/>
    <w:rsid w:val="00D36433"/>
    <w:rsid w:val="00D3796F"/>
    <w:rsid w:val="00D57639"/>
    <w:rsid w:val="00D71679"/>
    <w:rsid w:val="00D87303"/>
    <w:rsid w:val="00DA4925"/>
    <w:rsid w:val="00DB0BA9"/>
    <w:rsid w:val="00DB4BAA"/>
    <w:rsid w:val="00DB52DD"/>
    <w:rsid w:val="00DC29AA"/>
    <w:rsid w:val="00DE53FD"/>
    <w:rsid w:val="00DF026E"/>
    <w:rsid w:val="00DF19B4"/>
    <w:rsid w:val="00E03E8D"/>
    <w:rsid w:val="00E2039B"/>
    <w:rsid w:val="00E223F6"/>
    <w:rsid w:val="00E42650"/>
    <w:rsid w:val="00EB038C"/>
    <w:rsid w:val="00EC4124"/>
    <w:rsid w:val="00F51B09"/>
    <w:rsid w:val="00F87164"/>
    <w:rsid w:val="00FB1FFB"/>
    <w:rsid w:val="00FD2FCC"/>
    <w:rsid w:val="00FD4794"/>
    <w:rsid w:val="00FE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171A"/>
  <w15:docId w15:val="{FDE75F21-6189-426E-AC0B-65039976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9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567971"/>
    <w:rPr>
      <w:color w:val="3333FF"/>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name w:val="a0"/>
    <w:basedOn w:val="TableNormal"/>
    <w:tblPr>
      <w:tblStyleRowBandSize w:val="1"/>
      <w:tblStyleColBandSize w:val="1"/>
      <w:tblCellMar>
        <w:left w:w="0" w:type="dxa"/>
        <w:right w:w="0" w:type="dxa"/>
      </w:tblCellMar>
    </w:tblPr>
  </w:style>
  <w:style w:type="character" w:styleId="FollowedHyperlink">
    <w:name w:val="FollowedHyperlink"/>
    <w:basedOn w:val="DefaultParagraphFont"/>
    <w:uiPriority w:val="99"/>
    <w:unhideWhenUsed/>
    <w:rsid w:val="00567971"/>
    <w:rPr>
      <w:color w:val="3333FF"/>
      <w:u w:val="single"/>
    </w:rPr>
  </w:style>
  <w:style w:type="character" w:styleId="UnresolvedMention">
    <w:name w:val="Unresolved Mention"/>
    <w:basedOn w:val="DefaultParagraphFont"/>
    <w:uiPriority w:val="99"/>
    <w:semiHidden/>
    <w:unhideWhenUsed/>
    <w:rsid w:val="004350F8"/>
    <w:rPr>
      <w:color w:val="605E5C"/>
      <w:shd w:val="clear" w:color="auto" w:fill="E1DFDD"/>
    </w:rPr>
  </w:style>
  <w:style w:type="paragraph" w:customStyle="1" w:styleId="Default">
    <w:name w:val="Default"/>
    <w:rsid w:val="000422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westlaw.com/Document/I90cb43573a8211e9bc5c825c4b9add2e/View/FullText.html?transitionType=Default&amp;contextData=(sc.Default)&amp;VR=3.0&amp;RS=da3.0" TargetMode="External"/><Relationship Id="rId18" Type="http://schemas.openxmlformats.org/officeDocument/2006/relationships/hyperlink" Target="https://www.westlaw.com/Document/Ib55d5e2ef58911d9bf60c1d57ebc853e/View/FullText.html?transitionType=Default&amp;contextData=(sc.Default)&amp;VR=3.0&amp;RS=da3.0" TargetMode="External"/><Relationship Id="rId26" Type="http://schemas.openxmlformats.org/officeDocument/2006/relationships/hyperlink" Target="https://www.westlaw.com/Document/I86efc3e9f59611d983e7e9deff98dc6f/View/FullText.html?transitionType=Default&amp;contextData=(sc.Default)&amp;VR=3.0&amp;RS=da3.0&amp;fragmentIdentifier=co_pp_sp_156_91" TargetMode="External"/><Relationship Id="rId39" Type="http://schemas.openxmlformats.org/officeDocument/2006/relationships/hyperlink" Target="https://www.westlaw.com/Document/I6b3468669c2511d9bc61beebb95be672/View/FullText.html?transitionType=Default&amp;contextData=(sc.Default)&amp;VR=3.0&amp;RS=da3.0&amp;fragmentIdentifier=co_pp_sp_780_471" TargetMode="External"/><Relationship Id="rId21" Type="http://schemas.openxmlformats.org/officeDocument/2006/relationships/hyperlink" Target="https://www.westlaw.com/Document/I86efc3e9f59611d983e7e9deff98dc6f/View/FullText.html?transitionType=Default&amp;contextData=(sc.Default)&amp;VR=3.0&amp;RS=da3.0&amp;fragmentIdentifier=co_pp_sp_156_91" TargetMode="External"/><Relationship Id="rId34" Type="http://schemas.openxmlformats.org/officeDocument/2006/relationships/hyperlink" Target="https://rulesforum.azcourts.gov/DesktopModules/ActiveForums/viewer.aspx?portalid=4&amp;moduleid=9811&amp;attachmentid=14204" TargetMode="External"/><Relationship Id="rId42" Type="http://schemas.openxmlformats.org/officeDocument/2006/relationships/hyperlink" Target="https://1.next.westlaw.com/Document/N723233B0F0AA11E9AE7883349DB2718C/View/FullText.html?originationContext=documenttoc&amp;transitionType=CategoryPageItem&amp;contextData=(sc.Default)" TargetMode="External"/><Relationship Id="rId47" Type="http://schemas.openxmlformats.org/officeDocument/2006/relationships/hyperlink" Target="https://rulesforum.azcourts.gov/DesktopModules/ActiveForums/viewer.aspx?portalid=4&amp;moduleid=9811&amp;attachmentid=13958" TargetMode="External"/><Relationship Id="rId50" Type="http://schemas.openxmlformats.org/officeDocument/2006/relationships/hyperlink" Target="https://rulesforum.azcourts.gov/DesktopModules/ActiveForums/viewer.aspx?portalid=4&amp;moduleid=9811&amp;attachmentid=14204"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rulesforum.azcourts.gov/DesktopModules/ActiveForums/viewer.aspx?portalid=4&amp;moduleid=9811&amp;attachmentid=13958" TargetMode="External"/><Relationship Id="rId17" Type="http://schemas.openxmlformats.org/officeDocument/2006/relationships/hyperlink" Target="https://www.westlaw.com/Document/Ib55d5e2ef58911d9bf60c1d57ebc853e/View/FullText.html?transitionType=Default&amp;contextData=(sc.Default)&amp;VR=3.0&amp;RS=da3.0" TargetMode="External"/><Relationship Id="rId25" Type="http://schemas.openxmlformats.org/officeDocument/2006/relationships/hyperlink" Target="https://www.westlaw.com/Document/Ib55d5e2ef58911d9bf60c1d57ebc853e/View/FullText.html?transitionType=Default&amp;contextData=(sc.Default)&amp;VR=3.0&amp;RS=da3.0" TargetMode="External"/><Relationship Id="rId33" Type="http://schemas.openxmlformats.org/officeDocument/2006/relationships/hyperlink" Target="https://1.next.westlaw.com/Browse/Home/StatutesCourtRules/ArizonaStatutesCourtRules?guid=NECD27B2070CB11DAA16E8D4AC7636430&amp;originationContext=documenttoc&amp;transitionType=Default&amp;contextData=(sc.Default)" TargetMode="External"/><Relationship Id="rId38" Type="http://schemas.openxmlformats.org/officeDocument/2006/relationships/hyperlink" Target="https://rulesforum.azcourts.gov/DesktopModules/ActiveForums/viewer.aspx?portalid=4&amp;moduleid=9811&amp;attachmentid=14204" TargetMode="External"/><Relationship Id="rId46" Type="http://schemas.openxmlformats.org/officeDocument/2006/relationships/hyperlink" Target="https://rulesforum.azcourts.gov/DesktopModules/ActiveForums/viewer.aspx?portalid=4&amp;moduleid=9811&amp;attachmentid=14241" TargetMode="External"/><Relationship Id="rId2" Type="http://schemas.openxmlformats.org/officeDocument/2006/relationships/customXml" Target="../customXml/item2.xml"/><Relationship Id="rId16" Type="http://schemas.openxmlformats.org/officeDocument/2006/relationships/hyperlink" Target="https://www.westlaw.com/Document/Ib55d5e2ef58911d9bf60c1d57ebc853e/View/FullText.html?transitionType=Default&amp;contextData=(sc.Default)&amp;VR=3.0&amp;RS=da3.0" TargetMode="External"/><Relationship Id="rId20" Type="http://schemas.openxmlformats.org/officeDocument/2006/relationships/hyperlink" Target="https://rulesforum.azcourts.gov/DesktopModules/ActiveForums/viewer.aspx?portalid=4&amp;moduleid=9811&amp;attachmentid=14204" TargetMode="External"/><Relationship Id="rId29" Type="http://schemas.openxmlformats.org/officeDocument/2006/relationships/hyperlink" Target="https://www.westlaw.com/Document/I6b3468669c2511d9bc61beebb95be672/View/FullText.html?transitionType=Default&amp;contextData=(sc.Default)&amp;VR=3.0&amp;RS=da3.0&amp;fragmentIdentifier=co_pp_sp_780_471" TargetMode="External"/><Relationship Id="rId41" Type="http://schemas.openxmlformats.org/officeDocument/2006/relationships/hyperlink" Target="https://rulesforum.azcourts.gov/DesktopModules/ActiveForums/viewer.aspx?portalid=4&amp;moduleid=9811&amp;attachmentid=13958" TargetMode="External"/><Relationship Id="rId54" Type="http://schemas.openxmlformats.org/officeDocument/2006/relationships/hyperlink" Target="https://1.next.westlaw.com/Document/Id451c034574411e8a2e69b122173a65f/View/FullText.html?navigationPath=Search%2Fv1%2Fresults%2Fnavigation%2Fi0a89dff00000019e3cf5523f4eeef384%3Fppcid%3Dda23f351e7ce40dd8162aebda29bc14e%26Nav%3DCASE%26fragmentIdentifier%3DId451c034574411e8a2e69b122173a65f%26parentRank%3D0%26startIndex%3D1%26contextData%3D%2528sc.Search%2529%26transitionType%3DSearchItem&amp;listSource=Search&amp;listPageSource=208673b77c8d1b18d2d664677971c92a&amp;list=CASE&amp;rank=1&amp;sessionScopeId=6b816f52be67f7e492b7a2784646b401eeaabc2cdce5f54f870c0c5c42dbfe68&amp;ppcid=da23f351e7ce40dd8162aebda29bc14e&amp;originationContext=Search%20Result&amp;transitionType=SearchItem&amp;contextData=%28sc.Search%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lesforum.azcourts.gov/DesktopModules/ActiveForums/viewer.aspx?portalid=4&amp;moduleid=9811&amp;attachmentid=14204" TargetMode="External"/><Relationship Id="rId24" Type="http://schemas.openxmlformats.org/officeDocument/2006/relationships/hyperlink" Target="https://www.westlaw.com/Document/Ifefc8249f58f11d9b386b232635db992/View/FullText.html?transitionType=Default&amp;contextData=(sc.Default)&amp;VR=3.0&amp;RS=da3.0&amp;fragmentIdentifier=co_pp_sp_156_131" TargetMode="External"/><Relationship Id="rId32" Type="http://schemas.openxmlformats.org/officeDocument/2006/relationships/hyperlink" Target="https://rulesforum.azcourts.gov/DesktopModules/ActiveForums/viewer.aspx?portalid=4&amp;moduleid=9811&amp;attachmentid=14570" TargetMode="External"/><Relationship Id="rId37" Type="http://schemas.openxmlformats.org/officeDocument/2006/relationships/hyperlink" Target="https://rulesforum.azcourts.gov/DesktopModules/ActiveForums/viewer.aspx?portalid=4&amp;moduleid=9811&amp;attachmentid=14204" TargetMode="External"/><Relationship Id="rId40" Type="http://schemas.openxmlformats.org/officeDocument/2006/relationships/hyperlink" Target="https://1.next.westlaw.com/Document/N723233B0F0AA11E9AE7883349DB2718C/View/FullText.html?originationContext=documenttoc&amp;transitionType=CategoryPageItem&amp;contextData=(sc.Default)" TargetMode="External"/><Relationship Id="rId45" Type="http://schemas.openxmlformats.org/officeDocument/2006/relationships/hyperlink" Target="https://rulesforum.azcourts.gov/DesktopModules/ActiveForums/viewer.aspx?portalid=4&amp;moduleid=9811&amp;attachmentid=14204" TargetMode="External"/><Relationship Id="rId53" Type="http://schemas.openxmlformats.org/officeDocument/2006/relationships/hyperlink" Target="https://www.westlaw.com/Document/I6b3468669c2511d9bc61beebb95be672/View/FullText.html?transitionType=Default&amp;contextData=(sc.Default)&amp;VR=3.0&amp;RS=da3.0&amp;fragmentIdentifier=co_pp_sp_780_471" TargetMode="External"/><Relationship Id="rId5" Type="http://schemas.openxmlformats.org/officeDocument/2006/relationships/settings" Target="settings.xml"/><Relationship Id="rId15" Type="http://schemas.openxmlformats.org/officeDocument/2006/relationships/hyperlink" Target="https://rulesforum.azcourts.gov/DesktopModules/ActiveForums/viewer.aspx?portalid=4&amp;moduleid=9811&amp;attachmentid=14204" TargetMode="External"/><Relationship Id="rId23" Type="http://schemas.openxmlformats.org/officeDocument/2006/relationships/hyperlink" Target="https://www.westlaw.com/Document/Ib55d5e2ef58911d9bf60c1d57ebc853e/View/FullText.html?transitionType=Default&amp;contextData=(sc.Default)&amp;VR=3.0&amp;RS=da3.0" TargetMode="External"/><Relationship Id="rId28" Type="http://schemas.openxmlformats.org/officeDocument/2006/relationships/hyperlink" Target="https://www.westlaw.com/Document/I90cb43573a8211e9bc5c825c4b9add2e/View/FullText.html?transitionType=Default&amp;contextData=(sc.Default)&amp;VR=3.0&amp;RS=da3.0" TargetMode="External"/><Relationship Id="rId36" Type="http://schemas.openxmlformats.org/officeDocument/2006/relationships/hyperlink" Target="https://rulesforum.azcourts.gov/DesktopModules/ActiveForums/viewer.aspx?portalid=4&amp;moduleid=9811&amp;attachmentid=14570" TargetMode="External"/><Relationship Id="rId49" Type="http://schemas.openxmlformats.org/officeDocument/2006/relationships/hyperlink" Target="https://rulesforum.azcourts.gov/DesktopModules/ActiveForums/viewer.aspx?portalid=4&amp;moduleid=9811&amp;attachmentid=13958" TargetMode="External"/><Relationship Id="rId57" Type="http://schemas.openxmlformats.org/officeDocument/2006/relationships/theme" Target="theme/theme1.xml"/><Relationship Id="rId10" Type="http://schemas.openxmlformats.org/officeDocument/2006/relationships/hyperlink" Target="https://www.westlaw.com/Document/I90cb43573a8211e9bc5c825c4b9add2e/View/FullText.html?transitionType=Default&amp;contextData=(sc.Default)&amp;VR=3.0&amp;RS=da3.0" TargetMode="External"/><Relationship Id="rId19" Type="http://schemas.openxmlformats.org/officeDocument/2006/relationships/hyperlink" Target="https://www.westlaw.com/Document/I86efc3e9f59611d983e7e9deff98dc6f/View/FullText.html?transitionType=Default&amp;contextData=(sc.Default)&amp;VR=3.0&amp;RS=da3.0&amp;fragmentIdentifier=co_pp_sp_156_91" TargetMode="External"/><Relationship Id="rId31" Type="http://schemas.openxmlformats.org/officeDocument/2006/relationships/hyperlink" Target="https://rulesforum.azcourts.gov/DesktopModules/ActiveForums/viewer.aspx?portalid=4&amp;moduleid=9811&amp;attachmentid=14528" TargetMode="External"/><Relationship Id="rId44" Type="http://schemas.openxmlformats.org/officeDocument/2006/relationships/hyperlink" Target="https://rulesforum.azcourts.gov/DesktopModules/ActiveForums/viewer.aspx?portalid=4&amp;moduleid=9811&amp;attachmentid=13958" TargetMode="External"/><Relationship Id="rId52" Type="http://schemas.openxmlformats.org/officeDocument/2006/relationships/hyperlink" Target="https://www.westlaw.com/Document/I90cb43573a8211e9bc5c825c4b9add2e/View/FullText.html?transitionType=Default&amp;contextData=(sc.Default)&amp;VR=3.0&amp;RS=da3.0" TargetMode="External"/><Relationship Id="rId4" Type="http://schemas.openxmlformats.org/officeDocument/2006/relationships/styles" Target="styles.xml"/><Relationship Id="rId9" Type="http://schemas.openxmlformats.org/officeDocument/2006/relationships/hyperlink" Target="https://rulesforum.azcourts.gov/DesktopModules/ActiveForums/viewer.aspx?portalid=4&amp;moduleid=9811&amp;attachmentid=13958" TargetMode="External"/><Relationship Id="rId14" Type="http://schemas.openxmlformats.org/officeDocument/2006/relationships/hyperlink" Target="https://rulesforum.azcourts.gov/DesktopModules/ActiveForums/viewer.aspx?portalid=4&amp;moduleid=9811&amp;attachmentid=14204" TargetMode="External"/><Relationship Id="rId22" Type="http://schemas.openxmlformats.org/officeDocument/2006/relationships/hyperlink" Target="https://www.westlaw.com/Document/Ifefc8249f58f11d9b386b232635db992/View/FullText.html?transitionType=Default&amp;contextData=(sc.Default)&amp;VR=3.0&amp;RS=da3.0&amp;fragmentIdentifier=co_pp_sp_156_131" TargetMode="External"/><Relationship Id="rId27" Type="http://schemas.openxmlformats.org/officeDocument/2006/relationships/hyperlink" Target="https://www.westlaw.com/Document/Ifefc8249f58f11d9b386b232635db992/View/FullText.html?transitionType=Default&amp;contextData=(sc.Default)&amp;VR=3.0&amp;RS=da3.0&amp;fragmentIdentifier=co_pp_sp_156_131" TargetMode="External"/><Relationship Id="rId30" Type="http://schemas.openxmlformats.org/officeDocument/2006/relationships/hyperlink" Target="https://rulesforum.azcourts.gov/DesktopModules/ActiveForums/viewer.aspx?portalid=4&amp;moduleid=9811&amp;attachmentid=14241" TargetMode="External"/><Relationship Id="rId35" Type="http://schemas.openxmlformats.org/officeDocument/2006/relationships/hyperlink" Target="https://rulesforum.azcourts.gov/DesktopModules/ActiveForums/viewer.aspx?portalid=4&amp;moduleid=9811&amp;attachmentid=14241" TargetMode="External"/><Relationship Id="rId43" Type="http://schemas.openxmlformats.org/officeDocument/2006/relationships/hyperlink" Target="https://1.next.westlaw.com/Document/N723233B0F0AA11E9AE7883349DB2718C/View/FullText.html?originationContext=documenttoc&amp;transitionType=CategoryPageItem&amp;contextData=(sc.Default)" TargetMode="External"/><Relationship Id="rId48" Type="http://schemas.openxmlformats.org/officeDocument/2006/relationships/hyperlink" Target="https://rulesforum.azcourts.gov/DesktopModules/ActiveForums/viewer.aspx?portalid=4&amp;moduleid=9811&amp;attachmentid=14241"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rulesforum.azcourts.gov/DesktopModules/ActiveForums/viewer.aspx?portalid=4&amp;moduleid=9811&amp;attachmentid=14204"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9EFB88-D14C-4B71-99FA-D1B516AF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3444</Words>
  <Characters>19703</Characters>
  <Application>Microsoft Office Word</Application>
  <DocSecurity>0</DocSecurity>
  <Lines>410</Lines>
  <Paragraphs>122</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Heade (OPD)</dc:creator>
  <cp:lastModifiedBy>Kevin Heade</cp:lastModifiedBy>
  <cp:revision>6</cp:revision>
  <cp:lastPrinted>2025-01-10T07:19:00Z</cp:lastPrinted>
  <dcterms:created xsi:type="dcterms:W3CDTF">2026-05-21T16:04:00Z</dcterms:created>
  <dcterms:modified xsi:type="dcterms:W3CDTF">2026-05-21T16:25:00Z</dcterms:modified>
</cp:coreProperties>
</file>