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314F80" w:rsidRDefault="00E931EE" w:rsidP="00E931EE">
      <w:pPr>
        <w:rPr>
          <w:rFonts w:ascii="Century Schoolbook" w:hAnsi="Century Schoolbook"/>
          <w:szCs w:val="24"/>
        </w:rPr>
      </w:pPr>
      <w:r w:rsidRPr="00314F80">
        <w:rPr>
          <w:rFonts w:ascii="Century Schoolbook" w:hAnsi="Century Schoolbook"/>
          <w:szCs w:val="24"/>
        </w:rPr>
        <w:t>Tucson, AZ 85701</w:t>
      </w:r>
    </w:p>
    <w:p w14:paraId="4BCF6623" w14:textId="77777777" w:rsidR="00E931EE" w:rsidRPr="00314F80" w:rsidRDefault="00E931EE" w:rsidP="00E931EE">
      <w:pPr>
        <w:rPr>
          <w:rFonts w:ascii="Century Schoolbook" w:hAnsi="Century Schoolbook"/>
          <w:szCs w:val="24"/>
        </w:rPr>
      </w:pPr>
      <w:r w:rsidRPr="00314F80">
        <w:rPr>
          <w:rFonts w:ascii="Century Schoolbook" w:hAnsi="Century Schoolbook"/>
          <w:szCs w:val="24"/>
        </w:rPr>
        <w:t>Telephone: (520) 724-8301</w:t>
      </w:r>
    </w:p>
    <w:p w14:paraId="00E570F4" w14:textId="01A58F57" w:rsidR="00C41CA7" w:rsidRPr="00314F80" w:rsidRDefault="00314F80">
      <w:pPr>
        <w:jc w:val="both"/>
        <w:rPr>
          <w:rFonts w:ascii="Century Schoolbook" w:hAnsi="Century Schoolbook"/>
          <w:szCs w:val="24"/>
        </w:rPr>
      </w:pPr>
      <w:hyperlink r:id="rId8" w:history="1">
        <w:r w:rsidRPr="00314F80">
          <w:rPr>
            <w:rStyle w:val="Hyperlink"/>
            <w:rFonts w:ascii="Century Schoolbook" w:hAnsi="Century Schoolbook"/>
            <w:szCs w:val="24"/>
          </w:rPr>
          <w:t>vlayan@courts.az.gov</w:t>
        </w:r>
      </w:hyperlink>
    </w:p>
    <w:p w14:paraId="3C1C2A41" w14:textId="77777777" w:rsidR="00314F80" w:rsidRDefault="00314F80">
      <w:pPr>
        <w:jc w:val="both"/>
        <w:rPr>
          <w:rFonts w:ascii="Century Schoolbook" w:hAnsi="Century Schoolbook"/>
          <w:sz w:val="28"/>
          <w:szCs w:val="28"/>
        </w:rPr>
      </w:pPr>
    </w:p>
    <w:p w14:paraId="1FD324D9" w14:textId="77777777" w:rsidR="005A1EDB" w:rsidRPr="005F6F54" w:rsidRDefault="005A1EDB">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07438C27"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314F80">
        <w:rPr>
          <w:rFonts w:ascii="Century Schoolbook" w:hAnsi="Century Schoolbook"/>
          <w:color w:val="000000"/>
          <w:sz w:val="26"/>
          <w:szCs w:val="26"/>
        </w:rPr>
        <w:t>26-0008</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EAD51D5"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PETITION TO AMEND </w:t>
      </w:r>
      <w:proofErr w:type="gramStart"/>
      <w:r w:rsidRPr="005F6F54">
        <w:rPr>
          <w:rFonts w:ascii="Century Schoolbook" w:hAnsi="Century Schoolbook"/>
          <w:color w:val="000000"/>
          <w:sz w:val="26"/>
          <w:szCs w:val="26"/>
        </w:rPr>
        <w:t>RULE</w:t>
      </w:r>
      <w:r w:rsidR="005A1EDB">
        <w:rPr>
          <w:rFonts w:ascii="Century Schoolbook" w:hAnsi="Century Schoolbook"/>
          <w:color w:val="000000"/>
          <w:sz w:val="26"/>
          <w:szCs w:val="26"/>
        </w:rPr>
        <w:t>S</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5C9060F6" w14:textId="388E7309" w:rsidR="005A1EDB" w:rsidRDefault="005A1EDB"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14, 45, &amp; 45.1, and TO </w:t>
      </w:r>
      <w:proofErr w:type="gramStart"/>
      <w:r>
        <w:rPr>
          <w:rFonts w:ascii="Century Schoolbook" w:hAnsi="Century Schoolbook"/>
          <w:color w:val="000000"/>
          <w:sz w:val="26"/>
          <w:szCs w:val="26"/>
        </w:rPr>
        <w:t>ADOPT</w:t>
      </w:r>
      <w:r>
        <w:rPr>
          <w:rFonts w:ascii="Century Schoolbook" w:hAnsi="Century Schoolbook"/>
          <w:color w:val="000000"/>
          <w:sz w:val="26"/>
          <w:szCs w:val="26"/>
        </w:rPr>
        <w:tab/>
        <w:t>)</w:t>
      </w:r>
      <w:proofErr w:type="gramEnd"/>
      <w:r w:rsidR="00314F80">
        <w:rPr>
          <w:rFonts w:ascii="Century Schoolbook" w:hAnsi="Century Schoolbook"/>
          <w:color w:val="000000"/>
          <w:sz w:val="26"/>
          <w:szCs w:val="26"/>
        </w:rPr>
        <w:tab/>
        <w:t xml:space="preserve">REPLY IN SUPPORT OF </w:t>
      </w:r>
    </w:p>
    <w:p w14:paraId="2C7B5172" w14:textId="190A3946" w:rsidR="00A7057A" w:rsidRPr="005F6F54" w:rsidRDefault="005A1EDB"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RULE 45.2,</w:t>
      </w:r>
      <w:r w:rsidR="005501C1" w:rsidRPr="005F6F54">
        <w:rPr>
          <w:rFonts w:ascii="Century Schoolbook" w:hAnsi="Century Schoolbook"/>
          <w:color w:val="000000"/>
          <w:sz w:val="26"/>
          <w:szCs w:val="26"/>
        </w:rPr>
        <w:t xml:space="preserve"> </w:t>
      </w:r>
      <w:r w:rsidR="0044074C"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ab/>
      </w:r>
      <w:r w:rsidR="00DB362E">
        <w:rPr>
          <w:rFonts w:ascii="Century Schoolbook" w:hAnsi="Century Schoolbook"/>
          <w:color w:val="000000"/>
          <w:sz w:val="26"/>
          <w:szCs w:val="26"/>
        </w:rPr>
        <w:t>)</w:t>
      </w:r>
      <w:r w:rsidR="003C3420" w:rsidRPr="005F6F54">
        <w:rPr>
          <w:rFonts w:ascii="Century Schoolbook" w:hAnsi="Century Schoolbook"/>
          <w:color w:val="000000"/>
          <w:sz w:val="26"/>
          <w:szCs w:val="26"/>
        </w:rPr>
        <w:tab/>
      </w:r>
      <w:r w:rsidR="00314F80">
        <w:rPr>
          <w:rFonts w:ascii="Century Schoolbook" w:hAnsi="Century Schoolbook"/>
          <w:color w:val="000000"/>
          <w:sz w:val="26"/>
          <w:szCs w:val="26"/>
        </w:rPr>
        <w:t>PETITION</w:t>
      </w:r>
    </w:p>
    <w:p w14:paraId="355F5966" w14:textId="1AEFB4EB"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FAMILY </w:t>
      </w:r>
      <w:r w:rsidR="0044074C" w:rsidRPr="005F6F54">
        <w:rPr>
          <w:rFonts w:ascii="Century Schoolbook" w:hAnsi="Century Schoolbook"/>
          <w:color w:val="000000"/>
          <w:sz w:val="26"/>
          <w:szCs w:val="26"/>
        </w:rPr>
        <w:t xml:space="preserve">LAW PROCEDURE </w:t>
      </w:r>
      <w:r w:rsidR="0044074C" w:rsidRPr="005F6F54">
        <w:rPr>
          <w:rFonts w:ascii="Century Schoolbook" w:hAnsi="Century Schoolbook"/>
          <w:color w:val="000000"/>
          <w:sz w:val="26"/>
          <w:szCs w:val="26"/>
        </w:rPr>
        <w:tab/>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16D3E808" w14:textId="77777777" w:rsidR="00314F80" w:rsidRDefault="00716C66" w:rsidP="00314F80">
      <w:pPr>
        <w:spacing w:line="480" w:lineRule="auto"/>
        <w:ind w:left="144"/>
        <w:jc w:val="both"/>
        <w:rPr>
          <w:rFonts w:ascii="Century Schoolbook" w:hAnsi="Century Schoolbook"/>
          <w:sz w:val="26"/>
          <w:szCs w:val="26"/>
        </w:rPr>
      </w:pPr>
      <w:r w:rsidRPr="00FA4D0C">
        <w:rPr>
          <w:rFonts w:ascii="Century Schoolbook" w:hAnsi="Century Schoolbook"/>
          <w:sz w:val="26"/>
          <w:szCs w:val="26"/>
        </w:rPr>
        <w:tab/>
      </w:r>
      <w:r w:rsidR="005501C1" w:rsidRPr="00FA4D0C">
        <w:rPr>
          <w:rFonts w:ascii="Century Schoolbook" w:hAnsi="Century Schoolbook"/>
          <w:sz w:val="26"/>
          <w:szCs w:val="26"/>
        </w:rPr>
        <w:t xml:space="preserve">The </w:t>
      </w:r>
      <w:r w:rsidR="004E3A71" w:rsidRPr="00FA4D0C">
        <w:rPr>
          <w:rFonts w:ascii="Century Schoolbook" w:hAnsi="Century Schoolbook"/>
          <w:sz w:val="26"/>
          <w:szCs w:val="26"/>
        </w:rPr>
        <w:t>Committee</w:t>
      </w:r>
      <w:r w:rsidR="003C3420" w:rsidRPr="00FA4D0C">
        <w:rPr>
          <w:rFonts w:ascii="Century Schoolbook" w:hAnsi="Century Schoolbook"/>
          <w:sz w:val="26"/>
          <w:szCs w:val="26"/>
        </w:rPr>
        <w:t xml:space="preserve"> on Family Court (“COFC”)</w:t>
      </w:r>
      <w:r w:rsidR="005A1EDB" w:rsidRPr="00FA4D0C">
        <w:rPr>
          <w:rFonts w:ascii="Century Schoolbook" w:hAnsi="Century Schoolbook"/>
          <w:sz w:val="26"/>
          <w:szCs w:val="26"/>
        </w:rPr>
        <w:t xml:space="preserve"> </w:t>
      </w:r>
      <w:r w:rsidR="00314F80">
        <w:rPr>
          <w:rFonts w:ascii="Century Schoolbook" w:hAnsi="Century Schoolbook"/>
          <w:sz w:val="26"/>
          <w:szCs w:val="26"/>
        </w:rPr>
        <w:t xml:space="preserve">files this Reply in support of its request to </w:t>
      </w:r>
      <w:r w:rsidR="00DB362E" w:rsidRPr="00FA4D0C">
        <w:rPr>
          <w:rFonts w:ascii="Century Schoolbook" w:hAnsi="Century Schoolbook"/>
          <w:sz w:val="26"/>
          <w:szCs w:val="26"/>
        </w:rPr>
        <w:t>amend Rule</w:t>
      </w:r>
      <w:r w:rsidR="005A1EDB" w:rsidRPr="00FA4D0C">
        <w:rPr>
          <w:rFonts w:ascii="Century Schoolbook" w:hAnsi="Century Schoolbook"/>
          <w:sz w:val="26"/>
          <w:szCs w:val="26"/>
        </w:rPr>
        <w:t>s 14, 45, and 45.1 and to adopt Rule 45.2 of the Arizona Rules of Family Law Procedure.</w:t>
      </w:r>
    </w:p>
    <w:p w14:paraId="08214ACD" w14:textId="67916DA7" w:rsidR="00720919" w:rsidRDefault="00720919" w:rsidP="00314F80">
      <w:pPr>
        <w:spacing w:line="480" w:lineRule="auto"/>
        <w:ind w:left="144"/>
        <w:jc w:val="both"/>
        <w:rPr>
          <w:rFonts w:ascii="Century Schoolbook" w:hAnsi="Century Schoolbook"/>
          <w:sz w:val="26"/>
          <w:szCs w:val="26"/>
        </w:rPr>
      </w:pPr>
      <w:r>
        <w:rPr>
          <w:rFonts w:ascii="Century Schoolbook" w:hAnsi="Century Schoolbook"/>
          <w:sz w:val="26"/>
          <w:szCs w:val="26"/>
        </w:rPr>
        <w:tab/>
      </w:r>
      <w:r>
        <w:rPr>
          <w:rFonts w:ascii="Century Schoolbook" w:hAnsi="Century Schoolbook"/>
          <w:sz w:val="26"/>
          <w:szCs w:val="26"/>
        </w:rPr>
        <w:t>Nicholas Brown and the Arizona Commission on Access to Justice</w:t>
      </w:r>
      <w:r>
        <w:rPr>
          <w:rFonts w:ascii="Century Schoolbook" w:hAnsi="Century Schoolbook"/>
          <w:sz w:val="26"/>
          <w:szCs w:val="26"/>
        </w:rPr>
        <w:t xml:space="preserve"> filed comments in support. No one filed a comment in opposition.</w:t>
      </w:r>
    </w:p>
    <w:p w14:paraId="40FC320D" w14:textId="2F3B11A9" w:rsidR="00314F80" w:rsidRDefault="00314F80" w:rsidP="00720919">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Having reviewed the supportive comments of Nicholas Brown and the Arizona Commission on Access to Justice, COFC agrees with Mr. Brown that there was a drafting, carry-over error into the proposed amendments to Rule 45.1(d)(4).  </w:t>
      </w:r>
    </w:p>
    <w:p w14:paraId="06F045B2" w14:textId="77777777" w:rsidR="00720919" w:rsidRDefault="00720919" w:rsidP="00AB5CD0">
      <w:pPr>
        <w:spacing w:line="480" w:lineRule="auto"/>
        <w:ind w:left="144" w:firstLine="576"/>
        <w:jc w:val="both"/>
        <w:rPr>
          <w:rFonts w:ascii="Century Schoolbook" w:eastAsia="Calibri" w:hAnsi="Century Schoolbook" w:cs="Calibri"/>
          <w:color w:val="000000" w:themeColor="text1"/>
          <w:sz w:val="26"/>
          <w:szCs w:val="26"/>
        </w:rPr>
      </w:pPr>
    </w:p>
    <w:p w14:paraId="1F6E3851" w14:textId="77777777" w:rsidR="00720919" w:rsidRDefault="00720919" w:rsidP="00AB5CD0">
      <w:pPr>
        <w:spacing w:line="480" w:lineRule="auto"/>
        <w:ind w:left="144" w:firstLine="576"/>
        <w:jc w:val="both"/>
        <w:rPr>
          <w:rFonts w:ascii="Century Schoolbook" w:eastAsia="Calibri" w:hAnsi="Century Schoolbook" w:cs="Calibri"/>
          <w:color w:val="000000" w:themeColor="text1"/>
          <w:sz w:val="26"/>
          <w:szCs w:val="26"/>
        </w:rPr>
      </w:pPr>
    </w:p>
    <w:p w14:paraId="2D331D48" w14:textId="4AAE653A" w:rsidR="00314F80" w:rsidRDefault="00314F80" w:rsidP="00AB5CD0">
      <w:pPr>
        <w:spacing w:line="480" w:lineRule="auto"/>
        <w:ind w:left="144" w:firstLine="576"/>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lastRenderedPageBreak/>
        <w:t xml:space="preserve">As such, for the reasons set forth in the Petition, </w:t>
      </w:r>
      <w:r w:rsidR="006270B5">
        <w:rPr>
          <w:rFonts w:ascii="Century Schoolbook" w:eastAsia="Calibri" w:hAnsi="Century Schoolbook" w:cs="Calibri"/>
          <w:color w:val="000000" w:themeColor="text1"/>
          <w:sz w:val="26"/>
          <w:szCs w:val="26"/>
        </w:rPr>
        <w:t xml:space="preserve">COFC respectfully </w:t>
      </w:r>
    </w:p>
    <w:p w14:paraId="04DB1841" w14:textId="40DE656B" w:rsidR="006270B5" w:rsidRPr="00AB5CD0" w:rsidRDefault="00314F80" w:rsidP="00314F80">
      <w:pPr>
        <w:spacing w:line="480" w:lineRule="auto"/>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t xml:space="preserve">requests that the Court </w:t>
      </w:r>
      <w:r>
        <w:rPr>
          <w:rFonts w:ascii="Century Schoolbook" w:eastAsia="Calibri" w:hAnsi="Century Schoolbook" w:cs="Calibri"/>
          <w:color w:val="000000" w:themeColor="text1"/>
          <w:sz w:val="26"/>
          <w:szCs w:val="26"/>
        </w:rPr>
        <w:t xml:space="preserve">grant the Petition and adopt the </w:t>
      </w:r>
      <w:r w:rsidR="00720919">
        <w:rPr>
          <w:rFonts w:ascii="Century Schoolbook" w:eastAsia="Calibri" w:hAnsi="Century Schoolbook" w:cs="Calibri"/>
          <w:color w:val="000000" w:themeColor="text1"/>
          <w:sz w:val="26"/>
          <w:szCs w:val="26"/>
        </w:rPr>
        <w:t>proposals</w:t>
      </w:r>
      <w:r>
        <w:rPr>
          <w:rFonts w:ascii="Century Schoolbook" w:eastAsia="Calibri" w:hAnsi="Century Schoolbook" w:cs="Calibri"/>
          <w:color w:val="000000" w:themeColor="text1"/>
          <w:sz w:val="26"/>
          <w:szCs w:val="26"/>
        </w:rPr>
        <w:t xml:space="preserve"> </w:t>
      </w:r>
      <w:r w:rsidR="006270B5">
        <w:rPr>
          <w:rFonts w:ascii="Century Schoolbook" w:eastAsia="Calibri" w:hAnsi="Century Schoolbook" w:cs="Calibri"/>
          <w:color w:val="000000" w:themeColor="text1"/>
          <w:sz w:val="26"/>
          <w:szCs w:val="26"/>
        </w:rPr>
        <w:t>in the attached Appendix</w:t>
      </w:r>
      <w:r>
        <w:rPr>
          <w:rFonts w:ascii="Century Schoolbook" w:eastAsia="Calibri" w:hAnsi="Century Schoolbook" w:cs="Calibri"/>
          <w:color w:val="000000" w:themeColor="text1"/>
          <w:sz w:val="26"/>
          <w:szCs w:val="26"/>
        </w:rPr>
        <w:t>, wherein the changes to proposed Rule 45.1(d)(4) are in red</w:t>
      </w:r>
      <w:r w:rsidR="006270B5">
        <w:rPr>
          <w:rFonts w:ascii="Century Schoolbook" w:eastAsia="Calibri" w:hAnsi="Century Schoolbook" w:cs="Calibri"/>
          <w:color w:val="000000" w:themeColor="text1"/>
          <w:sz w:val="26"/>
          <w:szCs w:val="26"/>
        </w:rPr>
        <w:t>.</w:t>
      </w:r>
    </w:p>
    <w:p w14:paraId="1BDE6B4C" w14:textId="77777777" w:rsidR="00314F80"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p>
    <w:p w14:paraId="13EAD0F2" w14:textId="642D88AE" w:rsidR="00C41CA7" w:rsidRDefault="00C41CA7" w:rsidP="00314F80">
      <w:pPr>
        <w:ind w:left="720" w:firstLine="720"/>
        <w:rPr>
          <w:rFonts w:ascii="Century Schoolbook" w:hAnsi="Century Schoolbook"/>
          <w:sz w:val="26"/>
          <w:szCs w:val="26"/>
        </w:rPr>
      </w:pPr>
      <w:r w:rsidRPr="005F6F54">
        <w:rPr>
          <w:rFonts w:ascii="Century Schoolbook" w:hAnsi="Century Schoolbook"/>
          <w:sz w:val="26"/>
          <w:szCs w:val="26"/>
        </w:rPr>
        <w:t xml:space="preserve">DATED this </w:t>
      </w:r>
      <w:r w:rsidR="00314F80">
        <w:rPr>
          <w:rFonts w:ascii="Century Schoolbook" w:hAnsi="Century Schoolbook"/>
          <w:sz w:val="26"/>
          <w:szCs w:val="26"/>
        </w:rPr>
        <w:t>20th</w:t>
      </w:r>
      <w:r w:rsidR="005A1EDB">
        <w:rPr>
          <w:rFonts w:ascii="Century Schoolbook" w:hAnsi="Century Schoolbook"/>
          <w:sz w:val="26"/>
          <w:szCs w:val="26"/>
        </w:rPr>
        <w:t xml:space="preserve"> day of </w:t>
      </w:r>
      <w:proofErr w:type="gramStart"/>
      <w:r w:rsidR="00314F80">
        <w:rPr>
          <w:rFonts w:ascii="Century Schoolbook" w:hAnsi="Century Schoolbook"/>
          <w:sz w:val="26"/>
          <w:szCs w:val="26"/>
        </w:rPr>
        <w:t>May</w:t>
      </w:r>
      <w:r w:rsidR="005A1EDB">
        <w:rPr>
          <w:rFonts w:ascii="Century Schoolbook" w:hAnsi="Century Schoolbook"/>
          <w:sz w:val="26"/>
          <w:szCs w:val="26"/>
        </w:rPr>
        <w:t>,</w:t>
      </w:r>
      <w:proofErr w:type="gramEnd"/>
      <w:r w:rsidR="005A1EDB">
        <w:rPr>
          <w:rFonts w:ascii="Century Schoolbook" w:hAnsi="Century Schoolbook"/>
          <w:sz w:val="26"/>
          <w:szCs w:val="26"/>
        </w:rPr>
        <w:t xml:space="preserve"> 2026</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1FACF646"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5A1EDB">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1EE14228" w:rsidR="006270B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42B3C09D" w14:textId="77777777" w:rsidR="006270B5" w:rsidRDefault="006270B5">
      <w:pPr>
        <w:rPr>
          <w:rFonts w:ascii="Century Schoolbook" w:hAnsi="Century Schoolbook"/>
          <w:sz w:val="26"/>
          <w:szCs w:val="26"/>
        </w:rPr>
      </w:pPr>
      <w:r>
        <w:rPr>
          <w:rFonts w:ascii="Century Schoolbook" w:hAnsi="Century Schoolbook"/>
          <w:sz w:val="26"/>
          <w:szCs w:val="26"/>
        </w:rPr>
        <w:br w:type="page"/>
      </w:r>
    </w:p>
    <w:p w14:paraId="016D23A2" w14:textId="0DC42AE2" w:rsidR="006270B5" w:rsidRPr="006270B5" w:rsidRDefault="006270B5" w:rsidP="006270B5">
      <w:pPr>
        <w:jc w:val="center"/>
        <w:rPr>
          <w:rFonts w:ascii="Century Schoolbook" w:hAnsi="Century Schoolbook"/>
          <w:b/>
          <w:bCs/>
          <w:sz w:val="26"/>
          <w:szCs w:val="26"/>
          <w:u w:val="single"/>
        </w:rPr>
      </w:pPr>
      <w:r w:rsidRPr="006270B5">
        <w:rPr>
          <w:rFonts w:ascii="Century Schoolbook" w:hAnsi="Century Schoolbook"/>
          <w:b/>
          <w:bCs/>
          <w:sz w:val="26"/>
          <w:szCs w:val="26"/>
          <w:u w:val="single"/>
        </w:rPr>
        <w:lastRenderedPageBreak/>
        <w:t>Appendix</w:t>
      </w:r>
    </w:p>
    <w:p w14:paraId="41A7A6A6" w14:textId="77777777" w:rsidR="006270B5" w:rsidRDefault="006270B5" w:rsidP="006270B5">
      <w:pPr>
        <w:jc w:val="both"/>
        <w:rPr>
          <w:rFonts w:ascii="Century Schoolbook" w:hAnsi="Century Schoolbook"/>
          <w:sz w:val="26"/>
          <w:szCs w:val="26"/>
        </w:rPr>
      </w:pPr>
    </w:p>
    <w:p w14:paraId="16AF2B58" w14:textId="52FCA736" w:rsidR="006270B5" w:rsidRDefault="006270B5" w:rsidP="006270B5">
      <w:pPr>
        <w:jc w:val="both"/>
        <w:rPr>
          <w:rFonts w:ascii="Century Schoolbook" w:hAnsi="Century Schoolbook"/>
          <w:sz w:val="26"/>
          <w:szCs w:val="26"/>
        </w:rPr>
      </w:pPr>
      <w:r w:rsidRPr="00764BCA">
        <w:rPr>
          <w:rFonts w:ascii="Century Schoolbook" w:hAnsi="Century Schoolbook"/>
          <w:sz w:val="26"/>
          <w:szCs w:val="26"/>
        </w:rPr>
        <w:t>Rule 14. Written Verifications and Unsworn Declarations Under Penalty of Perjury</w:t>
      </w:r>
    </w:p>
    <w:p w14:paraId="5ECE0D17" w14:textId="77777777" w:rsidR="006270B5" w:rsidRDefault="006270B5" w:rsidP="006270B5">
      <w:pPr>
        <w:jc w:val="both"/>
        <w:rPr>
          <w:rFonts w:ascii="Century Schoolbook" w:hAnsi="Century Schoolbook"/>
          <w:sz w:val="26"/>
          <w:szCs w:val="26"/>
        </w:rPr>
      </w:pPr>
    </w:p>
    <w:p w14:paraId="591E8CC9"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b/>
          <w:bCs/>
          <w:sz w:val="26"/>
          <w:szCs w:val="26"/>
        </w:rPr>
        <w:t>(a) Written Verification.</w:t>
      </w:r>
      <w:r w:rsidRPr="00764BCA">
        <w:rPr>
          <w:rFonts w:ascii="Century Schoolbook" w:hAnsi="Century Schoolbook"/>
          <w:sz w:val="26"/>
          <w:szCs w:val="26"/>
        </w:rPr>
        <w:t> A written verification is a sworn statement before a notary public or other officer who is authorized to administer an oath. A verification is required for:</w:t>
      </w:r>
    </w:p>
    <w:p w14:paraId="040BE63F"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(1) an acceptance of service under Rule 40(f)(1</w:t>
      </w:r>
      <w:proofErr w:type="gramStart"/>
      <w:r w:rsidRPr="00764BCA">
        <w:rPr>
          <w:rFonts w:ascii="Century Schoolbook" w:hAnsi="Century Schoolbook"/>
          <w:sz w:val="26"/>
          <w:szCs w:val="26"/>
        </w:rPr>
        <w:t>);</w:t>
      </w:r>
      <w:proofErr w:type="gramEnd"/>
    </w:p>
    <w:p w14:paraId="578CAF97"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(2) an affidavit submitted in support of an application for a default </w:t>
      </w:r>
      <w:proofErr w:type="gramStart"/>
      <w:r w:rsidRPr="00764BCA">
        <w:rPr>
          <w:rFonts w:ascii="Century Schoolbook" w:hAnsi="Century Schoolbook"/>
          <w:sz w:val="26"/>
          <w:szCs w:val="26"/>
        </w:rPr>
        <w:t>decree;</w:t>
      </w:r>
      <w:proofErr w:type="gramEnd"/>
    </w:p>
    <w:p w14:paraId="4B39103E"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(3) a consent decree</w:t>
      </w:r>
      <w:r>
        <w:rPr>
          <w:rFonts w:ascii="Century Schoolbook" w:hAnsi="Century Schoolbook"/>
          <w:sz w:val="26"/>
          <w:szCs w:val="26"/>
          <w:u w:val="single"/>
        </w:rPr>
        <w:t>, judgment, or order</w:t>
      </w:r>
      <w:r w:rsidRPr="00764BCA">
        <w:rPr>
          <w:rFonts w:ascii="Century Schoolbook" w:hAnsi="Century Schoolbook"/>
          <w:sz w:val="26"/>
          <w:szCs w:val="26"/>
        </w:rPr>
        <w:t xml:space="preserve"> under Rule 45; or</w:t>
      </w:r>
    </w:p>
    <w:p w14:paraId="6730F2F0"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(4) a stipulation or agreement that substantially changes the terms of a legal decision-making or </w:t>
      </w:r>
      <w:proofErr w:type="gramStart"/>
      <w:r w:rsidRPr="00764BCA">
        <w:rPr>
          <w:rFonts w:ascii="Century Schoolbook" w:hAnsi="Century Schoolbook"/>
          <w:sz w:val="26"/>
          <w:szCs w:val="26"/>
        </w:rPr>
        <w:t>parenting time</w:t>
      </w:r>
      <w:proofErr w:type="gramEnd"/>
      <w:r w:rsidRPr="00764BCA">
        <w:rPr>
          <w:rFonts w:ascii="Century Schoolbook" w:hAnsi="Century Schoolbook"/>
          <w:sz w:val="26"/>
          <w:szCs w:val="26"/>
        </w:rPr>
        <w:t xml:space="preserve"> order, unless the stipulation is entered </w:t>
      </w:r>
      <w:proofErr w:type="gramStart"/>
      <w:r w:rsidRPr="00764BCA">
        <w:rPr>
          <w:rFonts w:ascii="Century Schoolbook" w:hAnsi="Century Schoolbook"/>
          <w:sz w:val="26"/>
          <w:szCs w:val="26"/>
        </w:rPr>
        <w:t>in open</w:t>
      </w:r>
      <w:proofErr w:type="gramEnd"/>
      <w:r w:rsidRPr="00764BCA">
        <w:rPr>
          <w:rFonts w:ascii="Century Schoolbook" w:hAnsi="Century Schoolbook"/>
          <w:sz w:val="26"/>
          <w:szCs w:val="26"/>
        </w:rPr>
        <w:t xml:space="preserve"> court or through conciliation services.</w:t>
      </w:r>
    </w:p>
    <w:p w14:paraId="5BE4C7EA" w14:textId="77777777" w:rsidR="006270B5" w:rsidRPr="00764BCA" w:rsidRDefault="006270B5" w:rsidP="006270B5">
      <w:pPr>
        <w:jc w:val="both"/>
        <w:rPr>
          <w:rFonts w:ascii="Century Schoolbook" w:hAnsi="Century Schoolbook"/>
          <w:sz w:val="26"/>
          <w:szCs w:val="26"/>
        </w:rPr>
      </w:pPr>
      <w:r w:rsidRPr="00764BCA">
        <w:rPr>
          <w:rFonts w:ascii="Century Schoolbook" w:hAnsi="Century Schoolbook"/>
          <w:sz w:val="26"/>
          <w:szCs w:val="26"/>
        </w:rPr>
        <w:t>However, nothing in this rule precludes the Arizona Supreme Court from modifying the requirements of this rule by administrative order.</w:t>
      </w:r>
    </w:p>
    <w:p w14:paraId="72D636F8" w14:textId="77777777" w:rsidR="006270B5" w:rsidRPr="00761873" w:rsidRDefault="006270B5" w:rsidP="006270B5">
      <w:pPr>
        <w:jc w:val="both"/>
        <w:rPr>
          <w:rFonts w:ascii="Century Schoolbook" w:hAnsi="Century Schoolbook"/>
          <w:b/>
          <w:bCs/>
          <w:sz w:val="26"/>
          <w:szCs w:val="26"/>
        </w:rPr>
      </w:pPr>
      <w:r w:rsidRPr="00761873">
        <w:rPr>
          <w:rFonts w:ascii="Century Schoolbook" w:hAnsi="Century Schoolbook"/>
          <w:b/>
          <w:bCs/>
          <w:sz w:val="26"/>
          <w:szCs w:val="26"/>
        </w:rPr>
        <w:t>(b)-(c</w:t>
      </w:r>
      <w:proofErr w:type="gramStart"/>
      <w:r w:rsidRPr="00761873">
        <w:rPr>
          <w:rFonts w:ascii="Century Schoolbook" w:hAnsi="Century Schoolbook"/>
          <w:b/>
          <w:bCs/>
          <w:sz w:val="26"/>
          <w:szCs w:val="26"/>
        </w:rPr>
        <w:t xml:space="preserve">) </w:t>
      </w:r>
      <w:r w:rsidRPr="00761873">
        <w:rPr>
          <w:rFonts w:ascii="Century Schoolbook" w:hAnsi="Century Schoolbook"/>
          <w:b/>
          <w:bCs/>
          <w:sz w:val="26"/>
          <w:szCs w:val="26"/>
        </w:rPr>
        <w:tab/>
        <w:t>No</w:t>
      </w:r>
      <w:proofErr w:type="gramEnd"/>
      <w:r w:rsidRPr="00761873">
        <w:rPr>
          <w:rFonts w:ascii="Century Schoolbook" w:hAnsi="Century Schoolbook"/>
          <w:b/>
          <w:bCs/>
          <w:sz w:val="26"/>
          <w:szCs w:val="26"/>
        </w:rPr>
        <w:t xml:space="preserve"> changes proposed.</w:t>
      </w:r>
    </w:p>
    <w:p w14:paraId="05CD3DB1" w14:textId="56AAEA61" w:rsidR="006270B5" w:rsidRDefault="006270B5" w:rsidP="006270B5">
      <w:pPr>
        <w:rPr>
          <w:rFonts w:ascii="Century Schoolbook" w:hAnsi="Century Schoolbook"/>
          <w:sz w:val="26"/>
          <w:szCs w:val="26"/>
        </w:rPr>
      </w:pPr>
    </w:p>
    <w:p w14:paraId="2DC463C1" w14:textId="77777777" w:rsidR="006270B5" w:rsidRDefault="006270B5" w:rsidP="006270B5">
      <w:pPr>
        <w:jc w:val="both"/>
        <w:rPr>
          <w:rFonts w:ascii="Century Schoolbook" w:hAnsi="Century Schoolbook"/>
          <w:sz w:val="26"/>
          <w:szCs w:val="26"/>
        </w:rPr>
      </w:pPr>
      <w:r w:rsidRPr="00764BCA">
        <w:rPr>
          <w:rFonts w:ascii="Century Schoolbook" w:hAnsi="Century Schoolbook"/>
          <w:sz w:val="26"/>
          <w:szCs w:val="26"/>
        </w:rPr>
        <w:t xml:space="preserve">Rule 45. Consent Decree, </w:t>
      </w:r>
      <w:proofErr w:type="gramStart"/>
      <w:r w:rsidRPr="00764BCA">
        <w:rPr>
          <w:rFonts w:ascii="Century Schoolbook" w:hAnsi="Century Schoolbook"/>
          <w:sz w:val="26"/>
          <w:szCs w:val="26"/>
        </w:rPr>
        <w:t>Judgment, or</w:t>
      </w:r>
      <w:proofErr w:type="gramEnd"/>
      <w:r w:rsidRPr="00764BCA">
        <w:rPr>
          <w:rFonts w:ascii="Century Schoolbook" w:hAnsi="Century Schoolbook"/>
          <w:sz w:val="26"/>
          <w:szCs w:val="26"/>
        </w:rPr>
        <w:t xml:space="preserve"> Order</w:t>
      </w:r>
    </w:p>
    <w:p w14:paraId="62339C48" w14:textId="77777777" w:rsidR="006270B5" w:rsidRDefault="006270B5" w:rsidP="006270B5">
      <w:pPr>
        <w:jc w:val="both"/>
        <w:rPr>
          <w:rFonts w:ascii="Century Schoolbook" w:hAnsi="Century Schoolbook"/>
          <w:sz w:val="26"/>
          <w:szCs w:val="26"/>
        </w:rPr>
      </w:pPr>
    </w:p>
    <w:p w14:paraId="70FF66B2"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 xml:space="preserve">(a) – (b)(3) </w:t>
      </w:r>
      <w:r w:rsidRPr="00761873">
        <w:rPr>
          <w:rFonts w:ascii="Century Schoolbook" w:hAnsi="Century Schoolbook"/>
          <w:b/>
          <w:bCs/>
          <w:sz w:val="26"/>
          <w:szCs w:val="26"/>
        </w:rPr>
        <w:tab/>
      </w:r>
      <w:r>
        <w:rPr>
          <w:rFonts w:ascii="Century Schoolbook" w:hAnsi="Century Schoolbook"/>
          <w:sz w:val="26"/>
          <w:szCs w:val="26"/>
        </w:rPr>
        <w:t>No changes proposed.</w:t>
      </w:r>
    </w:p>
    <w:p w14:paraId="1113B420"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(b)(4)</w:t>
      </w:r>
      <w:r>
        <w:rPr>
          <w:rFonts w:ascii="Century Schoolbook" w:hAnsi="Century Schoolbook"/>
          <w:sz w:val="26"/>
          <w:szCs w:val="26"/>
        </w:rPr>
        <w:t xml:space="preserve"> </w:t>
      </w:r>
      <w:r w:rsidRPr="00764BCA">
        <w:rPr>
          <w:rFonts w:ascii="Century Schoolbook" w:hAnsi="Century Schoolbook"/>
          <w:sz w:val="26"/>
          <w:szCs w:val="26"/>
        </w:rPr>
        <w:t>Both parties must personally sign the consent decree, judgment, or order before a notarial officer. Alternatively, a party may sign the consent decree</w:t>
      </w:r>
      <w:r>
        <w:rPr>
          <w:rFonts w:ascii="Century Schoolbook" w:hAnsi="Century Schoolbook"/>
          <w:sz w:val="26"/>
          <w:szCs w:val="26"/>
          <w:u w:val="single"/>
        </w:rPr>
        <w:t>, judgment, or order</w:t>
      </w:r>
      <w:r w:rsidRPr="00764BCA">
        <w:rPr>
          <w:rFonts w:ascii="Century Schoolbook" w:hAnsi="Century Schoolbook"/>
          <w:sz w:val="26"/>
          <w:szCs w:val="26"/>
        </w:rPr>
        <w:t xml:space="preserve"> in the clerk's presence after the clerk has verified the party's identity. If a party is represented by an attorney, the attorney must also sign the consent decree</w:t>
      </w:r>
      <w:r>
        <w:rPr>
          <w:rFonts w:ascii="Century Schoolbook" w:hAnsi="Century Schoolbook"/>
          <w:sz w:val="26"/>
          <w:szCs w:val="26"/>
        </w:rPr>
        <w:t>, judgment, or order</w:t>
      </w:r>
      <w:r w:rsidRPr="00764BCA">
        <w:rPr>
          <w:rFonts w:ascii="Century Schoolbook" w:hAnsi="Century Schoolbook"/>
          <w:sz w:val="26"/>
          <w:szCs w:val="26"/>
        </w:rPr>
        <w:t>.</w:t>
      </w:r>
    </w:p>
    <w:p w14:paraId="3BF1F409"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 xml:space="preserve">(c) </w:t>
      </w:r>
      <w:r w:rsidRPr="00761873">
        <w:rPr>
          <w:rFonts w:ascii="Century Schoolbook" w:hAnsi="Century Schoolbook"/>
          <w:b/>
          <w:bCs/>
          <w:sz w:val="26"/>
          <w:szCs w:val="26"/>
        </w:rPr>
        <w:tab/>
      </w:r>
      <w:r>
        <w:rPr>
          <w:rFonts w:ascii="Century Schoolbook" w:hAnsi="Century Schoolbook"/>
          <w:sz w:val="26"/>
          <w:szCs w:val="26"/>
        </w:rPr>
        <w:tab/>
        <w:t>No changes proposed.</w:t>
      </w:r>
    </w:p>
    <w:p w14:paraId="4C2BD0E4" w14:textId="77777777" w:rsidR="006270B5" w:rsidRDefault="006270B5" w:rsidP="006270B5">
      <w:pPr>
        <w:jc w:val="both"/>
        <w:rPr>
          <w:rFonts w:ascii="Century Schoolbook" w:hAnsi="Century Schoolbook"/>
          <w:sz w:val="26"/>
          <w:szCs w:val="26"/>
        </w:rPr>
      </w:pPr>
    </w:p>
    <w:p w14:paraId="4B1FC8EF" w14:textId="75EE7D20" w:rsidR="006270B5" w:rsidRDefault="006270B5" w:rsidP="006270B5">
      <w:pPr>
        <w:rPr>
          <w:rFonts w:ascii="Century Schoolbook" w:hAnsi="Century Schoolbook"/>
          <w:sz w:val="26"/>
          <w:szCs w:val="26"/>
        </w:rPr>
      </w:pPr>
      <w:r>
        <w:rPr>
          <w:rFonts w:ascii="Century Schoolbook" w:hAnsi="Century Schoolbook"/>
          <w:sz w:val="26"/>
          <w:szCs w:val="26"/>
        </w:rPr>
        <w:br w:type="page"/>
      </w:r>
      <w:r w:rsidRPr="00E80167">
        <w:rPr>
          <w:rFonts w:ascii="Century Schoolbook" w:hAnsi="Century Schoolbook"/>
          <w:sz w:val="26"/>
          <w:szCs w:val="26"/>
        </w:rPr>
        <w:lastRenderedPageBreak/>
        <w:t>Rule 45.1. Summary Consent Decree</w:t>
      </w:r>
    </w:p>
    <w:p w14:paraId="1D6C4E52" w14:textId="77777777" w:rsidR="006270B5" w:rsidRDefault="006270B5" w:rsidP="006270B5">
      <w:pPr>
        <w:jc w:val="both"/>
        <w:rPr>
          <w:rFonts w:ascii="Century Schoolbook" w:hAnsi="Century Schoolbook"/>
          <w:sz w:val="26"/>
          <w:szCs w:val="26"/>
        </w:rPr>
      </w:pPr>
    </w:p>
    <w:p w14:paraId="5F055CEE" w14:textId="77777777" w:rsidR="006270B5" w:rsidRDefault="006270B5" w:rsidP="006270B5">
      <w:pPr>
        <w:jc w:val="both"/>
        <w:rPr>
          <w:rFonts w:ascii="Century Schoolbook" w:hAnsi="Century Schoolbook"/>
          <w:sz w:val="26"/>
          <w:szCs w:val="26"/>
        </w:rPr>
      </w:pPr>
      <w:r w:rsidRPr="00761873">
        <w:rPr>
          <w:rFonts w:ascii="Century Schoolbook" w:hAnsi="Century Schoolbook"/>
          <w:b/>
          <w:bCs/>
          <w:sz w:val="26"/>
          <w:szCs w:val="26"/>
        </w:rPr>
        <w:t>(a) – (d)(3)</w:t>
      </w:r>
      <w:r>
        <w:rPr>
          <w:rFonts w:ascii="Century Schoolbook" w:hAnsi="Century Schoolbook"/>
          <w:sz w:val="26"/>
          <w:szCs w:val="26"/>
        </w:rPr>
        <w:tab/>
        <w:t>No changes proposed</w:t>
      </w:r>
    </w:p>
    <w:p w14:paraId="6BCAF8B1" w14:textId="77777777" w:rsidR="006270B5" w:rsidRDefault="006270B5" w:rsidP="006270B5">
      <w:pPr>
        <w:jc w:val="both"/>
        <w:rPr>
          <w:rFonts w:ascii="Century Schoolbook" w:hAnsi="Century Schoolbook"/>
          <w:sz w:val="26"/>
          <w:szCs w:val="26"/>
        </w:rPr>
      </w:pPr>
      <w:r w:rsidRPr="00CB1883">
        <w:rPr>
          <w:rFonts w:ascii="Century Schoolbook" w:hAnsi="Century Schoolbook"/>
          <w:strike/>
          <w:sz w:val="26"/>
          <w:szCs w:val="26"/>
        </w:rPr>
        <w:t xml:space="preserve">(d)(4) </w:t>
      </w:r>
      <w:r w:rsidRPr="00CB1883">
        <w:rPr>
          <w:rFonts w:ascii="Century Schoolbook" w:hAnsi="Century Schoolbook"/>
          <w:i/>
          <w:iCs/>
          <w:strike/>
          <w:sz w:val="26"/>
          <w:szCs w:val="26"/>
        </w:rPr>
        <w:t>Notice of Intent to Withdraw</w:t>
      </w:r>
      <w:r w:rsidRPr="00E80167">
        <w:rPr>
          <w:rFonts w:ascii="Century Schoolbook" w:hAnsi="Century Schoolbook"/>
          <w:i/>
          <w:iCs/>
          <w:sz w:val="26"/>
          <w:szCs w:val="26"/>
        </w:rPr>
        <w:t>.</w:t>
      </w:r>
      <w:r w:rsidRPr="00E80167">
        <w:rPr>
          <w:rFonts w:ascii="Century Schoolbook" w:hAnsi="Century Schoolbook"/>
          <w:sz w:val="26"/>
          <w:szCs w:val="26"/>
        </w:rPr>
        <w:t> </w:t>
      </w:r>
      <w:r w:rsidRPr="00761873">
        <w:rPr>
          <w:rFonts w:ascii="Century Schoolbook" w:hAnsi="Century Schoolbook"/>
          <w:strike/>
          <w:sz w:val="26"/>
          <w:szCs w:val="26"/>
        </w:rPr>
        <w:t>Before the summary consent decree is entered, either party may request to withdraw from the agreement. If the court allows a party to withdraw, the case will continue as a dissolution or separation proceeding upon paying the additional required fees and filing the appropriate pleadings under Rule 23. The court must dismiss the case if the parties jointly withdraw from the summary consent decree agreement.</w:t>
      </w:r>
    </w:p>
    <w:p w14:paraId="64B37D28" w14:textId="0A645611" w:rsidR="006270B5" w:rsidRPr="00761873" w:rsidRDefault="006270B5" w:rsidP="006270B5">
      <w:pPr>
        <w:jc w:val="both"/>
        <w:rPr>
          <w:rFonts w:ascii="Century Schoolbook" w:hAnsi="Century Schoolbook"/>
          <w:sz w:val="26"/>
          <w:szCs w:val="26"/>
          <w:u w:val="single"/>
        </w:rPr>
      </w:pPr>
      <w:r>
        <w:rPr>
          <w:rFonts w:ascii="Century Schoolbook" w:hAnsi="Century Schoolbook"/>
          <w:sz w:val="26"/>
          <w:szCs w:val="26"/>
          <w:u w:val="single"/>
        </w:rPr>
        <w:t>(d)</w:t>
      </w:r>
      <w:r w:rsidRPr="00761873">
        <w:rPr>
          <w:rFonts w:ascii="Century Schoolbook" w:hAnsi="Century Schoolbook"/>
          <w:sz w:val="26"/>
          <w:szCs w:val="26"/>
          <w:u w:val="single"/>
        </w:rPr>
        <w:t>(4) </w:t>
      </w:r>
      <w:r w:rsidRPr="00761873">
        <w:rPr>
          <w:rFonts w:ascii="Century Schoolbook" w:hAnsi="Century Schoolbook"/>
          <w:i/>
          <w:iCs/>
          <w:sz w:val="26"/>
          <w:szCs w:val="26"/>
          <w:u w:val="single"/>
        </w:rPr>
        <w:t>Unilateral</w:t>
      </w:r>
      <w:r w:rsidRPr="00761873">
        <w:rPr>
          <w:rFonts w:ascii="Century Schoolbook" w:hAnsi="Century Schoolbook"/>
          <w:sz w:val="26"/>
          <w:szCs w:val="26"/>
          <w:u w:val="single"/>
        </w:rPr>
        <w:t xml:space="preserve"> </w:t>
      </w:r>
      <w:r w:rsidRPr="00761873">
        <w:rPr>
          <w:rFonts w:ascii="Century Schoolbook" w:hAnsi="Century Schoolbook"/>
          <w:i/>
          <w:iCs/>
          <w:sz w:val="26"/>
          <w:szCs w:val="26"/>
          <w:u w:val="single"/>
        </w:rPr>
        <w:t>Notice of Intent to Withdraw.</w:t>
      </w:r>
      <w:r w:rsidRPr="00761873">
        <w:rPr>
          <w:rFonts w:ascii="Century Schoolbook" w:hAnsi="Century Schoolbook"/>
          <w:sz w:val="26"/>
          <w:szCs w:val="26"/>
          <w:u w:val="single"/>
        </w:rPr>
        <w:t xml:space="preserve"> Before the summary consent judgment is entered, either party may request to withdraw from the agreement. If the court allows a party to withdraw, the case will continue as a petition </w:t>
      </w:r>
      <w:r w:rsidRPr="00314F80">
        <w:rPr>
          <w:rFonts w:ascii="Century Schoolbook" w:hAnsi="Century Schoolbook"/>
          <w:strike/>
          <w:color w:val="FF0000"/>
          <w:sz w:val="26"/>
          <w:szCs w:val="26"/>
          <w:u w:val="single"/>
        </w:rPr>
        <w:t>to establish paternity or maternity and/or a petition to establish legal decision-making, parenting time, and child support</w:t>
      </w:r>
      <w:r w:rsidRPr="00314F80">
        <w:rPr>
          <w:rFonts w:ascii="Century Schoolbook" w:hAnsi="Century Schoolbook"/>
          <w:color w:val="FF0000"/>
          <w:sz w:val="26"/>
          <w:szCs w:val="26"/>
          <w:u w:val="single"/>
        </w:rPr>
        <w:t xml:space="preserve"> </w:t>
      </w:r>
      <w:r w:rsidR="00314F80">
        <w:rPr>
          <w:rFonts w:ascii="Century Schoolbook" w:hAnsi="Century Schoolbook"/>
          <w:color w:val="FF0000"/>
          <w:sz w:val="26"/>
          <w:szCs w:val="26"/>
          <w:u w:val="single"/>
        </w:rPr>
        <w:t xml:space="preserve">for dissolution, </w:t>
      </w:r>
      <w:proofErr w:type="spellStart"/>
      <w:r w:rsidR="00314F80">
        <w:rPr>
          <w:rFonts w:ascii="Century Schoolbook" w:hAnsi="Century Schoolbook"/>
          <w:color w:val="FF0000"/>
          <w:sz w:val="26"/>
          <w:szCs w:val="26"/>
          <w:u w:val="single"/>
        </w:rPr>
        <w:t>elgal</w:t>
      </w:r>
      <w:proofErr w:type="spellEnd"/>
      <w:r w:rsidR="00314F80">
        <w:rPr>
          <w:rFonts w:ascii="Century Schoolbook" w:hAnsi="Century Schoolbook"/>
          <w:color w:val="FF0000"/>
          <w:sz w:val="26"/>
          <w:szCs w:val="26"/>
          <w:u w:val="single"/>
        </w:rPr>
        <w:t xml:space="preserve"> separation, or annulment </w:t>
      </w:r>
      <w:r w:rsidRPr="00761873">
        <w:rPr>
          <w:rFonts w:ascii="Century Schoolbook" w:hAnsi="Century Schoolbook"/>
          <w:sz w:val="26"/>
          <w:szCs w:val="26"/>
          <w:u w:val="single"/>
        </w:rPr>
        <w:t>upon payment of the additional required fees and the filing of appropriate pleadings under Rule 23.</w:t>
      </w:r>
      <w:r>
        <w:rPr>
          <w:rFonts w:ascii="Century Schoolbook" w:hAnsi="Century Schoolbook"/>
          <w:sz w:val="26"/>
          <w:szCs w:val="26"/>
          <w:u w:val="single"/>
        </w:rPr>
        <w:t xml:space="preserve"> The party that did not file the request to withdraw will be deemed the petitioner, and the party that filed the request to withdraw will be deemed the respondent.</w:t>
      </w:r>
    </w:p>
    <w:p w14:paraId="54D5663C"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(5) </w:t>
      </w:r>
      <w:r w:rsidRPr="00761873">
        <w:rPr>
          <w:rFonts w:ascii="Century Schoolbook" w:hAnsi="Century Schoolbook"/>
          <w:i/>
          <w:iCs/>
          <w:sz w:val="26"/>
          <w:szCs w:val="26"/>
          <w:u w:val="single"/>
        </w:rPr>
        <w:t>Joint Notice of Intent to Withdraw.</w:t>
      </w:r>
      <w:r w:rsidRPr="00761873">
        <w:rPr>
          <w:rFonts w:ascii="Century Schoolbook" w:hAnsi="Century Schoolbook"/>
          <w:sz w:val="26"/>
          <w:szCs w:val="26"/>
          <w:u w:val="single"/>
        </w:rPr>
        <w:t xml:space="preserve"> Before the summary consent judgment is entered, the parties may jointly withdraw from the summary consent judgment agreement, and if they do so, the court must dismiss the case. </w:t>
      </w:r>
    </w:p>
    <w:p w14:paraId="19BFEB8F" w14:textId="77777777" w:rsidR="006270B5" w:rsidRDefault="006270B5" w:rsidP="006270B5">
      <w:pPr>
        <w:jc w:val="both"/>
        <w:rPr>
          <w:rFonts w:ascii="Century Schoolbook" w:hAnsi="Century Schoolbook"/>
          <w:sz w:val="26"/>
          <w:szCs w:val="26"/>
        </w:rPr>
      </w:pPr>
      <w:r>
        <w:rPr>
          <w:rFonts w:ascii="Century Schoolbook" w:hAnsi="Century Schoolbook"/>
          <w:sz w:val="26"/>
          <w:szCs w:val="26"/>
        </w:rPr>
        <w:br w:type="page"/>
      </w:r>
    </w:p>
    <w:p w14:paraId="72BC85AB" w14:textId="77777777" w:rsidR="006270B5"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lastRenderedPageBreak/>
        <w:t xml:space="preserve">Rule 45.2. Summary </w:t>
      </w:r>
      <w:proofErr w:type="gramStart"/>
      <w:r w:rsidRPr="00761873">
        <w:rPr>
          <w:rFonts w:ascii="Century Schoolbook" w:hAnsi="Century Schoolbook"/>
          <w:sz w:val="26"/>
          <w:szCs w:val="26"/>
          <w:u w:val="single"/>
        </w:rPr>
        <w:t>Consent  Judgment</w:t>
      </w:r>
      <w:proofErr w:type="gramEnd"/>
      <w:r w:rsidRPr="00761873">
        <w:rPr>
          <w:rFonts w:ascii="Century Schoolbook" w:hAnsi="Century Schoolbook"/>
          <w:sz w:val="26"/>
          <w:szCs w:val="26"/>
          <w:u w:val="single"/>
        </w:rPr>
        <w:t>, Maternity or Paternity, Legal Decision-Making, Parenting Time, and Child Support for a Child Whose Paternity Has Been Established.</w:t>
      </w:r>
    </w:p>
    <w:p w14:paraId="02D8748F" w14:textId="77777777" w:rsidR="006270B5" w:rsidRPr="00761873" w:rsidRDefault="006270B5" w:rsidP="006270B5">
      <w:pPr>
        <w:jc w:val="both"/>
        <w:rPr>
          <w:rFonts w:ascii="Century Schoolbook" w:hAnsi="Century Schoolbook"/>
          <w:sz w:val="26"/>
          <w:szCs w:val="26"/>
          <w:u w:val="single"/>
        </w:rPr>
      </w:pPr>
    </w:p>
    <w:p w14:paraId="4560DE37"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(a) Generally.</w:t>
      </w:r>
      <w:r w:rsidRPr="00761873">
        <w:rPr>
          <w:rFonts w:ascii="Century Schoolbook" w:hAnsi="Century Schoolbook"/>
          <w:sz w:val="26"/>
          <w:szCs w:val="26"/>
          <w:u w:val="single"/>
        </w:rPr>
        <w:t> If the parties reach a comprehensive settlement on all issues before either party has petitioned to establish maternity or paternity and/or to establish legal decision-making, parenting time, and child support for a child whose paternity has been established, they may file a summary consent petition and response and pay the appropriate fees. This rule does not apply to third-party matters.</w:t>
      </w:r>
    </w:p>
    <w:p w14:paraId="3039CFC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(b) Summary Consent Petition and Response.</w:t>
      </w:r>
      <w:r w:rsidRPr="00761873">
        <w:rPr>
          <w:rFonts w:ascii="Century Schoolbook" w:hAnsi="Century Schoolbook"/>
          <w:sz w:val="26"/>
          <w:szCs w:val="26"/>
          <w:u w:val="single"/>
        </w:rPr>
        <w:t> The summary consent petition and response must be a single document captioned as “Summary Consent Petition and Response – Establishment of Maternity or Paternity” or “Summary Consent Petition and Response – Establishment of Legal Decision-Making, Parenting Time, and Child Support” and include:</w:t>
      </w:r>
    </w:p>
    <w:p w14:paraId="34E5D3EC"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(1) the birth date, occupation, and address of each party and the length of each party's domicile in </w:t>
      </w:r>
      <w:proofErr w:type="gramStart"/>
      <w:r w:rsidRPr="00761873">
        <w:rPr>
          <w:rFonts w:ascii="Century Schoolbook" w:hAnsi="Century Schoolbook"/>
          <w:sz w:val="26"/>
          <w:szCs w:val="26"/>
          <w:u w:val="single"/>
        </w:rPr>
        <w:t>Arizona;</w:t>
      </w:r>
      <w:proofErr w:type="gramEnd"/>
    </w:p>
    <w:p w14:paraId="6FFFE683"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(2) the names, birth dates, and addresses of all living children (natural or adopted) for whom a judgment of maternity or paternity and/or a judgment for legal decision-making and parenting time is </w:t>
      </w:r>
      <w:proofErr w:type="gramStart"/>
      <w:r w:rsidRPr="00761873">
        <w:rPr>
          <w:rFonts w:ascii="Century Schoolbook" w:hAnsi="Century Schoolbook"/>
          <w:sz w:val="26"/>
          <w:szCs w:val="26"/>
          <w:u w:val="single"/>
        </w:rPr>
        <w:t>sought;</w:t>
      </w:r>
      <w:proofErr w:type="gramEnd"/>
    </w:p>
    <w:p w14:paraId="473B315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(3) a statement of the grounds for the court's jurisdiction and </w:t>
      </w:r>
      <w:proofErr w:type="gramStart"/>
      <w:r w:rsidRPr="00761873">
        <w:rPr>
          <w:rFonts w:ascii="Century Schoolbook" w:hAnsi="Century Schoolbook"/>
          <w:sz w:val="26"/>
          <w:szCs w:val="26"/>
          <w:u w:val="single"/>
        </w:rPr>
        <w:t>venue;</w:t>
      </w:r>
      <w:proofErr w:type="gramEnd"/>
    </w:p>
    <w:p w14:paraId="44E1ADB4"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(4) a statement that formal service of process is </w:t>
      </w:r>
      <w:proofErr w:type="gramStart"/>
      <w:r w:rsidRPr="00761873">
        <w:rPr>
          <w:rFonts w:ascii="Century Schoolbook" w:hAnsi="Century Schoolbook"/>
          <w:sz w:val="26"/>
          <w:szCs w:val="26"/>
          <w:u w:val="single"/>
        </w:rPr>
        <w:t>waived;</w:t>
      </w:r>
      <w:proofErr w:type="gramEnd"/>
    </w:p>
    <w:p w14:paraId="20D1A1F7"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(5) a statement about the relevant facts supporting maternity or </w:t>
      </w:r>
      <w:proofErr w:type="gramStart"/>
      <w:r w:rsidRPr="00761873">
        <w:rPr>
          <w:rFonts w:ascii="Century Schoolbook" w:hAnsi="Century Schoolbook"/>
          <w:sz w:val="26"/>
          <w:szCs w:val="26"/>
          <w:u w:val="single"/>
        </w:rPr>
        <w:t>paternity;</w:t>
      </w:r>
      <w:proofErr w:type="gramEnd"/>
      <w:r w:rsidRPr="00761873">
        <w:rPr>
          <w:rFonts w:ascii="Century Schoolbook" w:hAnsi="Century Schoolbook"/>
          <w:sz w:val="26"/>
          <w:szCs w:val="26"/>
          <w:u w:val="single"/>
        </w:rPr>
        <w:t xml:space="preserve"> </w:t>
      </w:r>
    </w:p>
    <w:p w14:paraId="253F56D3"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 xml:space="preserve">(6) a statement that the parties have resolved all issues about maternity or paternity and/or legal decision-making, parenting time, and child </w:t>
      </w:r>
      <w:proofErr w:type="gramStart"/>
      <w:r w:rsidRPr="00761873">
        <w:rPr>
          <w:rFonts w:ascii="Century Schoolbook" w:hAnsi="Century Schoolbook"/>
          <w:sz w:val="26"/>
          <w:szCs w:val="26"/>
          <w:u w:val="single"/>
        </w:rPr>
        <w:t>support;</w:t>
      </w:r>
      <w:proofErr w:type="gramEnd"/>
    </w:p>
    <w:p w14:paraId="09F2AB2E"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(7) a request that the court enter a judgment of maternity or paternity and/or legal decision-making, parenting time, and child support, and a statement of the relief the parties jointly seek; and</w:t>
      </w:r>
    </w:p>
    <w:p w14:paraId="3D9DC4F9"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(8) both parties' signatures.</w:t>
      </w:r>
    </w:p>
    <w:p w14:paraId="689A6650"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(c) Preliminary Injunction.</w:t>
      </w:r>
      <w:r w:rsidRPr="00761873">
        <w:rPr>
          <w:rFonts w:ascii="Century Schoolbook" w:hAnsi="Century Schoolbook"/>
          <w:sz w:val="26"/>
          <w:szCs w:val="26"/>
          <w:u w:val="single"/>
        </w:rPr>
        <w:t> Notwithstanding the requirements of Rule 25(b) or (c), when filing a summary consent petition and response, the parties must present two copies of a preliminary injunction to the clerk to issue under A.R.S. § 25-808. The clerk will issue the injunctions and return copies to the parties.</w:t>
      </w:r>
    </w:p>
    <w:p w14:paraId="0653ED72"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b/>
          <w:bCs/>
          <w:sz w:val="26"/>
          <w:szCs w:val="26"/>
          <w:u w:val="single"/>
        </w:rPr>
        <w:t>(d) Entry of a Summary Consent Judgment.</w:t>
      </w:r>
    </w:p>
    <w:p w14:paraId="5CC8F4D8"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(1) </w:t>
      </w:r>
      <w:r w:rsidRPr="00761873">
        <w:rPr>
          <w:rFonts w:ascii="Century Schoolbook" w:hAnsi="Century Schoolbook"/>
          <w:i/>
          <w:iCs/>
          <w:sz w:val="26"/>
          <w:szCs w:val="26"/>
          <w:u w:val="single"/>
        </w:rPr>
        <w:t>Agreements and Proposed Decree.</w:t>
      </w:r>
      <w:r w:rsidRPr="00761873">
        <w:rPr>
          <w:rFonts w:ascii="Century Schoolbook" w:hAnsi="Century Schoolbook"/>
          <w:sz w:val="26"/>
          <w:szCs w:val="26"/>
          <w:u w:val="single"/>
        </w:rPr>
        <w:t> Upon filing the summary consent petition and response, the parties must submit to the court all required final settlement documents, including their written agreements and the proposed judgment.</w:t>
      </w:r>
    </w:p>
    <w:p w14:paraId="2465F8C8"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(2) </w:t>
      </w:r>
      <w:r w:rsidRPr="00761873">
        <w:rPr>
          <w:rFonts w:ascii="Century Schoolbook" w:hAnsi="Century Schoolbook"/>
          <w:i/>
          <w:iCs/>
          <w:sz w:val="26"/>
          <w:szCs w:val="26"/>
          <w:u w:val="single"/>
        </w:rPr>
        <w:t>Content of the Proposed Judgment.</w:t>
      </w:r>
      <w:r w:rsidRPr="00761873">
        <w:rPr>
          <w:rFonts w:ascii="Century Schoolbook" w:hAnsi="Century Schoolbook"/>
          <w:sz w:val="26"/>
          <w:szCs w:val="26"/>
          <w:u w:val="single"/>
        </w:rPr>
        <w:t xml:space="preserve"> The proposed judgment's content must meet the requirements of Rule 45(b) and (c), as applicable. </w:t>
      </w:r>
    </w:p>
    <w:p w14:paraId="7705E339"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lastRenderedPageBreak/>
        <w:t>(3</w:t>
      </w:r>
      <w:proofErr w:type="gramStart"/>
      <w:r w:rsidRPr="00761873">
        <w:rPr>
          <w:rFonts w:ascii="Century Schoolbook" w:hAnsi="Century Schoolbook"/>
          <w:sz w:val="26"/>
          <w:szCs w:val="26"/>
          <w:u w:val="single"/>
        </w:rPr>
        <w:t>) </w:t>
      </w:r>
      <w:r w:rsidRPr="00761873">
        <w:rPr>
          <w:rFonts w:ascii="Century Schoolbook" w:hAnsi="Century Schoolbook"/>
          <w:i/>
          <w:iCs/>
          <w:sz w:val="26"/>
          <w:szCs w:val="26"/>
          <w:u w:val="single"/>
        </w:rPr>
        <w:t xml:space="preserve"> Hearing</w:t>
      </w:r>
      <w:proofErr w:type="gramEnd"/>
      <w:r w:rsidRPr="00761873">
        <w:rPr>
          <w:rFonts w:ascii="Century Schoolbook" w:hAnsi="Century Schoolbook"/>
          <w:i/>
          <w:iCs/>
          <w:sz w:val="26"/>
          <w:szCs w:val="26"/>
          <w:u w:val="single"/>
        </w:rPr>
        <w:t>.</w:t>
      </w:r>
      <w:r w:rsidRPr="00761873">
        <w:rPr>
          <w:rFonts w:ascii="Century Schoolbook" w:hAnsi="Century Schoolbook"/>
          <w:sz w:val="26"/>
          <w:szCs w:val="26"/>
          <w:u w:val="single"/>
        </w:rPr>
        <w:t xml:space="preserve">  The court may enter a summary consent judgment without </w:t>
      </w:r>
      <w:proofErr w:type="gramStart"/>
      <w:r w:rsidRPr="00761873">
        <w:rPr>
          <w:rFonts w:ascii="Century Schoolbook" w:hAnsi="Century Schoolbook"/>
          <w:sz w:val="26"/>
          <w:szCs w:val="26"/>
          <w:u w:val="single"/>
        </w:rPr>
        <w:t>a hearing</w:t>
      </w:r>
      <w:proofErr w:type="gramEnd"/>
      <w:r w:rsidRPr="00761873">
        <w:rPr>
          <w:rFonts w:ascii="Century Schoolbook" w:hAnsi="Century Schoolbook"/>
          <w:sz w:val="26"/>
          <w:szCs w:val="26"/>
          <w:u w:val="single"/>
        </w:rPr>
        <w:t xml:space="preserve"> if it has determined that the parties have met the requirements for a summary consent judgment. Alternatively, the court may set a hearing on specified issues or enter other appropriate orders. The court must set the matter for hearing or rule on the lodged summary consent judgment no later </w:t>
      </w:r>
      <w:proofErr w:type="gramStart"/>
      <w:r w:rsidRPr="00761873">
        <w:rPr>
          <w:rFonts w:ascii="Century Schoolbook" w:hAnsi="Century Schoolbook"/>
          <w:sz w:val="26"/>
          <w:szCs w:val="26"/>
          <w:u w:val="single"/>
        </w:rPr>
        <w:t>than  21</w:t>
      </w:r>
      <w:proofErr w:type="gramEnd"/>
      <w:r w:rsidRPr="00761873">
        <w:rPr>
          <w:rFonts w:ascii="Century Schoolbook" w:hAnsi="Century Schoolbook"/>
          <w:sz w:val="26"/>
          <w:szCs w:val="26"/>
          <w:u w:val="single"/>
        </w:rPr>
        <w:t xml:space="preserve"> days after the filing date.</w:t>
      </w:r>
    </w:p>
    <w:p w14:paraId="37EB085B"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(4) </w:t>
      </w:r>
      <w:r w:rsidRPr="00761873">
        <w:rPr>
          <w:rFonts w:ascii="Century Schoolbook" w:hAnsi="Century Schoolbook"/>
          <w:i/>
          <w:iCs/>
          <w:sz w:val="26"/>
          <w:szCs w:val="26"/>
          <w:u w:val="single"/>
        </w:rPr>
        <w:t>Unilateral</w:t>
      </w:r>
      <w:r w:rsidRPr="00761873">
        <w:rPr>
          <w:rFonts w:ascii="Century Schoolbook" w:hAnsi="Century Schoolbook"/>
          <w:sz w:val="26"/>
          <w:szCs w:val="26"/>
          <w:u w:val="single"/>
        </w:rPr>
        <w:t xml:space="preserve"> </w:t>
      </w:r>
      <w:r w:rsidRPr="00761873">
        <w:rPr>
          <w:rFonts w:ascii="Century Schoolbook" w:hAnsi="Century Schoolbook"/>
          <w:i/>
          <w:iCs/>
          <w:sz w:val="26"/>
          <w:szCs w:val="26"/>
          <w:u w:val="single"/>
        </w:rPr>
        <w:t>Notice of Intent to Withdraw.</w:t>
      </w:r>
      <w:r w:rsidRPr="00761873">
        <w:rPr>
          <w:rFonts w:ascii="Century Schoolbook" w:hAnsi="Century Schoolbook"/>
          <w:sz w:val="26"/>
          <w:szCs w:val="26"/>
          <w:u w:val="single"/>
        </w:rPr>
        <w:t> Before the summary consent judgment is entered, either party may request to withdraw from the agreement. If the court allows a party to withdraw, the case will continue as a petition to establish paternity or maternity and/or a petition to establish legal decision-making, parenting time, and child support upon payment of the additional required fees and the filing of appropriate pleadings under Rule 23.</w:t>
      </w:r>
      <w:r>
        <w:rPr>
          <w:rFonts w:ascii="Century Schoolbook" w:hAnsi="Century Schoolbook"/>
          <w:sz w:val="26"/>
          <w:szCs w:val="26"/>
          <w:u w:val="single"/>
        </w:rPr>
        <w:t xml:space="preserve"> The party that did not file the request to withdraw will be deemed the petitioner, and the party that filed the request to withdraw will be deemed the respondent.</w:t>
      </w:r>
    </w:p>
    <w:p w14:paraId="4EAC4E45" w14:textId="77777777" w:rsidR="006270B5" w:rsidRPr="00761873" w:rsidRDefault="006270B5" w:rsidP="006270B5">
      <w:pPr>
        <w:jc w:val="both"/>
        <w:rPr>
          <w:rFonts w:ascii="Century Schoolbook" w:hAnsi="Century Schoolbook"/>
          <w:sz w:val="26"/>
          <w:szCs w:val="26"/>
          <w:u w:val="single"/>
        </w:rPr>
      </w:pPr>
      <w:r w:rsidRPr="00761873">
        <w:rPr>
          <w:rFonts w:ascii="Century Schoolbook" w:hAnsi="Century Schoolbook"/>
          <w:sz w:val="26"/>
          <w:szCs w:val="26"/>
          <w:u w:val="single"/>
        </w:rPr>
        <w:t>(5) </w:t>
      </w:r>
      <w:r w:rsidRPr="00761873">
        <w:rPr>
          <w:rFonts w:ascii="Century Schoolbook" w:hAnsi="Century Schoolbook"/>
          <w:i/>
          <w:iCs/>
          <w:sz w:val="26"/>
          <w:szCs w:val="26"/>
          <w:u w:val="single"/>
        </w:rPr>
        <w:t>Joint Notice of Intent to Withdraw.</w:t>
      </w:r>
      <w:r w:rsidRPr="00761873">
        <w:rPr>
          <w:rFonts w:ascii="Century Schoolbook" w:hAnsi="Century Schoolbook"/>
          <w:sz w:val="26"/>
          <w:szCs w:val="26"/>
          <w:u w:val="single"/>
        </w:rPr>
        <w:t xml:space="preserve"> Before the summary consent judgment is entered, the parties may jointly withdraw from the summary consent judgment agreement, and if they do so, the court must dismiss the case. </w:t>
      </w:r>
    </w:p>
    <w:p w14:paraId="53F95290" w14:textId="77777777" w:rsidR="00656F65" w:rsidRPr="005F6F54" w:rsidRDefault="00656F65" w:rsidP="00B44D1E">
      <w:pPr>
        <w:jc w:val="both"/>
        <w:rPr>
          <w:rFonts w:ascii="Century Schoolbook" w:hAnsi="Century Schoolbook"/>
          <w:sz w:val="26"/>
          <w:szCs w:val="26"/>
        </w:rPr>
      </w:pPr>
    </w:p>
    <w:sectPr w:rsidR="00656F65" w:rsidRPr="005F6F54" w:rsidSect="00F2679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0172"/>
      <w:docPartObj>
        <w:docPartGallery w:val="Page Numbers (Bottom of Page)"/>
        <w:docPartUnique/>
      </w:docPartObj>
    </w:sdtPr>
    <w:sdtEndPr>
      <w:rPr>
        <w:noProof/>
      </w:rPr>
    </w:sdtEndPr>
    <w:sdtContent>
      <w:p w14:paraId="12D48414" w14:textId="38875581" w:rsidR="00F2679D" w:rsidRDefault="00F26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140BB" w14:textId="77777777" w:rsidR="00F2679D" w:rsidRDefault="00F2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72" w14:textId="53C7B5F3" w:rsidR="00F2679D" w:rsidRDefault="00F2679D">
    <w:pPr>
      <w:pStyle w:val="Footer"/>
      <w:jc w:val="center"/>
    </w:pPr>
  </w:p>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0B2E"/>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2BEB"/>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0909"/>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4CB0"/>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27DC"/>
    <w:rsid w:val="00314F80"/>
    <w:rsid w:val="00316C1C"/>
    <w:rsid w:val="0032354F"/>
    <w:rsid w:val="003357AF"/>
    <w:rsid w:val="00335AF8"/>
    <w:rsid w:val="00340337"/>
    <w:rsid w:val="003435EF"/>
    <w:rsid w:val="003533B4"/>
    <w:rsid w:val="0035709E"/>
    <w:rsid w:val="00376CC4"/>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95964"/>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A1EDB"/>
    <w:rsid w:val="005B0047"/>
    <w:rsid w:val="005B5507"/>
    <w:rsid w:val="005B6C1F"/>
    <w:rsid w:val="005C08D4"/>
    <w:rsid w:val="005C163E"/>
    <w:rsid w:val="005C39F7"/>
    <w:rsid w:val="005C3F6A"/>
    <w:rsid w:val="005C49A0"/>
    <w:rsid w:val="005C79BD"/>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270B5"/>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0919"/>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249D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B5CD0"/>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5669"/>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0771"/>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679D"/>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A4D0C"/>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 w:type="character" w:customStyle="1" w:styleId="HeaderChar">
    <w:name w:val="Header Char"/>
    <w:basedOn w:val="DefaultParagraphFont"/>
    <w:link w:val="Header"/>
    <w:uiPriority w:val="99"/>
    <w:rsid w:val="00F267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1255</Words>
  <Characters>6680</Characters>
  <Application>Microsoft Office Word</Application>
  <DocSecurity>0</DocSecurity>
  <Lines>148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3</cp:revision>
  <dcterms:created xsi:type="dcterms:W3CDTF">2026-05-15T20:24:00Z</dcterms:created>
  <dcterms:modified xsi:type="dcterms:W3CDTF">2026-05-15T20:34:00Z</dcterms:modified>
</cp:coreProperties>
</file>