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97791B8" w14:textId="77777777" w:rsidR="00DA1BF3" w:rsidRPr="000415DE" w:rsidRDefault="00DA1BF3" w:rsidP="00DA1BF3">
            <w:pPr>
              <w:widowControl w:val="0"/>
              <w:spacing w:line="240" w:lineRule="exact"/>
              <w:ind w:left="108" w:right="252"/>
              <w:rPr>
                <w:sz w:val="28"/>
                <w:szCs w:val="28"/>
              </w:rPr>
            </w:pPr>
            <w:bookmarkStart w:id="0" w:name="_zzmpFIXED_CounselTable"/>
            <w:r w:rsidRPr="000415DE">
              <w:rPr>
                <w:sz w:val="28"/>
                <w:szCs w:val="28"/>
              </w:rPr>
              <w:t>Randal McDonald (Bar No. 032008)</w:t>
            </w:r>
          </w:p>
          <w:p w14:paraId="2B1E340F" w14:textId="77777777" w:rsidR="00DA1BF3" w:rsidRPr="000415DE" w:rsidRDefault="00DA1BF3" w:rsidP="00DA1BF3">
            <w:pPr>
              <w:widowControl w:val="0"/>
              <w:spacing w:line="240" w:lineRule="exact"/>
              <w:ind w:left="108" w:right="252"/>
              <w:rPr>
                <w:sz w:val="28"/>
                <w:szCs w:val="28"/>
              </w:rPr>
            </w:pPr>
            <w:r w:rsidRPr="000415DE">
              <w:rPr>
                <w:sz w:val="28"/>
                <w:szCs w:val="28"/>
              </w:rPr>
              <w:t>Robert Dormady (Bar No. 031755)</w:t>
            </w:r>
          </w:p>
          <w:p w14:paraId="40BFF2B9" w14:textId="77777777" w:rsidR="00DA1BF3" w:rsidRPr="000415DE" w:rsidRDefault="00DA1BF3" w:rsidP="00DA1BF3">
            <w:pPr>
              <w:widowControl w:val="0"/>
              <w:spacing w:line="240" w:lineRule="exact"/>
              <w:ind w:left="108" w:right="252"/>
              <w:rPr>
                <w:sz w:val="28"/>
                <w:szCs w:val="28"/>
              </w:rPr>
            </w:pPr>
            <w:r w:rsidRPr="000415DE">
              <w:rPr>
                <w:sz w:val="28"/>
                <w:szCs w:val="28"/>
              </w:rPr>
              <w:t>Andi Humphreys (Bar No. 037814)</w:t>
            </w:r>
          </w:p>
          <w:p w14:paraId="1ECF83CB" w14:textId="77777777" w:rsidR="00DA1BF3" w:rsidRPr="000415DE" w:rsidRDefault="00DA1BF3" w:rsidP="00DA1BF3">
            <w:pPr>
              <w:widowControl w:val="0"/>
              <w:spacing w:line="240" w:lineRule="exact"/>
              <w:ind w:left="108" w:right="252"/>
              <w:rPr>
                <w:b/>
                <w:sz w:val="28"/>
                <w:szCs w:val="28"/>
              </w:rPr>
            </w:pPr>
            <w:r w:rsidRPr="000415DE">
              <w:rPr>
                <w:b/>
                <w:sz w:val="28"/>
                <w:szCs w:val="28"/>
              </w:rPr>
              <w:t>Post-Conviction Legal Clinic</w:t>
            </w:r>
          </w:p>
          <w:p w14:paraId="19FFBB65" w14:textId="77777777" w:rsidR="00DA1BF3" w:rsidRPr="000415DE" w:rsidRDefault="00DA1BF3" w:rsidP="00DA1BF3">
            <w:pPr>
              <w:widowControl w:val="0"/>
              <w:spacing w:line="240" w:lineRule="exact"/>
              <w:ind w:firstLine="110"/>
              <w:rPr>
                <w:sz w:val="28"/>
                <w:szCs w:val="28"/>
              </w:rPr>
            </w:pPr>
            <w:r w:rsidRPr="000415DE">
              <w:rPr>
                <w:sz w:val="28"/>
                <w:szCs w:val="28"/>
              </w:rPr>
              <w:t>Sandra Day O’Connor College of Law</w:t>
            </w:r>
          </w:p>
          <w:p w14:paraId="02C4D176" w14:textId="77777777" w:rsidR="00DA1BF3" w:rsidRPr="000415DE" w:rsidRDefault="00DA1BF3" w:rsidP="00DA1BF3">
            <w:pPr>
              <w:widowControl w:val="0"/>
              <w:spacing w:line="240" w:lineRule="exact"/>
              <w:ind w:left="108" w:right="252"/>
              <w:rPr>
                <w:sz w:val="28"/>
                <w:szCs w:val="28"/>
              </w:rPr>
            </w:pPr>
            <w:r w:rsidRPr="000415DE">
              <w:rPr>
                <w:sz w:val="28"/>
                <w:szCs w:val="28"/>
              </w:rPr>
              <w:t>111 E. Taylor St.</w:t>
            </w:r>
          </w:p>
          <w:p w14:paraId="53A43F15" w14:textId="77777777" w:rsidR="00DA1BF3" w:rsidRPr="000415DE" w:rsidRDefault="00DA1BF3" w:rsidP="00DA1BF3">
            <w:pPr>
              <w:widowControl w:val="0"/>
              <w:spacing w:line="240" w:lineRule="exact"/>
              <w:ind w:left="108" w:right="252"/>
              <w:rPr>
                <w:sz w:val="28"/>
                <w:szCs w:val="28"/>
              </w:rPr>
            </w:pPr>
            <w:r w:rsidRPr="000415DE">
              <w:rPr>
                <w:sz w:val="28"/>
                <w:szCs w:val="28"/>
              </w:rPr>
              <w:t>Phoenix, AZ 850004</w:t>
            </w:r>
            <w:r w:rsidRPr="000415DE" w:rsidDel="00564553">
              <w:rPr>
                <w:sz w:val="28"/>
                <w:szCs w:val="28"/>
              </w:rPr>
              <w:t xml:space="preserve"> </w:t>
            </w:r>
          </w:p>
          <w:p w14:paraId="5F14F0B4" w14:textId="77777777" w:rsidR="00DA1BF3" w:rsidRPr="000415DE" w:rsidRDefault="00DA1BF3" w:rsidP="00DA1BF3">
            <w:pPr>
              <w:widowControl w:val="0"/>
              <w:spacing w:line="240" w:lineRule="exact"/>
              <w:ind w:left="108" w:right="252"/>
              <w:rPr>
                <w:sz w:val="28"/>
                <w:szCs w:val="28"/>
              </w:rPr>
            </w:pPr>
            <w:r w:rsidRPr="000415DE">
              <w:rPr>
                <w:sz w:val="28"/>
                <w:szCs w:val="28"/>
              </w:rPr>
              <w:t>(480) 965-2874</w:t>
            </w:r>
          </w:p>
          <w:p w14:paraId="416325B2" w14:textId="77777777" w:rsidR="00DA1BF3" w:rsidRPr="000415DE" w:rsidRDefault="00DA1BF3" w:rsidP="00DA1BF3">
            <w:pPr>
              <w:widowControl w:val="0"/>
              <w:spacing w:line="240" w:lineRule="exact"/>
              <w:ind w:left="108" w:right="252"/>
              <w:rPr>
                <w:sz w:val="28"/>
                <w:szCs w:val="28"/>
              </w:rPr>
            </w:pPr>
            <w:hyperlink r:id="rId8" w:history="1">
              <w:r w:rsidRPr="000415DE">
                <w:rPr>
                  <w:color w:val="0000FF"/>
                  <w:sz w:val="28"/>
                  <w:szCs w:val="28"/>
                  <w:u w:val="single"/>
                </w:rPr>
                <w:t>randal.mcdonald@asu.edu</w:t>
              </w:r>
            </w:hyperlink>
          </w:p>
          <w:p w14:paraId="13AA049E" w14:textId="77777777" w:rsidR="00DA1BF3" w:rsidRPr="000415DE" w:rsidRDefault="00DA1BF3" w:rsidP="00DA1BF3">
            <w:pPr>
              <w:widowControl w:val="0"/>
              <w:spacing w:line="240" w:lineRule="exact"/>
              <w:ind w:left="108" w:right="252"/>
              <w:rPr>
                <w:sz w:val="28"/>
                <w:szCs w:val="28"/>
              </w:rPr>
            </w:pPr>
            <w:hyperlink r:id="rId9" w:history="1">
              <w:r w:rsidRPr="000415DE">
                <w:rPr>
                  <w:color w:val="0000FF"/>
                  <w:sz w:val="28"/>
                  <w:szCs w:val="28"/>
                  <w:u w:val="single"/>
                </w:rPr>
                <w:t>robert.dormady@asu.edu</w:t>
              </w:r>
            </w:hyperlink>
          </w:p>
          <w:p w14:paraId="7B3DBC20" w14:textId="7BC418D3" w:rsidR="006F63FD" w:rsidRPr="00DA1BF3" w:rsidRDefault="00DA1BF3" w:rsidP="00DA1BF3">
            <w:pPr>
              <w:widowControl w:val="0"/>
              <w:spacing w:line="240" w:lineRule="exact"/>
              <w:ind w:left="108" w:right="252"/>
              <w:rPr>
                <w:color w:val="0000FF"/>
                <w:sz w:val="26"/>
                <w:szCs w:val="26"/>
                <w:u w:val="single"/>
              </w:rPr>
            </w:pPr>
            <w:hyperlink r:id="rId10" w:history="1">
              <w:r w:rsidRPr="000415DE">
                <w:rPr>
                  <w:color w:val="0000FF"/>
                  <w:sz w:val="28"/>
                  <w:szCs w:val="28"/>
                  <w:u w:val="single"/>
                </w:rPr>
                <w:t>andi.humphreys@asu.edu</w:t>
              </w:r>
            </w:hyperlink>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147FBD84" w14:textId="2CDFBEEA"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D667D">
              <w:rPr>
                <w:b/>
                <w:sz w:val="28"/>
                <w:szCs w:val="28"/>
              </w:rPr>
              <w:t xml:space="preserve">AMEND </w:t>
            </w:r>
            <w:r w:rsidR="009778E9">
              <w:rPr>
                <w:b/>
                <w:sz w:val="28"/>
                <w:szCs w:val="28"/>
              </w:rPr>
              <w:t>RULE 6.3, ARIZ. R. CRIM. P.</w:t>
            </w:r>
          </w:p>
          <w:p w14:paraId="03963DD5"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tcPr>
          <w:p w14:paraId="35CED5CB" w14:textId="32212DB6"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E17C80">
              <w:rPr>
                <w:sz w:val="28"/>
                <w:szCs w:val="28"/>
              </w:rPr>
              <w:t>6</w:t>
            </w:r>
            <w:r w:rsidR="00F850BE">
              <w:rPr>
                <w:sz w:val="28"/>
                <w:szCs w:val="28"/>
              </w:rPr>
              <w:t>-</w:t>
            </w:r>
            <w:r w:rsidR="00BD667D">
              <w:rPr>
                <w:sz w:val="28"/>
                <w:szCs w:val="28"/>
              </w:rPr>
              <w:t>0007</w:t>
            </w:r>
          </w:p>
          <w:p w14:paraId="5AEC962D" w14:textId="69D8AF45" w:rsidR="00357F4D" w:rsidRPr="000415DE" w:rsidRDefault="00A4249C" w:rsidP="000F7A7F">
            <w:pPr>
              <w:pStyle w:val="Caption"/>
              <w:tabs>
                <w:tab w:val="left" w:pos="1238"/>
              </w:tabs>
              <w:spacing w:line="260" w:lineRule="exact"/>
              <w:ind w:right="115"/>
              <w:jc w:val="center"/>
              <w:rPr>
                <w:b/>
                <w:sz w:val="28"/>
                <w:szCs w:val="28"/>
              </w:rPr>
            </w:pPr>
            <w:r w:rsidRPr="000415DE">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tbl>
    <w:bookmarkEnd w:id="1"/>
    <w:p w14:paraId="09DE6AB7" w14:textId="4D762712" w:rsidR="002F1135" w:rsidRDefault="00F6788D" w:rsidP="00882A90">
      <w:pPr>
        <w:pStyle w:val="Body"/>
        <w:widowControl w:val="0"/>
        <w:spacing w:before="240"/>
        <w:ind w:firstLine="720"/>
        <w:jc w:val="both"/>
        <w:rPr>
          <w:sz w:val="28"/>
          <w:szCs w:val="28"/>
        </w:rPr>
      </w:pPr>
      <w:r>
        <w:rPr>
          <w:sz w:val="28"/>
          <w:szCs w:val="28"/>
        </w:rPr>
        <w:t>The Post-Conviction Clinic at the Arizona State University Sandra Day O’Connor College of Law</w:t>
      </w:r>
      <w:r w:rsidR="0008003D" w:rsidRPr="007B7449">
        <w:rPr>
          <w:sz w:val="28"/>
          <w:szCs w:val="28"/>
        </w:rPr>
        <w:t xml:space="preserve"> hereby </w:t>
      </w:r>
      <w:r w:rsidR="00A4249C">
        <w:rPr>
          <w:sz w:val="28"/>
          <w:szCs w:val="28"/>
        </w:rPr>
        <w:t xml:space="preserve">submits </w:t>
      </w:r>
      <w:r>
        <w:rPr>
          <w:sz w:val="28"/>
          <w:szCs w:val="28"/>
        </w:rPr>
        <w:t xml:space="preserve">this </w:t>
      </w:r>
      <w:r w:rsidR="00A4249C">
        <w:rPr>
          <w:sz w:val="28"/>
          <w:szCs w:val="28"/>
        </w:rPr>
        <w:t xml:space="preserve">comment </w:t>
      </w:r>
      <w:r w:rsidR="00631601">
        <w:rPr>
          <w:sz w:val="28"/>
          <w:szCs w:val="28"/>
        </w:rPr>
        <w:t>in support of</w:t>
      </w:r>
      <w:r w:rsidR="00A4249C">
        <w:rPr>
          <w:sz w:val="28"/>
          <w:szCs w:val="28"/>
        </w:rPr>
        <w:t xml:space="preserve"> the above-captioned Petition</w:t>
      </w:r>
      <w:r>
        <w:rPr>
          <w:sz w:val="28"/>
          <w:szCs w:val="28"/>
        </w:rPr>
        <w:t xml:space="preserve"> under Rule 28(e) of the Arizona Rules of the Supreme Court</w:t>
      </w:r>
      <w:r w:rsidR="00A4249C">
        <w:rPr>
          <w:sz w:val="28"/>
          <w:szCs w:val="28"/>
        </w:rPr>
        <w:t>.</w:t>
      </w:r>
      <w:r w:rsidR="009778E9">
        <w:rPr>
          <w:sz w:val="28"/>
          <w:szCs w:val="28"/>
        </w:rPr>
        <w:t xml:space="preserve"> The </w:t>
      </w:r>
      <w:r>
        <w:rPr>
          <w:sz w:val="28"/>
          <w:szCs w:val="28"/>
        </w:rPr>
        <w:t>Post-Conviction Legal Clinic supports the amendments proposed in the named petition because the slight burden</w:t>
      </w:r>
      <w:r w:rsidR="00C07C5B">
        <w:rPr>
          <w:sz w:val="28"/>
          <w:szCs w:val="28"/>
        </w:rPr>
        <w:t>s</w:t>
      </w:r>
      <w:r>
        <w:rPr>
          <w:sz w:val="28"/>
          <w:szCs w:val="28"/>
        </w:rPr>
        <w:t xml:space="preserve"> of ministerial filings </w:t>
      </w:r>
      <w:r w:rsidR="00C07C5B">
        <w:rPr>
          <w:sz w:val="28"/>
          <w:szCs w:val="28"/>
        </w:rPr>
        <w:t>are</w:t>
      </w:r>
      <w:r>
        <w:rPr>
          <w:sz w:val="28"/>
          <w:szCs w:val="28"/>
        </w:rPr>
        <w:t xml:space="preserve"> well worth the preservation of the defendant’s appeal rights and </w:t>
      </w:r>
      <w:r w:rsidR="00247D96">
        <w:rPr>
          <w:sz w:val="28"/>
          <w:szCs w:val="28"/>
        </w:rPr>
        <w:t xml:space="preserve">because </w:t>
      </w:r>
      <w:r w:rsidR="00C07C5B">
        <w:rPr>
          <w:sz w:val="28"/>
          <w:szCs w:val="28"/>
        </w:rPr>
        <w:t xml:space="preserve">requiring counsel to file a notice of post-conviction relief </w:t>
      </w:r>
      <w:r>
        <w:rPr>
          <w:sz w:val="28"/>
          <w:szCs w:val="28"/>
        </w:rPr>
        <w:t>align</w:t>
      </w:r>
      <w:r w:rsidR="00C07C5B">
        <w:rPr>
          <w:sz w:val="28"/>
          <w:szCs w:val="28"/>
        </w:rPr>
        <w:t>s</w:t>
      </w:r>
      <w:r>
        <w:rPr>
          <w:sz w:val="28"/>
          <w:szCs w:val="28"/>
        </w:rPr>
        <w:t xml:space="preserve"> with established ethical standards for defense counsel.</w:t>
      </w:r>
    </w:p>
    <w:p w14:paraId="6B6E15A1" w14:textId="142F9FBD" w:rsidR="008C232C" w:rsidRDefault="008C232C" w:rsidP="00882A90">
      <w:pPr>
        <w:pStyle w:val="Body"/>
        <w:widowControl w:val="0"/>
        <w:ind w:firstLine="720"/>
        <w:jc w:val="both"/>
        <w:rPr>
          <w:sz w:val="28"/>
          <w:szCs w:val="28"/>
        </w:rPr>
      </w:pPr>
      <w:r w:rsidRPr="008C232C">
        <w:rPr>
          <w:sz w:val="28"/>
          <w:szCs w:val="28"/>
        </w:rPr>
        <w:t xml:space="preserve">The ASU Post-Conviction Clinic is a pro bono legal aid clinic that has been housed in the Sandra Day O’Connor College of Law for the past 17 years. The Post-Conviction Clinic is primarily staffed by Rule 39 certified law students and their supervising attorneys. The Post-Conviction Clinic investigates claims of wrongful </w:t>
      </w:r>
      <w:r w:rsidRPr="008C232C">
        <w:rPr>
          <w:sz w:val="28"/>
          <w:szCs w:val="28"/>
        </w:rPr>
        <w:lastRenderedPageBreak/>
        <w:t xml:space="preserve">conviction and manifest injustice from prisoners convicted of crimes in Arizona. The clinic regularly represents clients who are in various stages of post-conviction proceedings. </w:t>
      </w:r>
    </w:p>
    <w:p w14:paraId="42F76427" w14:textId="71915F7A" w:rsidR="00F6788D" w:rsidRDefault="00F6788D" w:rsidP="00882A90">
      <w:pPr>
        <w:pStyle w:val="Body"/>
        <w:widowControl w:val="0"/>
        <w:ind w:firstLine="720"/>
        <w:jc w:val="both"/>
        <w:rPr>
          <w:sz w:val="28"/>
          <w:szCs w:val="28"/>
        </w:rPr>
      </w:pPr>
      <w:r>
        <w:rPr>
          <w:sz w:val="28"/>
          <w:szCs w:val="28"/>
        </w:rPr>
        <w:t>The burden of filing a notice of post-conviction relief on trial counsel for pleading defendants, or on appellate counsel for defendants who exercise their trial rights, is minor and ministerial, whereas the risk of waived claims for the defendant is substantial. The decision whether to pursue an appeal</w:t>
      </w:r>
      <w:r w:rsidR="008C232C">
        <w:rPr>
          <w:sz w:val="28"/>
          <w:szCs w:val="28"/>
        </w:rPr>
        <w:t xml:space="preserve"> belongs</w:t>
      </w:r>
      <w:r>
        <w:rPr>
          <w:sz w:val="28"/>
          <w:szCs w:val="28"/>
        </w:rPr>
        <w:t xml:space="preserve"> solely </w:t>
      </w:r>
      <w:r w:rsidR="008C232C">
        <w:rPr>
          <w:sz w:val="28"/>
          <w:szCs w:val="28"/>
        </w:rPr>
        <w:t xml:space="preserve">to the </w:t>
      </w:r>
      <w:r>
        <w:rPr>
          <w:sz w:val="28"/>
          <w:szCs w:val="28"/>
        </w:rPr>
        <w:t xml:space="preserve">defendant. It falls squarely outside the strategic considerations of counsel. </w:t>
      </w:r>
      <w:r w:rsidR="00247D96">
        <w:rPr>
          <w:i/>
          <w:iCs/>
          <w:sz w:val="28"/>
          <w:szCs w:val="28"/>
        </w:rPr>
        <w:t xml:space="preserve">Roe v. </w:t>
      </w:r>
      <w:r w:rsidR="00A561B0">
        <w:rPr>
          <w:i/>
          <w:iCs/>
          <w:sz w:val="28"/>
          <w:szCs w:val="28"/>
        </w:rPr>
        <w:t>Flores-Ortega</w:t>
      </w:r>
      <w:r w:rsidR="00A561B0">
        <w:rPr>
          <w:sz w:val="28"/>
          <w:szCs w:val="28"/>
        </w:rPr>
        <w:t>, 528 U.S. 470, 477. The decision whether to pursue post-conviction relief is also exclusively within the defendant’s purview. As such, imposing the requirement that counsel file a notice of post-conviction relief or get the defendant’s waiver in writing before withdrawing from the case is consistent with the requirement to file an appeal at the defendant’s request. Imposing this requirement will protect defendants’ appellate rights from unintentional waiver without meaningfully altering counsel’s obligations of time or effort at the end of a case.</w:t>
      </w:r>
    </w:p>
    <w:p w14:paraId="35B439F8" w14:textId="64E0EE5C" w:rsidR="00A561B0" w:rsidRDefault="00A561B0" w:rsidP="00882A90">
      <w:pPr>
        <w:pStyle w:val="Body"/>
        <w:widowControl w:val="0"/>
        <w:ind w:firstLine="720"/>
        <w:jc w:val="both"/>
        <w:rPr>
          <w:sz w:val="28"/>
          <w:szCs w:val="28"/>
        </w:rPr>
      </w:pPr>
      <w:r>
        <w:rPr>
          <w:sz w:val="28"/>
          <w:szCs w:val="28"/>
        </w:rPr>
        <w:t>Furthermore, the Post-Conviction Clinic has a practice of filing the notice of post-conviction relief on clients’ behalf</w:t>
      </w:r>
      <w:r w:rsidR="00C07C5B">
        <w:rPr>
          <w:sz w:val="28"/>
          <w:szCs w:val="28"/>
        </w:rPr>
        <w:t xml:space="preserve"> because </w:t>
      </w:r>
      <w:r w:rsidR="00882A90">
        <w:rPr>
          <w:sz w:val="28"/>
          <w:szCs w:val="28"/>
        </w:rPr>
        <w:t xml:space="preserve">it is relatively easy for attorneys to fill out and submit the form. However, the </w:t>
      </w:r>
      <w:r w:rsidR="00C07C5B">
        <w:rPr>
          <w:sz w:val="28"/>
          <w:szCs w:val="28"/>
        </w:rPr>
        <w:t>form’s complexity</w:t>
      </w:r>
      <w:r w:rsidR="00882A90">
        <w:rPr>
          <w:sz w:val="28"/>
          <w:szCs w:val="28"/>
        </w:rPr>
        <w:t xml:space="preserve"> to those unfamiliar with it,</w:t>
      </w:r>
      <w:r w:rsidR="00C07C5B">
        <w:rPr>
          <w:sz w:val="28"/>
          <w:szCs w:val="28"/>
        </w:rPr>
        <w:t xml:space="preserve"> and the high risk of waiver in an incorrectly prepared filing</w:t>
      </w:r>
      <w:r w:rsidR="00882A90">
        <w:rPr>
          <w:sz w:val="28"/>
          <w:szCs w:val="28"/>
        </w:rPr>
        <w:t>, make it much less suitable for a client without law training to complete</w:t>
      </w:r>
      <w:r>
        <w:rPr>
          <w:sz w:val="28"/>
          <w:szCs w:val="28"/>
        </w:rPr>
        <w:t xml:space="preserve">. Although Form 24(b) may seem simple to an attorney, clients are often not aware of the </w:t>
      </w:r>
      <w:r w:rsidR="00882A90">
        <w:rPr>
          <w:sz w:val="28"/>
          <w:szCs w:val="28"/>
        </w:rPr>
        <w:t xml:space="preserve">legal </w:t>
      </w:r>
      <w:r>
        <w:rPr>
          <w:sz w:val="28"/>
          <w:szCs w:val="28"/>
        </w:rPr>
        <w:t>nature of their claims</w:t>
      </w:r>
      <w:r w:rsidR="00882A90">
        <w:rPr>
          <w:sz w:val="28"/>
          <w:szCs w:val="28"/>
        </w:rPr>
        <w:t xml:space="preserve"> or</w:t>
      </w:r>
      <w:r>
        <w:rPr>
          <w:sz w:val="28"/>
          <w:szCs w:val="28"/>
        </w:rPr>
        <w:t xml:space="preserve"> the grounds for relief they are </w:t>
      </w:r>
      <w:r w:rsidR="00882A90">
        <w:rPr>
          <w:sz w:val="28"/>
          <w:szCs w:val="28"/>
        </w:rPr>
        <w:t>planning to raise</w:t>
      </w:r>
      <w:r>
        <w:rPr>
          <w:sz w:val="28"/>
          <w:szCs w:val="28"/>
        </w:rPr>
        <w:t xml:space="preserve">. Even a clerical error, as simple as not checking the appropriate box, </w:t>
      </w:r>
      <w:r w:rsidR="008C232C">
        <w:rPr>
          <w:sz w:val="28"/>
          <w:szCs w:val="28"/>
        </w:rPr>
        <w:t xml:space="preserve">could potentially </w:t>
      </w:r>
      <w:r>
        <w:rPr>
          <w:sz w:val="28"/>
          <w:szCs w:val="28"/>
        </w:rPr>
        <w:t>waive</w:t>
      </w:r>
      <w:r w:rsidR="008C232C">
        <w:rPr>
          <w:sz w:val="28"/>
          <w:szCs w:val="28"/>
        </w:rPr>
        <w:t xml:space="preserve"> a</w:t>
      </w:r>
      <w:r>
        <w:rPr>
          <w:sz w:val="28"/>
          <w:szCs w:val="28"/>
        </w:rPr>
        <w:t xml:space="preserve"> defendant’</w:t>
      </w:r>
      <w:r w:rsidR="008C232C">
        <w:rPr>
          <w:sz w:val="28"/>
          <w:szCs w:val="28"/>
        </w:rPr>
        <w:t>s</w:t>
      </w:r>
      <w:r>
        <w:rPr>
          <w:sz w:val="28"/>
          <w:szCs w:val="28"/>
        </w:rPr>
        <w:t xml:space="preserve"> opportunity to bring meritorious claims. </w:t>
      </w:r>
      <w:r w:rsidR="00C07C5B">
        <w:rPr>
          <w:i/>
          <w:iCs/>
          <w:sz w:val="28"/>
          <w:szCs w:val="28"/>
        </w:rPr>
        <w:t>See</w:t>
      </w:r>
      <w:r w:rsidR="00C07C5B">
        <w:rPr>
          <w:sz w:val="28"/>
          <w:szCs w:val="28"/>
        </w:rPr>
        <w:t xml:space="preserve"> Ariz. R. Crim. P. 32.2(a)(3) (precluding any claim not raised in an initial PCR unless the defendant can demonstrate good reason why the claim was not raised); </w:t>
      </w:r>
      <w:r w:rsidR="00C07C5B">
        <w:rPr>
          <w:i/>
          <w:iCs/>
          <w:sz w:val="28"/>
          <w:szCs w:val="28"/>
        </w:rPr>
        <w:t>Lee v. Thornell</w:t>
      </w:r>
      <w:r w:rsidR="00C07C5B">
        <w:rPr>
          <w:sz w:val="28"/>
          <w:szCs w:val="28"/>
        </w:rPr>
        <w:t xml:space="preserve">, 118 F.4th 969, 991 (2024) </w:t>
      </w:r>
      <w:r w:rsidR="00C07C5B">
        <w:rPr>
          <w:sz w:val="28"/>
          <w:szCs w:val="28"/>
        </w:rPr>
        <w:lastRenderedPageBreak/>
        <w:t xml:space="preserve">(holding that Arizona regularly applies an established procedural bar on claims not raised on direct appeal or in </w:t>
      </w:r>
      <w:r w:rsidR="00C07C5B">
        <w:rPr>
          <w:i/>
          <w:iCs/>
          <w:sz w:val="28"/>
          <w:szCs w:val="28"/>
        </w:rPr>
        <w:t>first</w:t>
      </w:r>
      <w:r w:rsidR="00C07C5B">
        <w:rPr>
          <w:sz w:val="28"/>
          <w:szCs w:val="28"/>
        </w:rPr>
        <w:t xml:space="preserve"> post-conviction proceedings). Requiring trial counsel to file a notice of post-conviction relief would preserve the rights of the defendant in a well-prepared filing and save the court precious time compared to wading through the best attempts of </w:t>
      </w:r>
      <w:r w:rsidR="00C07C5B" w:rsidRPr="003F6EB5">
        <w:rPr>
          <w:i/>
          <w:iCs/>
          <w:sz w:val="28"/>
          <w:szCs w:val="28"/>
        </w:rPr>
        <w:t>pro se</w:t>
      </w:r>
      <w:r w:rsidR="00C07C5B">
        <w:rPr>
          <w:sz w:val="28"/>
          <w:szCs w:val="28"/>
        </w:rPr>
        <w:t xml:space="preserve"> litigants to convey </w:t>
      </w:r>
      <w:r w:rsidR="007B091A">
        <w:rPr>
          <w:sz w:val="28"/>
          <w:szCs w:val="28"/>
        </w:rPr>
        <w:t>the basis for</w:t>
      </w:r>
      <w:r w:rsidR="00C07C5B">
        <w:rPr>
          <w:sz w:val="28"/>
          <w:szCs w:val="28"/>
        </w:rPr>
        <w:t xml:space="preserve"> claims</w:t>
      </w:r>
      <w:r w:rsidR="007B091A">
        <w:rPr>
          <w:sz w:val="28"/>
          <w:szCs w:val="28"/>
        </w:rPr>
        <w:t xml:space="preserve"> they would like to raise</w:t>
      </w:r>
      <w:r w:rsidR="00C07C5B">
        <w:rPr>
          <w:sz w:val="28"/>
          <w:szCs w:val="28"/>
        </w:rPr>
        <w:t>.</w:t>
      </w:r>
      <w:r w:rsidR="00882A90">
        <w:rPr>
          <w:sz w:val="28"/>
          <w:szCs w:val="28"/>
        </w:rPr>
        <w:t xml:space="preserve"> It would also be minimally invasive to a trial attorney, who will necessarily have all the required information the form calls for by virtue of her existing representation of the client.</w:t>
      </w:r>
    </w:p>
    <w:p w14:paraId="14BA6846" w14:textId="323003EB" w:rsidR="00395B2D" w:rsidRDefault="00B42182" w:rsidP="00882A90">
      <w:pPr>
        <w:pStyle w:val="Body"/>
        <w:widowControl w:val="0"/>
        <w:ind w:firstLine="720"/>
        <w:jc w:val="both"/>
        <w:rPr>
          <w:sz w:val="28"/>
          <w:szCs w:val="28"/>
        </w:rPr>
      </w:pPr>
      <w:r>
        <w:rPr>
          <w:sz w:val="28"/>
          <w:szCs w:val="28"/>
        </w:rPr>
        <w:t>I</w:t>
      </w:r>
      <w:r w:rsidR="00395B2D">
        <w:rPr>
          <w:sz w:val="28"/>
          <w:szCs w:val="28"/>
        </w:rPr>
        <w:t>mposing this requirement perfectly aligns with the professional standards of legal ethics set forth by both the American Bar Association</w:t>
      </w:r>
      <w:r w:rsidR="006C29B2">
        <w:rPr>
          <w:sz w:val="28"/>
          <w:szCs w:val="28"/>
        </w:rPr>
        <w:t xml:space="preserve"> and the State Bar of Arizona</w:t>
      </w:r>
      <w:r w:rsidR="00395B2D">
        <w:rPr>
          <w:sz w:val="28"/>
          <w:szCs w:val="28"/>
        </w:rPr>
        <w:t>.</w:t>
      </w:r>
      <w:r w:rsidR="009C634C">
        <w:rPr>
          <w:sz w:val="28"/>
          <w:szCs w:val="28"/>
        </w:rPr>
        <w:t xml:space="preserve"> </w:t>
      </w:r>
      <w:r w:rsidR="002406A1">
        <w:rPr>
          <w:sz w:val="28"/>
          <w:szCs w:val="28"/>
        </w:rPr>
        <w:t>These authorities both</w:t>
      </w:r>
      <w:r w:rsidR="006C29B2">
        <w:rPr>
          <w:sz w:val="28"/>
          <w:szCs w:val="28"/>
        </w:rPr>
        <w:t xml:space="preserve"> </w:t>
      </w:r>
      <w:r w:rsidR="002406A1">
        <w:rPr>
          <w:sz w:val="28"/>
          <w:szCs w:val="28"/>
        </w:rPr>
        <w:t xml:space="preserve">dictate that the decision to seek review belongs exclusively to the client and that withdrawing counsel must take all reasonable steps to protect a client’s interests upon termination of representation. Ariz. ER 1.2(a); Ariz. ER 1.16(d); </w:t>
      </w:r>
      <w:r w:rsidR="002406A1">
        <w:rPr>
          <w:i/>
          <w:iCs/>
          <w:sz w:val="28"/>
          <w:szCs w:val="28"/>
        </w:rPr>
        <w:t>ABA Standards for Criminal Justice: Defense Function</w:t>
      </w:r>
      <w:r w:rsidR="00247D96">
        <w:rPr>
          <w:sz w:val="28"/>
          <w:szCs w:val="28"/>
        </w:rPr>
        <w:t>,</w:t>
      </w:r>
      <w:r w:rsidR="002406A1">
        <w:rPr>
          <w:i/>
          <w:iCs/>
          <w:sz w:val="28"/>
          <w:szCs w:val="28"/>
        </w:rPr>
        <w:t xml:space="preserve"> </w:t>
      </w:r>
      <w:r w:rsidR="00247D96">
        <w:rPr>
          <w:sz w:val="28"/>
          <w:szCs w:val="28"/>
        </w:rPr>
        <w:t>Standard</w:t>
      </w:r>
      <w:r w:rsidR="002406A1">
        <w:rPr>
          <w:sz w:val="28"/>
          <w:szCs w:val="28"/>
        </w:rPr>
        <w:t xml:space="preserve"> 4-9.1 (</w:t>
      </w:r>
      <w:r w:rsidR="00247D96">
        <w:rPr>
          <w:sz w:val="28"/>
          <w:szCs w:val="28"/>
        </w:rPr>
        <w:t xml:space="preserve">Am. Bar Ass’n </w:t>
      </w:r>
      <w:r w:rsidR="002406A1">
        <w:rPr>
          <w:sz w:val="28"/>
          <w:szCs w:val="28"/>
        </w:rPr>
        <w:t xml:space="preserve">4th ed. 2017). </w:t>
      </w:r>
      <w:r w:rsidR="009C634C">
        <w:rPr>
          <w:sz w:val="28"/>
          <w:szCs w:val="28"/>
        </w:rPr>
        <w:t>These norms mi</w:t>
      </w:r>
      <w:r w:rsidR="009C634C" w:rsidRPr="00247D96">
        <w:rPr>
          <w:sz w:val="28"/>
          <w:szCs w:val="28"/>
        </w:rPr>
        <w:t xml:space="preserve">rror </w:t>
      </w:r>
      <w:r w:rsidRPr="00247D96">
        <w:rPr>
          <w:sz w:val="28"/>
          <w:szCs w:val="28"/>
        </w:rPr>
        <w:t>the Sixth Amendment reasoning</w:t>
      </w:r>
      <w:r>
        <w:rPr>
          <w:sz w:val="28"/>
          <w:szCs w:val="28"/>
        </w:rPr>
        <w:t xml:space="preserve"> </w:t>
      </w:r>
      <w:r w:rsidRPr="00247D96">
        <w:rPr>
          <w:sz w:val="28"/>
          <w:szCs w:val="28"/>
        </w:rPr>
        <w:t xml:space="preserve">in </w:t>
      </w:r>
      <w:r w:rsidRPr="00247D96">
        <w:rPr>
          <w:i/>
          <w:iCs/>
          <w:sz w:val="28"/>
          <w:szCs w:val="28"/>
        </w:rPr>
        <w:t>Garza v. Idaho</w:t>
      </w:r>
      <w:r w:rsidRPr="00247D96">
        <w:rPr>
          <w:sz w:val="28"/>
          <w:szCs w:val="28"/>
        </w:rPr>
        <w:t>,</w:t>
      </w:r>
      <w:r w:rsidR="00247D96" w:rsidRPr="00247D96">
        <w:rPr>
          <w:sz w:val="28"/>
          <w:szCs w:val="28"/>
        </w:rPr>
        <w:t xml:space="preserve"> 586 U.S. 323 (2019),</w:t>
      </w:r>
      <w:r w:rsidRPr="00247D96">
        <w:rPr>
          <w:sz w:val="28"/>
          <w:szCs w:val="28"/>
        </w:rPr>
        <w:t xml:space="preserve"> proving</w:t>
      </w:r>
      <w:r>
        <w:rPr>
          <w:sz w:val="28"/>
          <w:szCs w:val="28"/>
        </w:rPr>
        <w:t xml:space="preserve"> that filing a ministerial notice is a baseline constitutional duty rather than just an optional “best practice.”</w:t>
      </w:r>
      <w:r w:rsidR="00247D96">
        <w:rPr>
          <w:sz w:val="28"/>
          <w:szCs w:val="28"/>
        </w:rPr>
        <w:t xml:space="preserve"> </w:t>
      </w:r>
      <w:r w:rsidR="00247D96">
        <w:rPr>
          <w:i/>
          <w:iCs/>
          <w:sz w:val="28"/>
          <w:szCs w:val="28"/>
        </w:rPr>
        <w:t>Garza</w:t>
      </w:r>
      <w:r w:rsidR="00247D96">
        <w:rPr>
          <w:sz w:val="28"/>
          <w:szCs w:val="28"/>
        </w:rPr>
        <w:t>, 586 U.S. at 244.</w:t>
      </w:r>
      <w:r>
        <w:rPr>
          <w:sz w:val="28"/>
          <w:szCs w:val="28"/>
        </w:rPr>
        <w:t xml:space="preserve"> Thus, </w:t>
      </w:r>
      <w:r w:rsidR="002406A1">
        <w:rPr>
          <w:sz w:val="28"/>
          <w:szCs w:val="28"/>
        </w:rPr>
        <w:t>by requiring the filing of a ministerial notice before withdrawal, this amendment simply codifies established professional and constitutional duties into a clear, easily enforceable procedural safeguard.</w:t>
      </w:r>
    </w:p>
    <w:p w14:paraId="0D9FC4BA" w14:textId="281E699C" w:rsidR="005F5FEC" w:rsidRDefault="009C634C" w:rsidP="00882A90">
      <w:pPr>
        <w:pStyle w:val="Body"/>
        <w:widowControl w:val="0"/>
        <w:ind w:firstLine="720"/>
        <w:jc w:val="both"/>
        <w:rPr>
          <w:sz w:val="28"/>
          <w:szCs w:val="28"/>
        </w:rPr>
      </w:pPr>
      <w:r>
        <w:rPr>
          <w:sz w:val="28"/>
          <w:szCs w:val="28"/>
        </w:rPr>
        <w:t xml:space="preserve">While this proposed amendment codifies existing constitutional and ethical </w:t>
      </w:r>
      <w:r w:rsidR="00B42182">
        <w:rPr>
          <w:sz w:val="28"/>
          <w:szCs w:val="28"/>
        </w:rPr>
        <w:t>principles</w:t>
      </w:r>
      <w:r>
        <w:rPr>
          <w:sz w:val="28"/>
          <w:szCs w:val="28"/>
        </w:rPr>
        <w:t xml:space="preserve">, it </w:t>
      </w:r>
      <w:r w:rsidR="00B42182">
        <w:rPr>
          <w:sz w:val="28"/>
          <w:szCs w:val="28"/>
        </w:rPr>
        <w:t>is</w:t>
      </w:r>
      <w:r>
        <w:rPr>
          <w:sz w:val="28"/>
          <w:szCs w:val="28"/>
        </w:rPr>
        <w:t xml:space="preserve"> an important </w:t>
      </w:r>
      <w:r w:rsidR="00B42182">
        <w:rPr>
          <w:sz w:val="28"/>
          <w:szCs w:val="28"/>
        </w:rPr>
        <w:t xml:space="preserve">practical </w:t>
      </w:r>
      <w:r>
        <w:rPr>
          <w:sz w:val="28"/>
          <w:szCs w:val="28"/>
        </w:rPr>
        <w:t>necessity</w:t>
      </w:r>
      <w:r w:rsidR="005F5FEC">
        <w:rPr>
          <w:sz w:val="28"/>
          <w:szCs w:val="28"/>
        </w:rPr>
        <w:t>—not</w:t>
      </w:r>
      <w:r w:rsidR="00B42182">
        <w:rPr>
          <w:sz w:val="28"/>
          <w:szCs w:val="28"/>
        </w:rPr>
        <w:t xml:space="preserve"> a mere redundancy.</w:t>
      </w:r>
      <w:r>
        <w:rPr>
          <w:sz w:val="28"/>
          <w:szCs w:val="28"/>
        </w:rPr>
        <w:t xml:space="preserve"> </w:t>
      </w:r>
      <w:r w:rsidR="00EF7E69">
        <w:rPr>
          <w:sz w:val="28"/>
          <w:szCs w:val="28"/>
        </w:rPr>
        <w:t xml:space="preserve">Currently, despite </w:t>
      </w:r>
      <w:r w:rsidR="005F5FEC">
        <w:rPr>
          <w:sz w:val="28"/>
          <w:szCs w:val="28"/>
        </w:rPr>
        <w:t xml:space="preserve">existing </w:t>
      </w:r>
      <w:r w:rsidR="00EF7E69">
        <w:rPr>
          <w:sz w:val="28"/>
          <w:szCs w:val="28"/>
        </w:rPr>
        <w:t>Supreme Court precedent and ethical standards</w:t>
      </w:r>
      <w:r w:rsidR="00B42182">
        <w:rPr>
          <w:sz w:val="28"/>
          <w:szCs w:val="28"/>
        </w:rPr>
        <w:t>, th</w:t>
      </w:r>
      <w:r w:rsidR="005F5FEC">
        <w:rPr>
          <w:sz w:val="28"/>
          <w:szCs w:val="28"/>
        </w:rPr>
        <w:t>is gap in Rule 6.3</w:t>
      </w:r>
      <w:r w:rsidR="00B42182">
        <w:rPr>
          <w:sz w:val="28"/>
          <w:szCs w:val="28"/>
        </w:rPr>
        <w:t xml:space="preserve"> </w:t>
      </w:r>
      <w:r w:rsidR="005F5FEC">
        <w:rPr>
          <w:sz w:val="28"/>
          <w:szCs w:val="28"/>
        </w:rPr>
        <w:t xml:space="preserve">has effectively resulted in two disparate “tiers” of procedural protection for convicted defendants. </w:t>
      </w:r>
      <w:r w:rsidR="005F5FEC" w:rsidRPr="00247D96">
        <w:rPr>
          <w:sz w:val="28"/>
          <w:szCs w:val="28"/>
        </w:rPr>
        <w:t xml:space="preserve">Following the interpretation in </w:t>
      </w:r>
      <w:r w:rsidR="005F5FEC" w:rsidRPr="00247D96">
        <w:rPr>
          <w:i/>
          <w:iCs/>
          <w:sz w:val="28"/>
          <w:szCs w:val="28"/>
        </w:rPr>
        <w:t>State v. Ainsworth</w:t>
      </w:r>
      <w:r w:rsidR="005F5FEC" w:rsidRPr="00247D96">
        <w:rPr>
          <w:sz w:val="28"/>
          <w:szCs w:val="28"/>
        </w:rPr>
        <w:t>,</w:t>
      </w:r>
      <w:r w:rsidR="00247D96" w:rsidRPr="00247D96">
        <w:rPr>
          <w:sz w:val="28"/>
          <w:szCs w:val="28"/>
        </w:rPr>
        <w:t xml:space="preserve"> 250 Ariz. 457 (App. 2021),</w:t>
      </w:r>
      <w:r w:rsidR="005F5FEC" w:rsidRPr="00247D96">
        <w:rPr>
          <w:sz w:val="28"/>
          <w:szCs w:val="28"/>
        </w:rPr>
        <w:t xml:space="preserve"> defendants convicted</w:t>
      </w:r>
      <w:r w:rsidR="005F5FEC">
        <w:rPr>
          <w:sz w:val="28"/>
          <w:szCs w:val="28"/>
        </w:rPr>
        <w:t xml:space="preserve"> at trial receive assistance in filing a notice of </w:t>
      </w:r>
      <w:r w:rsidR="005F5FEC">
        <w:rPr>
          <w:sz w:val="28"/>
          <w:szCs w:val="28"/>
        </w:rPr>
        <w:lastRenderedPageBreak/>
        <w:t>appeal while pleading defendants are left unrepresented in filing a notice of PCR. There is a clear structural gap here: defendants convicted at trial are owed a duty</w:t>
      </w:r>
      <w:r w:rsidR="00BE4609">
        <w:rPr>
          <w:sz w:val="28"/>
          <w:szCs w:val="28"/>
        </w:rPr>
        <w:t xml:space="preserve"> to preserve their avenue to review while pleading defendants are not.</w:t>
      </w:r>
      <w:r w:rsidR="005F5FEC">
        <w:rPr>
          <w:sz w:val="28"/>
          <w:szCs w:val="28"/>
        </w:rPr>
        <w:t xml:space="preserve"> </w:t>
      </w:r>
    </w:p>
    <w:p w14:paraId="60CE6883" w14:textId="2425215B" w:rsidR="005F5FEC" w:rsidRDefault="005F5FEC" w:rsidP="00882A90">
      <w:pPr>
        <w:pStyle w:val="Body"/>
        <w:widowControl w:val="0"/>
        <w:ind w:firstLine="720"/>
        <w:jc w:val="both"/>
        <w:rPr>
          <w:sz w:val="28"/>
          <w:szCs w:val="28"/>
        </w:rPr>
      </w:pPr>
      <w:r>
        <w:rPr>
          <w:sz w:val="28"/>
          <w:szCs w:val="28"/>
        </w:rPr>
        <w:t xml:space="preserve">Rule 6.3’s structural gap is not merely hypothetical. Rather, the Post-Conviction Clinic </w:t>
      </w:r>
      <w:r w:rsidR="00BE4609">
        <w:rPr>
          <w:sz w:val="28"/>
          <w:szCs w:val="28"/>
        </w:rPr>
        <w:t>regularly encounters</w:t>
      </w:r>
      <w:r>
        <w:rPr>
          <w:sz w:val="28"/>
          <w:szCs w:val="28"/>
        </w:rPr>
        <w:t xml:space="preserve"> the fallout </w:t>
      </w:r>
      <w:r w:rsidR="00BE4609">
        <w:rPr>
          <w:sz w:val="28"/>
          <w:szCs w:val="28"/>
        </w:rPr>
        <w:t>from</w:t>
      </w:r>
      <w:r>
        <w:rPr>
          <w:sz w:val="28"/>
          <w:szCs w:val="28"/>
        </w:rPr>
        <w:t xml:space="preserve"> this procedural disparity. Frequently, pleading defendants contact the Clinic only after their window for post-conviction review has closed because their trial counsel withdrew without filing a notice</w:t>
      </w:r>
      <w:r w:rsidR="00BE4609">
        <w:rPr>
          <w:sz w:val="28"/>
          <w:szCs w:val="28"/>
        </w:rPr>
        <w:t xml:space="preserve"> of PCR</w:t>
      </w:r>
      <w:r>
        <w:rPr>
          <w:sz w:val="28"/>
          <w:szCs w:val="28"/>
        </w:rPr>
        <w:t xml:space="preserve">. This problem </w:t>
      </w:r>
      <w:r w:rsidR="00BE4609">
        <w:rPr>
          <w:sz w:val="28"/>
          <w:szCs w:val="28"/>
        </w:rPr>
        <w:t>disproportionately</w:t>
      </w:r>
      <w:r>
        <w:rPr>
          <w:sz w:val="28"/>
          <w:szCs w:val="28"/>
        </w:rPr>
        <w:t xml:space="preserve"> affects indigent clients</w:t>
      </w:r>
      <w:r w:rsidR="00507931">
        <w:rPr>
          <w:sz w:val="28"/>
          <w:szCs w:val="28"/>
        </w:rPr>
        <w:t xml:space="preserve"> entering state custody because their inability to afford legal assistance during this disorienting transition makes it nearly impossible for them to meet these strict filing deadlines</w:t>
      </w:r>
      <w:r w:rsidR="002406A1">
        <w:rPr>
          <w:sz w:val="28"/>
          <w:szCs w:val="28"/>
        </w:rPr>
        <w:t xml:space="preserve"> on their own</w:t>
      </w:r>
      <w:r w:rsidR="00507931">
        <w:rPr>
          <w:i/>
          <w:iCs/>
          <w:sz w:val="28"/>
          <w:szCs w:val="28"/>
        </w:rPr>
        <w:t>.</w:t>
      </w:r>
      <w:r w:rsidR="00507931">
        <w:rPr>
          <w:sz w:val="28"/>
          <w:szCs w:val="28"/>
        </w:rPr>
        <w:t xml:space="preserve">  E</w:t>
      </w:r>
      <w:r>
        <w:rPr>
          <w:sz w:val="28"/>
          <w:szCs w:val="28"/>
        </w:rPr>
        <w:t xml:space="preserve">ven </w:t>
      </w:r>
      <w:r w:rsidR="002406A1">
        <w:rPr>
          <w:sz w:val="28"/>
          <w:szCs w:val="28"/>
        </w:rPr>
        <w:t xml:space="preserve">when a client manages to file a </w:t>
      </w:r>
      <w:r w:rsidR="002406A1">
        <w:rPr>
          <w:i/>
          <w:iCs/>
          <w:sz w:val="28"/>
          <w:szCs w:val="28"/>
        </w:rPr>
        <w:t xml:space="preserve">pro se </w:t>
      </w:r>
      <w:r w:rsidR="002406A1">
        <w:rPr>
          <w:sz w:val="28"/>
          <w:szCs w:val="28"/>
        </w:rPr>
        <w:t>notice</w:t>
      </w:r>
      <w:r w:rsidR="00BE4609">
        <w:rPr>
          <w:sz w:val="28"/>
          <w:szCs w:val="28"/>
        </w:rPr>
        <w:t xml:space="preserve">, this structural gap </w:t>
      </w:r>
      <w:r w:rsidR="00507931">
        <w:rPr>
          <w:sz w:val="28"/>
          <w:szCs w:val="28"/>
        </w:rPr>
        <w:t>sometimes</w:t>
      </w:r>
      <w:r w:rsidR="00BE4609">
        <w:rPr>
          <w:sz w:val="28"/>
          <w:szCs w:val="28"/>
        </w:rPr>
        <w:t xml:space="preserve"> manifests </w:t>
      </w:r>
      <w:r w:rsidR="00507931">
        <w:rPr>
          <w:sz w:val="28"/>
          <w:szCs w:val="28"/>
        </w:rPr>
        <w:t>as</w:t>
      </w:r>
      <w:r w:rsidR="00BE4609">
        <w:rPr>
          <w:sz w:val="28"/>
          <w:szCs w:val="28"/>
        </w:rPr>
        <w:t xml:space="preserve"> lost claims they unknowingly omitted or </w:t>
      </w:r>
      <w:r w:rsidR="00507931">
        <w:rPr>
          <w:sz w:val="28"/>
          <w:szCs w:val="28"/>
        </w:rPr>
        <w:t>as other difficulties in the representation.</w:t>
      </w:r>
      <w:r w:rsidR="00BE4609">
        <w:rPr>
          <w:sz w:val="28"/>
          <w:szCs w:val="28"/>
        </w:rPr>
        <w:t xml:space="preserve"> Consequently, this </w:t>
      </w:r>
      <w:r w:rsidR="00507931">
        <w:rPr>
          <w:sz w:val="28"/>
          <w:szCs w:val="28"/>
        </w:rPr>
        <w:t>unnecessary procedural hurdle inevitably forces parties and courts</w:t>
      </w:r>
      <w:r w:rsidR="00BE4609">
        <w:rPr>
          <w:sz w:val="28"/>
          <w:szCs w:val="28"/>
        </w:rPr>
        <w:t xml:space="preserve"> to expend significant resources litigating and navigating around belated filings just to restore defendants’ baseline rights. A simple mandatory filing at the time of withdrawal would eliminate this systemic inefficiency and ensure defendants’ cases are evaluated on their merits, rather than dismissed due to an easily avoidable procedural trap. </w:t>
      </w:r>
    </w:p>
    <w:p w14:paraId="4FA11BA4" w14:textId="46068452" w:rsidR="009C634C" w:rsidRDefault="005F5FEC" w:rsidP="00882A90">
      <w:pPr>
        <w:pStyle w:val="Body"/>
        <w:widowControl w:val="0"/>
        <w:ind w:firstLine="720"/>
        <w:jc w:val="both"/>
        <w:rPr>
          <w:sz w:val="28"/>
          <w:szCs w:val="28"/>
        </w:rPr>
      </w:pPr>
      <w:r>
        <w:rPr>
          <w:sz w:val="28"/>
          <w:szCs w:val="28"/>
        </w:rPr>
        <w:t xml:space="preserve">This proposed amendment closes Rule 6.3’s structural gap. It </w:t>
      </w:r>
      <w:r w:rsidR="00B42182">
        <w:rPr>
          <w:sz w:val="28"/>
          <w:szCs w:val="28"/>
        </w:rPr>
        <w:t xml:space="preserve">clarifies </w:t>
      </w:r>
      <w:r w:rsidR="00507931">
        <w:rPr>
          <w:sz w:val="28"/>
          <w:szCs w:val="28"/>
        </w:rPr>
        <w:t>defense counsel’s post-conviction duties</w:t>
      </w:r>
      <w:r w:rsidR="00B42182">
        <w:rPr>
          <w:sz w:val="28"/>
          <w:szCs w:val="28"/>
        </w:rPr>
        <w:t xml:space="preserve"> by</w:t>
      </w:r>
      <w:r w:rsidR="00507931">
        <w:rPr>
          <w:sz w:val="28"/>
          <w:szCs w:val="28"/>
        </w:rPr>
        <w:t xml:space="preserve"> </w:t>
      </w:r>
      <w:r w:rsidR="00B42182">
        <w:rPr>
          <w:sz w:val="28"/>
          <w:szCs w:val="28"/>
        </w:rPr>
        <w:t xml:space="preserve">providing straightforward, authoritative </w:t>
      </w:r>
      <w:r w:rsidR="00EF7E69">
        <w:rPr>
          <w:sz w:val="28"/>
          <w:szCs w:val="28"/>
        </w:rPr>
        <w:t xml:space="preserve">language </w:t>
      </w:r>
      <w:r w:rsidR="00507931">
        <w:rPr>
          <w:sz w:val="28"/>
          <w:szCs w:val="28"/>
        </w:rPr>
        <w:t>defining counsel’s exact obligations upon withdrawal.</w:t>
      </w:r>
      <w:r w:rsidR="00EF7E69">
        <w:rPr>
          <w:sz w:val="28"/>
          <w:szCs w:val="28"/>
        </w:rPr>
        <w:t xml:space="preserve"> This guarantees that defense attorneys</w:t>
      </w:r>
      <w:r w:rsidR="00507931">
        <w:rPr>
          <w:sz w:val="28"/>
          <w:szCs w:val="28"/>
        </w:rPr>
        <w:t xml:space="preserve"> throughout Arizona</w:t>
      </w:r>
      <w:r w:rsidR="00EF7E69">
        <w:rPr>
          <w:sz w:val="28"/>
          <w:szCs w:val="28"/>
        </w:rPr>
        <w:t xml:space="preserve"> uniformly adhere to the baseline standards already demanded by Supreme Court precedent in </w:t>
      </w:r>
      <w:r w:rsidR="00EF7E69">
        <w:rPr>
          <w:i/>
          <w:iCs/>
          <w:sz w:val="28"/>
          <w:szCs w:val="28"/>
        </w:rPr>
        <w:t>Garza v. Idaho</w:t>
      </w:r>
      <w:r w:rsidR="00EF7E69">
        <w:rPr>
          <w:sz w:val="28"/>
          <w:szCs w:val="28"/>
        </w:rPr>
        <w:t xml:space="preserve">, the </w:t>
      </w:r>
      <w:r w:rsidR="006C29B2">
        <w:rPr>
          <w:sz w:val="28"/>
          <w:szCs w:val="28"/>
        </w:rPr>
        <w:t>ABA</w:t>
      </w:r>
      <w:r w:rsidR="00EF7E69">
        <w:rPr>
          <w:sz w:val="28"/>
          <w:szCs w:val="28"/>
        </w:rPr>
        <w:t>, and the State Bar of Arizona</w:t>
      </w:r>
      <w:r w:rsidR="009C634C">
        <w:rPr>
          <w:sz w:val="28"/>
          <w:szCs w:val="28"/>
        </w:rPr>
        <w:t xml:space="preserve">. </w:t>
      </w:r>
    </w:p>
    <w:p w14:paraId="74CBABD8" w14:textId="1DA5C143" w:rsidR="000C48A9" w:rsidRPr="006F63FD" w:rsidRDefault="007A3F0F" w:rsidP="00882A90">
      <w:pPr>
        <w:pStyle w:val="Body"/>
        <w:keepNext/>
        <w:keepLines/>
        <w:ind w:firstLine="0"/>
        <w:jc w:val="center"/>
        <w:rPr>
          <w:rStyle w:val="BodyTextChar"/>
          <w:b/>
          <w:sz w:val="28"/>
          <w:szCs w:val="28"/>
        </w:rPr>
      </w:pPr>
      <w:r w:rsidRPr="006F63FD">
        <w:rPr>
          <w:rStyle w:val="BodyTextChar"/>
          <w:b/>
          <w:sz w:val="28"/>
          <w:szCs w:val="28"/>
        </w:rPr>
        <w:lastRenderedPageBreak/>
        <w:t>CONCLUSION</w:t>
      </w:r>
    </w:p>
    <w:p w14:paraId="5D02FE20" w14:textId="04A2EF8B" w:rsidR="000F7A7F" w:rsidRPr="00C62B3F" w:rsidRDefault="000C48A9" w:rsidP="00882A90">
      <w:pPr>
        <w:pStyle w:val="Body"/>
        <w:keepNext/>
        <w:keepLines/>
        <w:tabs>
          <w:tab w:val="left" w:pos="720"/>
        </w:tabs>
        <w:ind w:firstLine="0"/>
        <w:jc w:val="both"/>
        <w:rPr>
          <w:spacing w:val="-3"/>
          <w:sz w:val="28"/>
          <w:szCs w:val="28"/>
        </w:rPr>
      </w:pPr>
      <w:r w:rsidRPr="006F63FD">
        <w:rPr>
          <w:sz w:val="28"/>
          <w:szCs w:val="28"/>
        </w:rPr>
        <w:tab/>
      </w:r>
      <w:r w:rsidR="000F7C13" w:rsidRPr="006F63FD">
        <w:rPr>
          <w:sz w:val="28"/>
          <w:szCs w:val="28"/>
        </w:rPr>
        <w:t xml:space="preserve">The </w:t>
      </w:r>
      <w:r w:rsidR="00144714">
        <w:rPr>
          <w:sz w:val="28"/>
          <w:szCs w:val="28"/>
        </w:rPr>
        <w:t>Post-Conviction Clinic</w:t>
      </w:r>
      <w:r w:rsidR="000F7C13" w:rsidRPr="006F63FD">
        <w:rPr>
          <w:sz w:val="28"/>
          <w:szCs w:val="28"/>
        </w:rPr>
        <w:t xml:space="preserve"> respectfully requests that </w:t>
      </w:r>
      <w:r w:rsidR="00C62B3F">
        <w:rPr>
          <w:sz w:val="28"/>
          <w:szCs w:val="28"/>
        </w:rPr>
        <w:t xml:space="preserve">the Court </w:t>
      </w:r>
      <w:r w:rsidR="00C62B3F" w:rsidRPr="00882A90">
        <w:rPr>
          <w:b/>
          <w:bCs/>
          <w:sz w:val="28"/>
          <w:szCs w:val="28"/>
        </w:rPr>
        <w:t>adopt</w:t>
      </w:r>
      <w:r w:rsidR="00C62B3F">
        <w:rPr>
          <w:sz w:val="28"/>
          <w:szCs w:val="28"/>
        </w:rPr>
        <w:t xml:space="preserve"> the proposed amendments </w:t>
      </w:r>
      <w:r w:rsidR="00144714">
        <w:rPr>
          <w:sz w:val="28"/>
          <w:szCs w:val="28"/>
        </w:rPr>
        <w:t>as the substantial interests of defendants in having trial counsel submit a notice of post-conviction relief far outweigh the burdens on counsel and would codify existing ethical best practices for defense counsel.</w:t>
      </w:r>
      <w:r w:rsidR="00C62B3F">
        <w:rPr>
          <w:sz w:val="28"/>
          <w:szCs w:val="28"/>
        </w:rPr>
        <w:t xml:space="preserve"> </w:t>
      </w:r>
    </w:p>
    <w:tbl>
      <w:tblPr>
        <w:tblW w:w="9576" w:type="dxa"/>
        <w:tblInd w:w="-108" w:type="dxa"/>
        <w:tblLayout w:type="fixed"/>
        <w:tblCellMar>
          <w:left w:w="0" w:type="dxa"/>
          <w:right w:w="0" w:type="dxa"/>
        </w:tblCellMar>
        <w:tblLook w:val="0000" w:firstRow="0" w:lastRow="0" w:firstColumn="0" w:lastColumn="0" w:noHBand="0" w:noVBand="0"/>
      </w:tblPr>
      <w:tblGrid>
        <w:gridCol w:w="4338"/>
        <w:gridCol w:w="5238"/>
      </w:tblGrid>
      <w:tr w:rsidR="00DA1BF3" w:rsidRPr="00DA1BF3" w14:paraId="26E07F17" w14:textId="77777777" w:rsidTr="00E31939">
        <w:trPr>
          <w:cantSplit/>
        </w:trPr>
        <w:tc>
          <w:tcPr>
            <w:tcW w:w="4338" w:type="dxa"/>
          </w:tcPr>
          <w:p w14:paraId="6DEFF30B" w14:textId="63564D09" w:rsidR="00DA1BF3" w:rsidRPr="000415DE" w:rsidRDefault="00DA1BF3" w:rsidP="00DA1BF3">
            <w:pPr>
              <w:keepNext/>
              <w:keepLines/>
              <w:widowControl w:val="0"/>
              <w:spacing w:before="240" w:line="240" w:lineRule="exact"/>
              <w:ind w:left="108" w:right="108"/>
              <w:rPr>
                <w:sz w:val="28"/>
                <w:szCs w:val="28"/>
              </w:rPr>
            </w:pPr>
            <w:r w:rsidRPr="000415DE">
              <w:rPr>
                <w:sz w:val="28"/>
                <w:szCs w:val="28"/>
              </w:rPr>
              <w:t>Dated:  May 1, 2026</w:t>
            </w:r>
          </w:p>
          <w:p w14:paraId="294BE7CE" w14:textId="77777777" w:rsidR="00DA1BF3" w:rsidRPr="000415DE" w:rsidRDefault="00DA1BF3" w:rsidP="00DA1BF3">
            <w:pPr>
              <w:keepNext/>
              <w:keepLines/>
              <w:widowControl w:val="0"/>
              <w:spacing w:line="240" w:lineRule="exact"/>
              <w:ind w:left="108" w:right="108"/>
              <w:rPr>
                <w:sz w:val="28"/>
                <w:szCs w:val="28"/>
              </w:rPr>
            </w:pPr>
          </w:p>
        </w:tc>
        <w:tc>
          <w:tcPr>
            <w:tcW w:w="5238" w:type="dxa"/>
          </w:tcPr>
          <w:p w14:paraId="60089895" w14:textId="77777777" w:rsidR="00DA1BF3" w:rsidRPr="000415DE" w:rsidRDefault="00DA1BF3" w:rsidP="00DA1BF3">
            <w:pPr>
              <w:keepNext/>
              <w:keepLines/>
              <w:widowControl w:val="0"/>
              <w:spacing w:before="240" w:line="240" w:lineRule="exact"/>
              <w:ind w:left="108" w:right="108"/>
              <w:rPr>
                <w:caps/>
                <w:sz w:val="28"/>
                <w:szCs w:val="28"/>
              </w:rPr>
            </w:pPr>
            <w:r w:rsidRPr="000415DE">
              <w:rPr>
                <w:caps/>
                <w:sz w:val="28"/>
                <w:szCs w:val="28"/>
              </w:rPr>
              <w:t>POST-CONVICTION LEGAL CLINIC</w:t>
            </w:r>
          </w:p>
          <w:p w14:paraId="44D288A9" w14:textId="77777777" w:rsidR="00DA1BF3" w:rsidRPr="000415DE" w:rsidRDefault="00DA1BF3" w:rsidP="00DA1BF3">
            <w:pPr>
              <w:keepNext/>
              <w:keepLines/>
              <w:spacing w:before="480" w:line="240" w:lineRule="exact"/>
              <w:ind w:right="108"/>
              <w:rPr>
                <w:sz w:val="28"/>
                <w:szCs w:val="28"/>
                <w:u w:val="single"/>
              </w:rPr>
            </w:pPr>
            <w:r w:rsidRPr="000415DE">
              <w:rPr>
                <w:sz w:val="28"/>
                <w:szCs w:val="28"/>
              </w:rPr>
              <w:t>By:</w:t>
            </w:r>
            <w:r w:rsidRPr="000415DE">
              <w:rPr>
                <w:sz w:val="28"/>
                <w:szCs w:val="28"/>
                <w:u w:val="single"/>
              </w:rPr>
              <w:t xml:space="preserve"> /s/ Randal McDonald</w:t>
            </w:r>
            <w:r w:rsidRPr="000415DE">
              <w:rPr>
                <w:sz w:val="28"/>
                <w:szCs w:val="28"/>
                <w:u w:val="single"/>
              </w:rPr>
              <w:tab/>
            </w:r>
          </w:p>
          <w:p w14:paraId="5BD190E3" w14:textId="77777777" w:rsidR="00DA1BF3" w:rsidRPr="000415DE" w:rsidRDefault="00DA1BF3" w:rsidP="00DA1BF3">
            <w:pPr>
              <w:widowControl w:val="0"/>
              <w:spacing w:line="240" w:lineRule="exact"/>
              <w:ind w:left="108" w:right="252"/>
              <w:rPr>
                <w:sz w:val="28"/>
                <w:szCs w:val="28"/>
              </w:rPr>
            </w:pPr>
            <w:r w:rsidRPr="000415DE">
              <w:rPr>
                <w:sz w:val="28"/>
                <w:szCs w:val="28"/>
              </w:rPr>
              <w:t>Randal McDonald</w:t>
            </w:r>
          </w:p>
          <w:p w14:paraId="11B037F9" w14:textId="77777777" w:rsidR="00DA1BF3" w:rsidRPr="000415DE" w:rsidRDefault="00DA1BF3" w:rsidP="00DA1BF3">
            <w:pPr>
              <w:widowControl w:val="0"/>
              <w:spacing w:line="240" w:lineRule="exact"/>
              <w:ind w:left="108" w:right="252"/>
              <w:rPr>
                <w:sz w:val="28"/>
                <w:szCs w:val="28"/>
              </w:rPr>
            </w:pPr>
            <w:r w:rsidRPr="000415DE">
              <w:rPr>
                <w:sz w:val="28"/>
                <w:szCs w:val="28"/>
              </w:rPr>
              <w:t>Robert J. Dormady</w:t>
            </w:r>
          </w:p>
          <w:p w14:paraId="30600753" w14:textId="77777777" w:rsidR="00DA1BF3" w:rsidRPr="000415DE" w:rsidRDefault="00DA1BF3" w:rsidP="00DA1BF3">
            <w:pPr>
              <w:widowControl w:val="0"/>
              <w:spacing w:line="240" w:lineRule="exact"/>
              <w:ind w:left="108" w:right="252"/>
              <w:rPr>
                <w:sz w:val="28"/>
                <w:szCs w:val="28"/>
              </w:rPr>
            </w:pPr>
            <w:r w:rsidRPr="000415DE">
              <w:rPr>
                <w:sz w:val="28"/>
                <w:szCs w:val="28"/>
              </w:rPr>
              <w:t>Andi Humphreys</w:t>
            </w:r>
          </w:p>
          <w:p w14:paraId="1D498015" w14:textId="69E2782D" w:rsidR="00DA1BF3" w:rsidRPr="000415DE" w:rsidRDefault="00DA1BF3" w:rsidP="00DA1BF3">
            <w:pPr>
              <w:widowControl w:val="0"/>
              <w:spacing w:line="240" w:lineRule="exact"/>
              <w:ind w:left="108" w:right="252"/>
              <w:rPr>
                <w:sz w:val="28"/>
                <w:szCs w:val="28"/>
              </w:rPr>
            </w:pPr>
            <w:r w:rsidRPr="000415DE">
              <w:rPr>
                <w:sz w:val="28"/>
                <w:szCs w:val="28"/>
              </w:rPr>
              <w:t>Thomas Pierce</w:t>
            </w:r>
            <w:r w:rsidR="000415DE">
              <w:rPr>
                <w:sz w:val="28"/>
                <w:szCs w:val="28"/>
              </w:rPr>
              <w:t xml:space="preserve"> (</w:t>
            </w:r>
            <w:r w:rsidRPr="000415DE">
              <w:rPr>
                <w:sz w:val="28"/>
                <w:szCs w:val="28"/>
              </w:rPr>
              <w:t>Rule 39-certified Studen</w:t>
            </w:r>
            <w:r w:rsidR="003F6EB5" w:rsidRPr="000415DE">
              <w:rPr>
                <w:sz w:val="28"/>
                <w:szCs w:val="28"/>
              </w:rPr>
              <w:t>t</w:t>
            </w:r>
            <w:r w:rsidR="000415DE">
              <w:rPr>
                <w:sz w:val="28"/>
                <w:szCs w:val="28"/>
              </w:rPr>
              <w:t>)</w:t>
            </w:r>
          </w:p>
          <w:p w14:paraId="373A4801" w14:textId="344E6D06" w:rsidR="00DA1BF3" w:rsidRPr="000415DE" w:rsidRDefault="00DA1BF3" w:rsidP="00DA1BF3">
            <w:pPr>
              <w:widowControl w:val="0"/>
              <w:spacing w:line="240" w:lineRule="exact"/>
              <w:ind w:left="108" w:right="252"/>
              <w:rPr>
                <w:sz w:val="28"/>
                <w:szCs w:val="28"/>
              </w:rPr>
            </w:pPr>
            <w:r w:rsidRPr="000415DE">
              <w:rPr>
                <w:sz w:val="28"/>
                <w:szCs w:val="28"/>
              </w:rPr>
              <w:t>Emily Ruth</w:t>
            </w:r>
            <w:r w:rsidR="000415DE">
              <w:rPr>
                <w:sz w:val="28"/>
                <w:szCs w:val="28"/>
              </w:rPr>
              <w:t xml:space="preserve"> (</w:t>
            </w:r>
            <w:r w:rsidRPr="000415DE">
              <w:rPr>
                <w:sz w:val="28"/>
                <w:szCs w:val="28"/>
              </w:rPr>
              <w:t>Rule 39-certified Student</w:t>
            </w:r>
            <w:r w:rsidR="000415DE">
              <w:rPr>
                <w:sz w:val="28"/>
                <w:szCs w:val="28"/>
              </w:rPr>
              <w:t>)</w:t>
            </w:r>
          </w:p>
          <w:p w14:paraId="35E82BAE" w14:textId="5BB0009D" w:rsidR="00DA1BF3" w:rsidRPr="000415DE" w:rsidRDefault="00DA1BF3" w:rsidP="003F6EB5">
            <w:pPr>
              <w:widowControl w:val="0"/>
              <w:spacing w:line="240" w:lineRule="exact"/>
              <w:ind w:left="108" w:right="252"/>
              <w:rPr>
                <w:sz w:val="28"/>
                <w:szCs w:val="28"/>
              </w:rPr>
            </w:pPr>
            <w:r w:rsidRPr="000415DE">
              <w:rPr>
                <w:sz w:val="28"/>
                <w:szCs w:val="28"/>
              </w:rPr>
              <w:t>111 East Taylor Street</w:t>
            </w:r>
            <w:r w:rsidRPr="000415DE">
              <w:rPr>
                <w:sz w:val="28"/>
                <w:szCs w:val="28"/>
              </w:rPr>
              <w:br/>
              <w:t>Phoenix, Arizona 85004</w:t>
            </w:r>
          </w:p>
        </w:tc>
      </w:tr>
    </w:tbl>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A1A1" w14:textId="77777777" w:rsidR="006F14DD" w:rsidRDefault="006F14DD">
      <w:r>
        <w:separator/>
      </w:r>
    </w:p>
  </w:endnote>
  <w:endnote w:type="continuationSeparator" w:id="0">
    <w:p w14:paraId="725FD0C4" w14:textId="77777777" w:rsidR="006F14DD" w:rsidRDefault="006F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B23E" w14:textId="77777777" w:rsidR="006F14DD" w:rsidRDefault="006F14DD">
      <w:r>
        <w:separator/>
      </w:r>
    </w:p>
  </w:footnote>
  <w:footnote w:type="continuationSeparator" w:id="0">
    <w:p w14:paraId="69315C50" w14:textId="77777777" w:rsidR="006F14DD" w:rsidRDefault="006F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B031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716A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5022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00B0"/>
    <w:rsid w:val="00021A78"/>
    <w:rsid w:val="000410B3"/>
    <w:rsid w:val="000415DE"/>
    <w:rsid w:val="00043D4D"/>
    <w:rsid w:val="00052372"/>
    <w:rsid w:val="000666D1"/>
    <w:rsid w:val="0007124F"/>
    <w:rsid w:val="0008003D"/>
    <w:rsid w:val="000917C0"/>
    <w:rsid w:val="00093FA1"/>
    <w:rsid w:val="000A1D6B"/>
    <w:rsid w:val="000C48A9"/>
    <w:rsid w:val="000E09DC"/>
    <w:rsid w:val="000F7A7F"/>
    <w:rsid w:val="000F7C13"/>
    <w:rsid w:val="00121450"/>
    <w:rsid w:val="00123E30"/>
    <w:rsid w:val="00135326"/>
    <w:rsid w:val="00144714"/>
    <w:rsid w:val="001A2520"/>
    <w:rsid w:val="001B5E4F"/>
    <w:rsid w:val="001B6687"/>
    <w:rsid w:val="001F3FCD"/>
    <w:rsid w:val="001F591C"/>
    <w:rsid w:val="00207336"/>
    <w:rsid w:val="0022683E"/>
    <w:rsid w:val="0023478A"/>
    <w:rsid w:val="002406A1"/>
    <w:rsid w:val="00242576"/>
    <w:rsid w:val="00247D96"/>
    <w:rsid w:val="00272717"/>
    <w:rsid w:val="00274D6A"/>
    <w:rsid w:val="002906C3"/>
    <w:rsid w:val="00296C6E"/>
    <w:rsid w:val="002A4D11"/>
    <w:rsid w:val="002B748D"/>
    <w:rsid w:val="002D6480"/>
    <w:rsid w:val="002F1135"/>
    <w:rsid w:val="00314436"/>
    <w:rsid w:val="00323ED9"/>
    <w:rsid w:val="00334B42"/>
    <w:rsid w:val="003511F9"/>
    <w:rsid w:val="00352347"/>
    <w:rsid w:val="003566D6"/>
    <w:rsid w:val="00357F4D"/>
    <w:rsid w:val="003617D1"/>
    <w:rsid w:val="003671D6"/>
    <w:rsid w:val="00367D29"/>
    <w:rsid w:val="00375E68"/>
    <w:rsid w:val="00377199"/>
    <w:rsid w:val="0038548A"/>
    <w:rsid w:val="00387F80"/>
    <w:rsid w:val="00395B2D"/>
    <w:rsid w:val="003A28AC"/>
    <w:rsid w:val="003A3DB2"/>
    <w:rsid w:val="003C44AC"/>
    <w:rsid w:val="003F68ED"/>
    <w:rsid w:val="003F6EB5"/>
    <w:rsid w:val="00407E2D"/>
    <w:rsid w:val="00416FF3"/>
    <w:rsid w:val="004331B2"/>
    <w:rsid w:val="00440E4C"/>
    <w:rsid w:val="00463734"/>
    <w:rsid w:val="004649FC"/>
    <w:rsid w:val="00487E4A"/>
    <w:rsid w:val="00490EBF"/>
    <w:rsid w:val="00494BDF"/>
    <w:rsid w:val="004C3AE3"/>
    <w:rsid w:val="004C3F11"/>
    <w:rsid w:val="004D035E"/>
    <w:rsid w:val="004D6A2F"/>
    <w:rsid w:val="004E59D5"/>
    <w:rsid w:val="004E6C12"/>
    <w:rsid w:val="00504E1E"/>
    <w:rsid w:val="00506859"/>
    <w:rsid w:val="00507931"/>
    <w:rsid w:val="00513084"/>
    <w:rsid w:val="00520F93"/>
    <w:rsid w:val="00554FA1"/>
    <w:rsid w:val="00566856"/>
    <w:rsid w:val="00581197"/>
    <w:rsid w:val="005845AE"/>
    <w:rsid w:val="0059202F"/>
    <w:rsid w:val="005A0ADE"/>
    <w:rsid w:val="005A0FA7"/>
    <w:rsid w:val="005A21B0"/>
    <w:rsid w:val="005B5161"/>
    <w:rsid w:val="005D69F8"/>
    <w:rsid w:val="005D6AD4"/>
    <w:rsid w:val="005E580D"/>
    <w:rsid w:val="005F566E"/>
    <w:rsid w:val="005F58AD"/>
    <w:rsid w:val="005F5FEC"/>
    <w:rsid w:val="00615FBF"/>
    <w:rsid w:val="00616BB4"/>
    <w:rsid w:val="00631601"/>
    <w:rsid w:val="006338C1"/>
    <w:rsid w:val="00636F5E"/>
    <w:rsid w:val="00665CCF"/>
    <w:rsid w:val="006666D1"/>
    <w:rsid w:val="006721EC"/>
    <w:rsid w:val="006766BF"/>
    <w:rsid w:val="00691627"/>
    <w:rsid w:val="00692391"/>
    <w:rsid w:val="006932BA"/>
    <w:rsid w:val="00695E0C"/>
    <w:rsid w:val="006970DA"/>
    <w:rsid w:val="006A76C2"/>
    <w:rsid w:val="006B4F9A"/>
    <w:rsid w:val="006C29B2"/>
    <w:rsid w:val="006C3028"/>
    <w:rsid w:val="006E4770"/>
    <w:rsid w:val="006E7BD6"/>
    <w:rsid w:val="006F14DD"/>
    <w:rsid w:val="006F60B7"/>
    <w:rsid w:val="006F63FD"/>
    <w:rsid w:val="00703EF6"/>
    <w:rsid w:val="00717B9A"/>
    <w:rsid w:val="00721760"/>
    <w:rsid w:val="00732169"/>
    <w:rsid w:val="00735659"/>
    <w:rsid w:val="007427C6"/>
    <w:rsid w:val="0074548B"/>
    <w:rsid w:val="00770B74"/>
    <w:rsid w:val="0077110E"/>
    <w:rsid w:val="0078122B"/>
    <w:rsid w:val="00785D0D"/>
    <w:rsid w:val="007870CB"/>
    <w:rsid w:val="007A3F0F"/>
    <w:rsid w:val="007B091A"/>
    <w:rsid w:val="007D57AF"/>
    <w:rsid w:val="007D5C49"/>
    <w:rsid w:val="007D73FF"/>
    <w:rsid w:val="007E3CCB"/>
    <w:rsid w:val="007F65B7"/>
    <w:rsid w:val="008006ED"/>
    <w:rsid w:val="00822598"/>
    <w:rsid w:val="00823117"/>
    <w:rsid w:val="00830E43"/>
    <w:rsid w:val="0083305C"/>
    <w:rsid w:val="008360A1"/>
    <w:rsid w:val="00844CEB"/>
    <w:rsid w:val="00854844"/>
    <w:rsid w:val="00861563"/>
    <w:rsid w:val="00866103"/>
    <w:rsid w:val="00871AAA"/>
    <w:rsid w:val="00876F57"/>
    <w:rsid w:val="00882A90"/>
    <w:rsid w:val="00891AAA"/>
    <w:rsid w:val="008A4EB3"/>
    <w:rsid w:val="008B57A8"/>
    <w:rsid w:val="008C232C"/>
    <w:rsid w:val="008C60A0"/>
    <w:rsid w:val="008D5176"/>
    <w:rsid w:val="008F075E"/>
    <w:rsid w:val="008F21BF"/>
    <w:rsid w:val="008F5446"/>
    <w:rsid w:val="009249DA"/>
    <w:rsid w:val="00931F22"/>
    <w:rsid w:val="00933EA1"/>
    <w:rsid w:val="00936D85"/>
    <w:rsid w:val="0094667B"/>
    <w:rsid w:val="00951416"/>
    <w:rsid w:val="00954A5E"/>
    <w:rsid w:val="009604CF"/>
    <w:rsid w:val="00960D21"/>
    <w:rsid w:val="009778E9"/>
    <w:rsid w:val="00981D29"/>
    <w:rsid w:val="00981E11"/>
    <w:rsid w:val="0098747C"/>
    <w:rsid w:val="009C634C"/>
    <w:rsid w:val="009F1997"/>
    <w:rsid w:val="00A056FF"/>
    <w:rsid w:val="00A1564B"/>
    <w:rsid w:val="00A24990"/>
    <w:rsid w:val="00A4249C"/>
    <w:rsid w:val="00A5194F"/>
    <w:rsid w:val="00A561B0"/>
    <w:rsid w:val="00A5773F"/>
    <w:rsid w:val="00A766CE"/>
    <w:rsid w:val="00A81B86"/>
    <w:rsid w:val="00A871D6"/>
    <w:rsid w:val="00A93A7C"/>
    <w:rsid w:val="00AD52D4"/>
    <w:rsid w:val="00AE3007"/>
    <w:rsid w:val="00AE552D"/>
    <w:rsid w:val="00AF282C"/>
    <w:rsid w:val="00AF3FF7"/>
    <w:rsid w:val="00AF5777"/>
    <w:rsid w:val="00B1491D"/>
    <w:rsid w:val="00B332B2"/>
    <w:rsid w:val="00B357A9"/>
    <w:rsid w:val="00B42182"/>
    <w:rsid w:val="00B47B7D"/>
    <w:rsid w:val="00B50CB1"/>
    <w:rsid w:val="00B5543C"/>
    <w:rsid w:val="00B94661"/>
    <w:rsid w:val="00BA7A9D"/>
    <w:rsid w:val="00BD2F59"/>
    <w:rsid w:val="00BD3C31"/>
    <w:rsid w:val="00BD667D"/>
    <w:rsid w:val="00BE4609"/>
    <w:rsid w:val="00C03E0F"/>
    <w:rsid w:val="00C047CF"/>
    <w:rsid w:val="00C07C5B"/>
    <w:rsid w:val="00C23103"/>
    <w:rsid w:val="00C435E9"/>
    <w:rsid w:val="00C52E56"/>
    <w:rsid w:val="00C5407A"/>
    <w:rsid w:val="00C62B3F"/>
    <w:rsid w:val="00C662B0"/>
    <w:rsid w:val="00C76230"/>
    <w:rsid w:val="00C81395"/>
    <w:rsid w:val="00C84FD4"/>
    <w:rsid w:val="00C86131"/>
    <w:rsid w:val="00C958EE"/>
    <w:rsid w:val="00CB00DF"/>
    <w:rsid w:val="00CB31AF"/>
    <w:rsid w:val="00CD21FB"/>
    <w:rsid w:val="00CD71A9"/>
    <w:rsid w:val="00CF3CA1"/>
    <w:rsid w:val="00D3161E"/>
    <w:rsid w:val="00D3288F"/>
    <w:rsid w:val="00D3695E"/>
    <w:rsid w:val="00D423FE"/>
    <w:rsid w:val="00D442E4"/>
    <w:rsid w:val="00D60D9B"/>
    <w:rsid w:val="00D7120A"/>
    <w:rsid w:val="00D80EDC"/>
    <w:rsid w:val="00DA1BF3"/>
    <w:rsid w:val="00DC3BC2"/>
    <w:rsid w:val="00DF4F15"/>
    <w:rsid w:val="00E047D3"/>
    <w:rsid w:val="00E172BC"/>
    <w:rsid w:val="00E17C80"/>
    <w:rsid w:val="00E266B7"/>
    <w:rsid w:val="00E279CF"/>
    <w:rsid w:val="00E321C5"/>
    <w:rsid w:val="00E322C1"/>
    <w:rsid w:val="00E367CE"/>
    <w:rsid w:val="00E51F46"/>
    <w:rsid w:val="00E5541E"/>
    <w:rsid w:val="00E5772B"/>
    <w:rsid w:val="00E67511"/>
    <w:rsid w:val="00E8066B"/>
    <w:rsid w:val="00E81026"/>
    <w:rsid w:val="00E82D0F"/>
    <w:rsid w:val="00E950B5"/>
    <w:rsid w:val="00EB2339"/>
    <w:rsid w:val="00EE194A"/>
    <w:rsid w:val="00EF38BF"/>
    <w:rsid w:val="00EF7E69"/>
    <w:rsid w:val="00F05449"/>
    <w:rsid w:val="00F0566A"/>
    <w:rsid w:val="00F05879"/>
    <w:rsid w:val="00F06F5B"/>
    <w:rsid w:val="00F2485D"/>
    <w:rsid w:val="00F33926"/>
    <w:rsid w:val="00F37AED"/>
    <w:rsid w:val="00F43901"/>
    <w:rsid w:val="00F43E57"/>
    <w:rsid w:val="00F45ECE"/>
    <w:rsid w:val="00F60C61"/>
    <w:rsid w:val="00F63A12"/>
    <w:rsid w:val="00F64670"/>
    <w:rsid w:val="00F64A87"/>
    <w:rsid w:val="00F64B52"/>
    <w:rsid w:val="00F6788D"/>
    <w:rsid w:val="00F702DE"/>
    <w:rsid w:val="00F70BE4"/>
    <w:rsid w:val="00F850BE"/>
    <w:rsid w:val="00F87CEB"/>
    <w:rsid w:val="00F87E29"/>
    <w:rsid w:val="00FB4B49"/>
    <w:rsid w:val="00FB5291"/>
    <w:rsid w:val="00FB5E84"/>
    <w:rsid w:val="00FC251B"/>
    <w:rsid w:val="00FD246B"/>
    <w:rsid w:val="00FE11E6"/>
    <w:rsid w:val="00FE352D"/>
    <w:rsid w:val="00FF205E"/>
    <w:rsid w:val="00FF620B"/>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24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al.mcdonald@a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i.humphreys@asu.edu" TargetMode="External"/><Relationship Id="rId4" Type="http://schemas.openxmlformats.org/officeDocument/2006/relationships/settings" Target="settings.xml"/><Relationship Id="rId9" Type="http://schemas.openxmlformats.org/officeDocument/2006/relationships/hyperlink" Target="mailto:robert.dormady@as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111</TotalTime>
  <Pages>1</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7</cp:revision>
  <cp:lastPrinted>2026-05-04T19:04:00Z</cp:lastPrinted>
  <dcterms:created xsi:type="dcterms:W3CDTF">2026-05-01T13:50:00Z</dcterms:created>
  <dcterms:modified xsi:type="dcterms:W3CDTF">2026-05-04T19:04:00Z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GrammarlyDocumentId">
    <vt:lpwstr>e4659e81-765f-4619-9884-b1322b7b4825</vt:lpwstr>
  </property>
</Properties>
</file>