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3427" w:rsidR="005E7E51" w:rsidP="007D6C4A" w:rsidRDefault="0054199F" w14:paraId="36B2408D" w14:textId="77777777">
      <w:pPr>
        <w:widowControl w:val="0"/>
        <w:spacing w:line="329" w:lineRule="exact"/>
        <w:textAlignment w:val="baseline"/>
        <w:rPr>
          <w:rFonts w:eastAsia="Times New Roman"/>
          <w:b/>
          <w:bCs/>
          <w:color w:val="000000"/>
          <w:spacing w:val="-1"/>
          <w:sz w:val="26"/>
          <w:szCs w:val="26"/>
        </w:rPr>
      </w:pPr>
      <w:r w:rsidRPr="00EA3427">
        <w:rPr>
          <w:rFonts w:eastAsia="Times New Roman"/>
          <w:b/>
          <w:bCs/>
          <w:color w:val="000000"/>
          <w:spacing w:val="-1"/>
          <w:sz w:val="26"/>
          <w:szCs w:val="26"/>
        </w:rPr>
        <w:t>SPENCER FANE LLP</w:t>
      </w:r>
    </w:p>
    <w:p w:rsidRPr="00EA3427" w:rsidR="0054199F" w:rsidP="007D6C4A" w:rsidRDefault="005E7E51" w14:paraId="6F6341CD" w14:textId="77777777">
      <w:pPr>
        <w:widowControl w:val="0"/>
        <w:spacing w:line="327" w:lineRule="exact"/>
        <w:textAlignment w:val="baseline"/>
        <w:rPr>
          <w:rFonts w:eastAsia="Times New Roman"/>
          <w:color w:val="000000"/>
          <w:spacing w:val="-1"/>
          <w:sz w:val="26"/>
          <w:szCs w:val="26"/>
        </w:rPr>
      </w:pPr>
      <w:r w:rsidRPr="00EA3427">
        <w:rPr>
          <w:rFonts w:eastAsia="Times New Roman"/>
          <w:color w:val="000000"/>
          <w:spacing w:val="-1"/>
          <w:sz w:val="26"/>
          <w:szCs w:val="26"/>
        </w:rPr>
        <w:t>Eric D. Gere</w:t>
      </w:r>
      <w:r w:rsidRPr="00EA3427" w:rsidR="0054199F">
        <w:rPr>
          <w:rFonts w:eastAsia="Times New Roman"/>
          <w:color w:val="000000"/>
          <w:spacing w:val="-1"/>
          <w:sz w:val="26"/>
          <w:szCs w:val="26"/>
        </w:rPr>
        <w:t xml:space="preserve"> (No. 023226)</w:t>
      </w:r>
    </w:p>
    <w:p w:rsidRPr="00EA3427" w:rsidR="00D53277" w:rsidP="007D6C4A" w:rsidRDefault="0054199F" w14:paraId="4DE05AD8" w14:textId="77777777">
      <w:pPr>
        <w:widowControl w:val="0"/>
        <w:spacing w:line="327" w:lineRule="exact"/>
        <w:textAlignment w:val="baseline"/>
        <w:rPr>
          <w:rFonts w:eastAsia="Times New Roman"/>
          <w:color w:val="000000"/>
          <w:spacing w:val="-1"/>
          <w:sz w:val="26"/>
          <w:szCs w:val="26"/>
        </w:rPr>
      </w:pPr>
      <w:r w:rsidRPr="00EA3427">
        <w:rPr>
          <w:rFonts w:eastAsia="Times New Roman"/>
          <w:color w:val="000000"/>
          <w:spacing w:val="-1"/>
          <w:sz w:val="26"/>
          <w:szCs w:val="26"/>
        </w:rPr>
        <w:t>Dontan K. Hart</w:t>
      </w:r>
      <w:r w:rsidRPr="00EA3427" w:rsidR="005E7E51">
        <w:rPr>
          <w:rFonts w:eastAsia="Times New Roman"/>
          <w:color w:val="000000"/>
          <w:spacing w:val="-1"/>
          <w:sz w:val="26"/>
          <w:szCs w:val="26"/>
        </w:rPr>
        <w:t xml:space="preserve"> </w:t>
      </w:r>
      <w:r w:rsidRPr="00EA3427">
        <w:rPr>
          <w:rFonts w:eastAsia="Times New Roman"/>
          <w:color w:val="000000"/>
          <w:spacing w:val="-1"/>
          <w:sz w:val="26"/>
          <w:szCs w:val="26"/>
        </w:rPr>
        <w:t xml:space="preserve"> (No. 035207)</w:t>
      </w:r>
    </w:p>
    <w:p w:rsidRPr="00EA3427" w:rsidR="0054199F" w:rsidP="007D6C4A" w:rsidRDefault="0054199F" w14:paraId="3309F699" w14:textId="77777777">
      <w:pPr>
        <w:widowControl w:val="0"/>
        <w:spacing w:line="327" w:lineRule="exact"/>
        <w:textAlignment w:val="baseline"/>
        <w:rPr>
          <w:rFonts w:eastAsia="Times New Roman"/>
          <w:color w:val="000000"/>
          <w:spacing w:val="-1"/>
          <w:sz w:val="26"/>
          <w:szCs w:val="26"/>
        </w:rPr>
      </w:pPr>
      <w:r w:rsidRPr="00EA3427">
        <w:rPr>
          <w:rFonts w:eastAsia="Times New Roman"/>
          <w:color w:val="000000"/>
          <w:spacing w:val="-1"/>
          <w:sz w:val="26"/>
          <w:szCs w:val="26"/>
        </w:rPr>
        <w:t>2415 E. Camelback Road, Suite 600</w:t>
      </w:r>
    </w:p>
    <w:p w:rsidRPr="00EA3427" w:rsidR="0054199F" w:rsidP="007D6C4A" w:rsidRDefault="0054199F" w14:paraId="2046152A" w14:textId="77777777">
      <w:pPr>
        <w:widowControl w:val="0"/>
        <w:spacing w:line="327" w:lineRule="exact"/>
        <w:textAlignment w:val="baseline"/>
        <w:rPr>
          <w:rFonts w:eastAsia="Times New Roman"/>
          <w:color w:val="000000"/>
          <w:spacing w:val="-1"/>
          <w:sz w:val="26"/>
          <w:szCs w:val="26"/>
        </w:rPr>
      </w:pPr>
      <w:r w:rsidRPr="00EA3427">
        <w:rPr>
          <w:rFonts w:eastAsia="Times New Roman"/>
          <w:color w:val="000000"/>
          <w:spacing w:val="-1"/>
          <w:sz w:val="26"/>
          <w:szCs w:val="26"/>
        </w:rPr>
        <w:t>Phoenix, AZ 85016</w:t>
      </w:r>
    </w:p>
    <w:p w:rsidRPr="00EA3427" w:rsidR="0054199F" w:rsidP="007D6C4A" w:rsidRDefault="0054199F" w14:paraId="3BA6ADF8" w14:textId="77777777">
      <w:pPr>
        <w:widowControl w:val="0"/>
        <w:spacing w:line="327" w:lineRule="exact"/>
        <w:textAlignment w:val="baseline"/>
        <w:rPr>
          <w:rFonts w:eastAsia="Times New Roman"/>
          <w:color w:val="000000"/>
          <w:spacing w:val="-1"/>
          <w:sz w:val="26"/>
          <w:szCs w:val="26"/>
        </w:rPr>
      </w:pPr>
      <w:r w:rsidRPr="00EA3427">
        <w:rPr>
          <w:rFonts w:eastAsia="Times New Roman"/>
          <w:color w:val="000000"/>
          <w:spacing w:val="-1"/>
          <w:sz w:val="26"/>
          <w:szCs w:val="26"/>
        </w:rPr>
        <w:t>(602) 333-5430</w:t>
      </w:r>
    </w:p>
    <w:p w:rsidRPr="00EA3427" w:rsidR="00D53277" w:rsidP="007D6C4A" w:rsidRDefault="0054199F" w14:paraId="046CE867" w14:textId="77777777">
      <w:pPr>
        <w:widowControl w:val="0"/>
        <w:spacing w:line="327" w:lineRule="exact"/>
        <w:textAlignment w:val="baseline"/>
        <w:rPr>
          <w:rFonts w:eastAsia="Times New Roman"/>
          <w:color w:val="000000"/>
          <w:spacing w:val="-1"/>
          <w:sz w:val="26"/>
          <w:szCs w:val="26"/>
        </w:rPr>
      </w:pPr>
      <w:r w:rsidRPr="00EA3427">
        <w:rPr>
          <w:rFonts w:eastAsia="Times New Roman"/>
          <w:color w:val="000000"/>
          <w:spacing w:val="-1"/>
          <w:sz w:val="26"/>
          <w:szCs w:val="26"/>
        </w:rPr>
        <w:t xml:space="preserve">Email: </w:t>
      </w:r>
      <w:hyperlink w:history="1" r:id="rId8">
        <w:r w:rsidRPr="00EA3427">
          <w:rPr>
            <w:rStyle w:val="Hyperlink"/>
            <w:rFonts w:eastAsia="Times New Roman"/>
            <w:spacing w:val="-1"/>
            <w:sz w:val="26"/>
            <w:szCs w:val="26"/>
          </w:rPr>
          <w:t>egere@spencerfane.com</w:t>
        </w:r>
      </w:hyperlink>
      <w:r w:rsidRPr="00EA3427">
        <w:rPr>
          <w:rFonts w:eastAsia="Times New Roman"/>
          <w:color w:val="000000"/>
          <w:spacing w:val="-1"/>
          <w:sz w:val="26"/>
          <w:szCs w:val="26"/>
        </w:rPr>
        <w:t xml:space="preserve"> </w:t>
      </w:r>
    </w:p>
    <w:p w:rsidR="0054199F" w:rsidP="007D6C4A" w:rsidRDefault="0054199F" w14:paraId="611C5AB5" w14:textId="77777777">
      <w:pPr>
        <w:widowControl w:val="0"/>
        <w:spacing w:line="327" w:lineRule="exact"/>
        <w:textAlignment w:val="baseline"/>
        <w:rPr>
          <w:rFonts w:eastAsia="Times New Roman"/>
          <w:color w:val="000000"/>
          <w:spacing w:val="-1"/>
          <w:sz w:val="26"/>
          <w:szCs w:val="26"/>
        </w:rPr>
      </w:pPr>
      <w:r w:rsidRPr="00EA3427">
        <w:rPr>
          <w:rFonts w:eastAsia="Times New Roman"/>
          <w:color w:val="000000"/>
          <w:spacing w:val="-1"/>
          <w:sz w:val="26"/>
          <w:szCs w:val="26"/>
        </w:rPr>
        <w:t xml:space="preserve">Email: </w:t>
      </w:r>
      <w:hyperlink w:history="1" r:id="rId9">
        <w:r w:rsidRPr="00EA3427">
          <w:rPr>
            <w:rStyle w:val="Hyperlink"/>
            <w:rFonts w:eastAsia="Times New Roman"/>
            <w:spacing w:val="-1"/>
            <w:sz w:val="26"/>
            <w:szCs w:val="26"/>
          </w:rPr>
          <w:t>dhart@spencerfane.com</w:t>
        </w:r>
      </w:hyperlink>
      <w:r w:rsidRPr="00EA3427">
        <w:rPr>
          <w:rFonts w:eastAsia="Times New Roman"/>
          <w:color w:val="000000"/>
          <w:spacing w:val="-1"/>
          <w:sz w:val="26"/>
          <w:szCs w:val="26"/>
        </w:rPr>
        <w:t xml:space="preserve"> </w:t>
      </w:r>
    </w:p>
    <w:p w:rsidR="00654181" w:rsidP="007D6C4A" w:rsidRDefault="00654181" w14:paraId="43B4680D" w14:textId="77777777">
      <w:pPr>
        <w:widowControl w:val="0"/>
        <w:spacing w:line="327" w:lineRule="exact"/>
        <w:textAlignment w:val="baseline"/>
        <w:rPr>
          <w:rFonts w:eastAsia="Times New Roman"/>
          <w:i/>
          <w:iCs/>
          <w:color w:val="000000"/>
          <w:spacing w:val="-1"/>
          <w:sz w:val="26"/>
          <w:szCs w:val="26"/>
        </w:rPr>
      </w:pPr>
      <w:r>
        <w:rPr>
          <w:rFonts w:eastAsia="Times New Roman"/>
          <w:i/>
          <w:iCs/>
          <w:color w:val="000000"/>
          <w:spacing w:val="-1"/>
          <w:sz w:val="26"/>
          <w:szCs w:val="26"/>
        </w:rPr>
        <w:t>Attorneys for Salt River Project</w:t>
      </w:r>
    </w:p>
    <w:p w:rsidRPr="00654181" w:rsidR="00654181" w:rsidP="007D6C4A" w:rsidRDefault="00654181" w14:paraId="149E1545" w14:textId="1F3985FE">
      <w:pPr>
        <w:widowControl w:val="0"/>
        <w:spacing w:line="327" w:lineRule="exact"/>
        <w:textAlignment w:val="baseline"/>
        <w:rPr>
          <w:rFonts w:eastAsia="Times New Roman"/>
          <w:i/>
          <w:iCs/>
          <w:color w:val="000000"/>
          <w:spacing w:val="-1"/>
          <w:sz w:val="26"/>
          <w:szCs w:val="26"/>
        </w:rPr>
      </w:pPr>
      <w:r>
        <w:rPr>
          <w:rFonts w:eastAsia="Times New Roman"/>
          <w:i/>
          <w:iCs/>
          <w:color w:val="000000"/>
          <w:spacing w:val="-1"/>
          <w:sz w:val="26"/>
          <w:szCs w:val="26"/>
        </w:rPr>
        <w:t>Agricultural Improvement and Power District</w:t>
      </w:r>
    </w:p>
    <w:p w:rsidRPr="00EA3427" w:rsidR="00D53277" w:rsidP="007D6C4A" w:rsidRDefault="00D53277" w14:paraId="17D0C0CD" w14:textId="77777777">
      <w:pPr>
        <w:widowControl w:val="0"/>
        <w:spacing w:before="329" w:after="240" w:line="327" w:lineRule="exact"/>
        <w:jc w:val="center"/>
        <w:textAlignment w:val="baseline"/>
        <w:rPr>
          <w:rFonts w:eastAsia="Times New Roman"/>
          <w:b/>
          <w:color w:val="000000"/>
          <w:sz w:val="26"/>
          <w:szCs w:val="26"/>
        </w:rPr>
      </w:pPr>
      <w:r w:rsidRPr="00EA3427">
        <w:rPr>
          <w:rFonts w:eastAsia="Times New Roman"/>
          <w:b/>
          <w:color w:val="000000"/>
          <w:sz w:val="26"/>
          <w:szCs w:val="26"/>
        </w:rPr>
        <w:t xml:space="preserve">IN THE SUPREME COURT </w:t>
      </w:r>
      <w:r w:rsidRPr="00EA3427">
        <w:rPr>
          <w:rFonts w:eastAsia="Times New Roman"/>
          <w:b/>
          <w:color w:val="000000"/>
          <w:sz w:val="26"/>
          <w:szCs w:val="26"/>
        </w:rPr>
        <w:br/>
        <w:t>STATE OF ARIZONA</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50"/>
        <w:gridCol w:w="4626"/>
      </w:tblGrid>
      <w:tr w:rsidRPr="001E44E5" w:rsidR="00693D92" w:rsidTr="00A41131" w14:paraId="6E5B6124" w14:textId="77777777">
        <w:tc>
          <w:tcPr>
            <w:tcW w:w="4950" w:type="dxa"/>
            <w:tcBorders>
              <w:top w:val="nil"/>
              <w:left w:val="nil"/>
              <w:bottom w:val="nil"/>
            </w:tcBorders>
          </w:tcPr>
          <w:p w:rsidRPr="00EA3427" w:rsidR="00693D92" w:rsidP="007D6C4A" w:rsidRDefault="00693D92" w14:paraId="3E81334B" w14:textId="77777777">
            <w:pPr>
              <w:widowControl w:val="0"/>
              <w:tabs>
                <w:tab w:val="left" w:pos="2140"/>
              </w:tabs>
              <w:rPr>
                <w:rFonts w:eastAsia="Times New Roman"/>
                <w:sz w:val="26"/>
                <w:szCs w:val="26"/>
              </w:rPr>
            </w:pPr>
            <w:r w:rsidRPr="00EA3427">
              <w:rPr>
                <w:rFonts w:eastAsia="Times New Roman"/>
                <w:sz w:val="26"/>
                <w:szCs w:val="26"/>
              </w:rPr>
              <w:t>In the Matter of:</w:t>
            </w:r>
          </w:p>
          <w:p w:rsidRPr="00EA3427" w:rsidR="00693D92" w:rsidP="007D6C4A" w:rsidRDefault="00693D92" w14:paraId="7D998E46" w14:textId="77777777">
            <w:pPr>
              <w:widowControl w:val="0"/>
              <w:tabs>
                <w:tab w:val="left" w:pos="4320"/>
              </w:tabs>
              <w:textAlignment w:val="baseline"/>
              <w:rPr>
                <w:rFonts w:eastAsia="Times New Roman"/>
                <w:color w:val="000000"/>
                <w:sz w:val="26"/>
                <w:szCs w:val="26"/>
              </w:rPr>
            </w:pPr>
          </w:p>
          <w:p w:rsidRPr="00EA3427" w:rsidR="00693D92" w:rsidP="007D6C4A" w:rsidRDefault="00693D92" w14:paraId="06F3FEF5" w14:textId="77777777">
            <w:pPr>
              <w:widowControl w:val="0"/>
              <w:tabs>
                <w:tab w:val="left" w:pos="4320"/>
              </w:tabs>
              <w:textAlignment w:val="baseline"/>
              <w:rPr>
                <w:rFonts w:eastAsia="Times New Roman"/>
                <w:color w:val="000000"/>
                <w:sz w:val="26"/>
                <w:szCs w:val="26"/>
              </w:rPr>
            </w:pPr>
          </w:p>
          <w:p w:rsidRPr="00EA3427" w:rsidR="00693D92" w:rsidP="007D6C4A" w:rsidRDefault="00693D92" w14:paraId="5988A34B" w14:textId="77777777">
            <w:pPr>
              <w:widowControl w:val="0"/>
              <w:tabs>
                <w:tab w:val="left" w:pos="4320"/>
              </w:tabs>
              <w:textAlignment w:val="baseline"/>
              <w:rPr>
                <w:rFonts w:eastAsia="Times New Roman"/>
                <w:color w:val="000000"/>
                <w:sz w:val="26"/>
                <w:szCs w:val="26"/>
              </w:rPr>
            </w:pPr>
            <w:r w:rsidRPr="00EA3427">
              <w:rPr>
                <w:rFonts w:eastAsia="Times New Roman"/>
                <w:color w:val="000000"/>
                <w:sz w:val="26"/>
                <w:szCs w:val="26"/>
              </w:rPr>
              <w:t>PETITION TO AMEND</w:t>
            </w:r>
            <w:r w:rsidRPr="00EA3427">
              <w:rPr>
                <w:rFonts w:eastAsia="Times New Roman"/>
                <w:color w:val="000000"/>
                <w:sz w:val="26"/>
                <w:szCs w:val="26"/>
              </w:rPr>
              <w:tab/>
            </w:r>
          </w:p>
          <w:p w:rsidRPr="00EA3427" w:rsidR="00693D92" w:rsidP="007D6C4A" w:rsidRDefault="00693D92" w14:paraId="69ED471D" w14:textId="77777777">
            <w:pPr>
              <w:widowControl w:val="0"/>
              <w:tabs>
                <w:tab w:val="left" w:pos="2140"/>
              </w:tabs>
              <w:rPr>
                <w:rFonts w:eastAsia="Times New Roman"/>
                <w:sz w:val="26"/>
                <w:szCs w:val="26"/>
              </w:rPr>
            </w:pPr>
            <w:r w:rsidRPr="00EA3427">
              <w:rPr>
                <w:rFonts w:eastAsia="Times New Roman"/>
                <w:color w:val="000000"/>
                <w:spacing w:val="-4"/>
                <w:sz w:val="26"/>
                <w:szCs w:val="26"/>
              </w:rPr>
              <w:t>RULE</w:t>
            </w:r>
            <w:r w:rsidRPr="00EA3427" w:rsidR="00A41131">
              <w:rPr>
                <w:rFonts w:eastAsia="Times New Roman"/>
                <w:color w:val="000000"/>
                <w:spacing w:val="-4"/>
                <w:sz w:val="26"/>
                <w:szCs w:val="26"/>
              </w:rPr>
              <w:t>S REGARDING SERVICE OF PROCESS OF NOTICE OF CLAIM UPON GOVERNMENT OFFICIALS</w:t>
            </w:r>
            <w:bookmarkStart w:name="DefendantInfo" w:id="0"/>
            <w:bookmarkEnd w:id="0"/>
          </w:p>
          <w:p w:rsidRPr="00EA3427" w:rsidR="00693D92" w:rsidP="007D6C4A" w:rsidRDefault="00693D92" w14:paraId="4ECE1FB1" w14:textId="77777777">
            <w:pPr>
              <w:widowControl w:val="0"/>
              <w:tabs>
                <w:tab w:val="left" w:pos="2140"/>
              </w:tabs>
              <w:spacing w:line="245" w:lineRule="exact"/>
              <w:rPr>
                <w:rFonts w:eastAsia="Times New Roman"/>
                <w:sz w:val="26"/>
                <w:szCs w:val="26"/>
              </w:rPr>
            </w:pPr>
          </w:p>
          <w:p w:rsidRPr="00EA3427" w:rsidR="00693D92" w:rsidP="007D6C4A" w:rsidRDefault="00693D92" w14:paraId="54A2A251" w14:textId="77777777">
            <w:pPr>
              <w:widowControl w:val="0"/>
              <w:tabs>
                <w:tab w:val="left" w:pos="2140"/>
              </w:tabs>
              <w:spacing w:line="245" w:lineRule="exact"/>
              <w:rPr>
                <w:rFonts w:eastAsia="Times New Roman"/>
                <w:sz w:val="26"/>
                <w:szCs w:val="26"/>
              </w:rPr>
            </w:pPr>
          </w:p>
          <w:p w:rsidRPr="00EA3427" w:rsidR="00693D92" w:rsidP="007D6C4A" w:rsidRDefault="00693D92" w14:paraId="7E39CF2B" w14:textId="77777777">
            <w:pPr>
              <w:widowControl w:val="0"/>
              <w:tabs>
                <w:tab w:val="left" w:pos="2140"/>
              </w:tabs>
              <w:spacing w:line="245" w:lineRule="exact"/>
              <w:rPr>
                <w:rFonts w:eastAsia="Times New Roman"/>
                <w:sz w:val="26"/>
                <w:szCs w:val="26"/>
              </w:rPr>
            </w:pPr>
          </w:p>
        </w:tc>
        <w:tc>
          <w:tcPr>
            <w:tcW w:w="4626" w:type="dxa"/>
            <w:tcBorders>
              <w:top w:val="nil"/>
              <w:bottom w:val="nil"/>
              <w:right w:val="nil"/>
            </w:tcBorders>
          </w:tcPr>
          <w:p w:rsidRPr="00EA3427" w:rsidR="00693D92" w:rsidP="007D6C4A" w:rsidRDefault="00693D92" w14:paraId="0ACDAB59" w14:textId="77777777">
            <w:pPr>
              <w:widowControl w:val="0"/>
              <w:ind w:left="151"/>
              <w:rPr>
                <w:rFonts w:eastAsia="Times New Roman"/>
                <w:sz w:val="26"/>
                <w:szCs w:val="26"/>
              </w:rPr>
            </w:pPr>
            <w:bookmarkStart w:name="CaseNumber" w:id="1"/>
            <w:bookmarkEnd w:id="1"/>
            <w:r w:rsidRPr="00EA3427">
              <w:rPr>
                <w:rFonts w:eastAsia="Times New Roman"/>
                <w:sz w:val="26"/>
                <w:szCs w:val="26"/>
              </w:rPr>
              <w:t>Supreme Court No. R-</w:t>
            </w:r>
            <w:r w:rsidRPr="00EA3427" w:rsidR="0054199F">
              <w:rPr>
                <w:rFonts w:eastAsia="Times New Roman"/>
                <w:sz w:val="26"/>
                <w:szCs w:val="26"/>
              </w:rPr>
              <w:t>25-0048</w:t>
            </w:r>
          </w:p>
          <w:p w:rsidRPr="00EA3427" w:rsidR="00693D92" w:rsidP="007D6C4A" w:rsidRDefault="00693D92" w14:paraId="0F33193A" w14:textId="77777777">
            <w:pPr>
              <w:widowControl w:val="0"/>
              <w:spacing w:before="240"/>
              <w:rPr>
                <w:rFonts w:eastAsia="Times New Roman"/>
                <w:b/>
                <w:sz w:val="26"/>
                <w:szCs w:val="26"/>
              </w:rPr>
            </w:pPr>
            <w:bookmarkStart w:name="Title" w:id="2"/>
            <w:bookmarkEnd w:id="2"/>
          </w:p>
          <w:p w:rsidRPr="00EA3427" w:rsidR="00693D92" w:rsidP="007D6C4A" w:rsidRDefault="00A41131" w14:paraId="365B79C6" w14:textId="77777777">
            <w:pPr>
              <w:widowControl w:val="0"/>
              <w:spacing w:line="245" w:lineRule="exact"/>
              <w:ind w:left="151"/>
              <w:rPr>
                <w:rFonts w:eastAsia="Times New Roman"/>
                <w:b/>
                <w:sz w:val="26"/>
                <w:szCs w:val="26"/>
              </w:rPr>
            </w:pPr>
            <w:r w:rsidRPr="00EA3427">
              <w:rPr>
                <w:rFonts w:eastAsia="Times New Roman"/>
                <w:b/>
                <w:sz w:val="26"/>
                <w:szCs w:val="26"/>
              </w:rPr>
              <w:t xml:space="preserve">COMMENT </w:t>
            </w:r>
            <w:r w:rsidRPr="00EA3427" w:rsidR="0054199F">
              <w:rPr>
                <w:rFonts w:eastAsia="Times New Roman"/>
                <w:b/>
                <w:sz w:val="26"/>
                <w:szCs w:val="26"/>
              </w:rPr>
              <w:t>IN OPPOSITION</w:t>
            </w:r>
            <w:r w:rsidRPr="00EA3427" w:rsidR="00082D33">
              <w:rPr>
                <w:rFonts w:eastAsia="Times New Roman"/>
                <w:b/>
                <w:sz w:val="26"/>
                <w:szCs w:val="26"/>
              </w:rPr>
              <w:t xml:space="preserve"> </w:t>
            </w:r>
            <w:r w:rsidRPr="00EA3427">
              <w:rPr>
                <w:rFonts w:eastAsia="Times New Roman"/>
                <w:b/>
                <w:sz w:val="26"/>
                <w:szCs w:val="26"/>
              </w:rPr>
              <w:t>TO PETITION TO AMEND RULE</w:t>
            </w:r>
            <w:r w:rsidRPr="00EA3427" w:rsidR="00266DF9">
              <w:rPr>
                <w:rFonts w:eastAsia="Times New Roman"/>
                <w:b/>
                <w:sz w:val="26"/>
                <w:szCs w:val="26"/>
              </w:rPr>
              <w:t xml:space="preserve">S </w:t>
            </w:r>
            <w:r w:rsidRPr="00EA3427" w:rsidR="0054199F">
              <w:rPr>
                <w:rFonts w:eastAsia="Times New Roman"/>
                <w:b/>
                <w:sz w:val="26"/>
                <w:szCs w:val="26"/>
              </w:rPr>
              <w:t xml:space="preserve">4.1, 4.2, AND ADD RULE 4.3 </w:t>
            </w:r>
            <w:r w:rsidRPr="00EA3427" w:rsidR="00266DF9">
              <w:rPr>
                <w:rFonts w:eastAsia="Times New Roman"/>
                <w:b/>
                <w:sz w:val="26"/>
                <w:szCs w:val="26"/>
              </w:rPr>
              <w:t>REGARDING SERVICE OF PROCESS OF NOTICE OF CLAIM UPON GOVERNMENT OFFICIALS</w:t>
            </w:r>
          </w:p>
        </w:tc>
      </w:tr>
      <w:tr w:rsidRPr="001E44E5" w:rsidR="00A41131" w:rsidTr="00D73472" w14:paraId="7A4C6419" w14:textId="77777777">
        <w:tc>
          <w:tcPr>
            <w:tcW w:w="4950" w:type="dxa"/>
            <w:tcBorders>
              <w:top w:val="nil"/>
              <w:left w:val="nil"/>
            </w:tcBorders>
          </w:tcPr>
          <w:p w:rsidRPr="00EA3427" w:rsidR="00A41131" w:rsidP="007D6C4A" w:rsidRDefault="00A41131" w14:paraId="42AA9578" w14:textId="77777777">
            <w:pPr>
              <w:widowControl w:val="0"/>
              <w:tabs>
                <w:tab w:val="left" w:pos="2140"/>
              </w:tabs>
              <w:rPr>
                <w:rFonts w:eastAsia="Times New Roman"/>
                <w:sz w:val="26"/>
                <w:szCs w:val="26"/>
              </w:rPr>
            </w:pPr>
          </w:p>
        </w:tc>
        <w:tc>
          <w:tcPr>
            <w:tcW w:w="4626" w:type="dxa"/>
            <w:tcBorders>
              <w:top w:val="nil"/>
              <w:bottom w:val="nil"/>
              <w:right w:val="nil"/>
            </w:tcBorders>
          </w:tcPr>
          <w:p w:rsidRPr="00EA3427" w:rsidR="00A41131" w:rsidP="007D6C4A" w:rsidRDefault="00A41131" w14:paraId="2534EBF2" w14:textId="77777777">
            <w:pPr>
              <w:widowControl w:val="0"/>
              <w:ind w:left="151"/>
              <w:rPr>
                <w:rFonts w:eastAsia="Times New Roman"/>
                <w:sz w:val="26"/>
                <w:szCs w:val="26"/>
              </w:rPr>
            </w:pPr>
          </w:p>
        </w:tc>
      </w:tr>
    </w:tbl>
    <w:p w:rsidRPr="00EA3427" w:rsidR="00D53277" w:rsidP="007D6C4A" w:rsidRDefault="00D53277" w14:paraId="5FA91455" w14:textId="77777777">
      <w:pPr>
        <w:widowControl w:val="0"/>
        <w:rPr>
          <w:sz w:val="26"/>
          <w:szCs w:val="26"/>
        </w:rPr>
      </w:pPr>
    </w:p>
    <w:p w:rsidRPr="00EA3427" w:rsidR="00D53277" w:rsidP="007D6C4A" w:rsidRDefault="00D53277" w14:paraId="747DE774" w14:textId="77777777">
      <w:pPr>
        <w:widowControl w:val="0"/>
        <w:spacing w:line="480" w:lineRule="exact"/>
        <w:jc w:val="both"/>
        <w:rPr>
          <w:sz w:val="26"/>
          <w:szCs w:val="26"/>
        </w:rPr>
      </w:pPr>
      <w:r w:rsidRPr="00EA3427">
        <w:rPr>
          <w:sz w:val="26"/>
          <w:szCs w:val="26"/>
        </w:rPr>
        <w:tab/>
        <w:t xml:space="preserve">Pursuant to Rule 28(D), Rules of the Supreme Court, Salt River Project Agricultural Improvement and Power </w:t>
      </w:r>
      <w:r w:rsidRPr="00EA3427" w:rsidR="00A41131">
        <w:rPr>
          <w:sz w:val="26"/>
          <w:szCs w:val="26"/>
        </w:rPr>
        <w:t>District</w:t>
      </w:r>
      <w:r w:rsidRPr="00EA3427">
        <w:rPr>
          <w:sz w:val="26"/>
          <w:szCs w:val="26"/>
        </w:rPr>
        <w:t xml:space="preserve"> respectfully submits this Comment for the Court’s consideration. </w:t>
      </w:r>
    </w:p>
    <w:p w:rsidRPr="00EA3427" w:rsidR="00211898" w:rsidP="007D6C4A" w:rsidRDefault="00266DF9" w14:paraId="1D254088" w14:textId="77777777">
      <w:pPr>
        <w:pStyle w:val="ListParagraph"/>
        <w:widowControl w:val="0"/>
        <w:numPr>
          <w:ilvl w:val="0"/>
          <w:numId w:val="1"/>
        </w:numPr>
        <w:spacing w:line="480" w:lineRule="exact"/>
        <w:ind w:hanging="780"/>
        <w:contextualSpacing w:val="0"/>
        <w:jc w:val="both"/>
        <w:rPr>
          <w:b/>
          <w:bCs/>
          <w:sz w:val="26"/>
          <w:szCs w:val="26"/>
        </w:rPr>
      </w:pPr>
      <w:r w:rsidRPr="00EA3427">
        <w:rPr>
          <w:b/>
          <w:bCs/>
          <w:sz w:val="26"/>
          <w:szCs w:val="26"/>
        </w:rPr>
        <w:t>INTRODUCTION</w:t>
      </w:r>
    </w:p>
    <w:p w:rsidR="00E15259" w:rsidP="007D6C4A" w:rsidRDefault="00211898" w14:paraId="392970C2" w14:textId="77777777">
      <w:pPr>
        <w:widowControl w:val="0"/>
        <w:spacing w:line="480" w:lineRule="exact"/>
        <w:ind w:firstLine="720"/>
        <w:jc w:val="both"/>
        <w:rPr>
          <w:sz w:val="26"/>
          <w:szCs w:val="26"/>
        </w:rPr>
      </w:pPr>
      <w:r w:rsidRPr="00EA3427">
        <w:rPr>
          <w:sz w:val="26"/>
          <w:szCs w:val="26"/>
        </w:rPr>
        <w:t xml:space="preserve">Salt River Project Agricultural Improvement and Power District (“SRP”), </w:t>
      </w:r>
      <w:r w:rsidR="00DA7D37">
        <w:rPr>
          <w:sz w:val="26"/>
          <w:szCs w:val="26"/>
        </w:rPr>
        <w:t xml:space="preserve">an </w:t>
      </w:r>
      <w:r w:rsidR="00D53051">
        <w:rPr>
          <w:sz w:val="26"/>
          <w:szCs w:val="26"/>
        </w:rPr>
        <w:t>a</w:t>
      </w:r>
      <w:r w:rsidR="00DA7D37">
        <w:rPr>
          <w:sz w:val="26"/>
          <w:szCs w:val="26"/>
        </w:rPr>
        <w:t xml:space="preserve">gricultural improvement district under Title 48, Chapter 17, </w:t>
      </w:r>
      <w:r w:rsidR="00D53051">
        <w:rPr>
          <w:sz w:val="26"/>
          <w:szCs w:val="26"/>
        </w:rPr>
        <w:t>A.R.S.</w:t>
      </w:r>
      <w:r w:rsidR="00DA7D37">
        <w:rPr>
          <w:sz w:val="26"/>
          <w:szCs w:val="26"/>
        </w:rPr>
        <w:t xml:space="preserve">, and a political subdivision of the State of Arizona, </w:t>
      </w:r>
      <w:r w:rsidR="00DA7D37">
        <w:rPr>
          <w:i/>
          <w:iCs/>
          <w:sz w:val="26"/>
          <w:szCs w:val="26"/>
        </w:rPr>
        <w:t xml:space="preserve">see </w:t>
      </w:r>
      <w:r w:rsidR="00DA7D37">
        <w:rPr>
          <w:sz w:val="26"/>
          <w:szCs w:val="26"/>
        </w:rPr>
        <w:t xml:space="preserve">A.R.S. § 48-2302, </w:t>
      </w:r>
      <w:r w:rsidRPr="00EA3427">
        <w:rPr>
          <w:sz w:val="26"/>
          <w:szCs w:val="26"/>
        </w:rPr>
        <w:t xml:space="preserve">respectfully submits these comments in opposition to the Petition to Amend Court Rules Regarding Service of Process of Notice of Claim Upon Government Officials (the “Petition”).   </w:t>
      </w:r>
    </w:p>
    <w:p w:rsidR="007D6C4A" w:rsidP="003E76E5" w:rsidRDefault="006C19A6" w14:paraId="37E2EBA6" w14:textId="0B68BA55">
      <w:pPr>
        <w:widowControl w:val="0"/>
        <w:spacing w:after="240" w:line="480" w:lineRule="exact"/>
        <w:ind w:firstLine="720"/>
        <w:jc w:val="both"/>
        <w:rPr>
          <w:rFonts w:eastAsia="Times New Roman"/>
          <w:sz w:val="26"/>
          <w:szCs w:val="26"/>
        </w:rPr>
      </w:pPr>
      <w:r>
        <w:rPr>
          <w:sz w:val="26"/>
          <w:szCs w:val="26"/>
        </w:rPr>
        <w:t>As explained herein, t</w:t>
      </w:r>
      <w:r w:rsidRPr="00EA3427">
        <w:rPr>
          <w:rFonts w:eastAsia="Times New Roman"/>
          <w:sz w:val="26"/>
          <w:szCs w:val="26"/>
        </w:rPr>
        <w:t xml:space="preserve">he Petition proposes </w:t>
      </w:r>
      <w:r>
        <w:rPr>
          <w:sz w:val="26"/>
          <w:szCs w:val="26"/>
        </w:rPr>
        <w:t>amendments</w:t>
      </w:r>
      <w:r w:rsidRPr="001E44E5">
        <w:rPr>
          <w:sz w:val="26"/>
          <w:szCs w:val="26"/>
        </w:rPr>
        <w:t xml:space="preserve"> that conflict with the </w:t>
      </w:r>
      <w:r w:rsidRPr="001E44E5">
        <w:rPr>
          <w:sz w:val="26"/>
          <w:szCs w:val="26"/>
        </w:rPr>
        <w:lastRenderedPageBreak/>
        <w:t xml:space="preserve">legislature's exclusive authority over </w:t>
      </w:r>
      <w:r>
        <w:rPr>
          <w:sz w:val="26"/>
          <w:szCs w:val="26"/>
        </w:rPr>
        <w:t xml:space="preserve">the procedure for pursuing </w:t>
      </w:r>
      <w:r w:rsidRPr="001E44E5">
        <w:rPr>
          <w:sz w:val="26"/>
          <w:szCs w:val="26"/>
        </w:rPr>
        <w:t>claims against public entities</w:t>
      </w:r>
      <w:r w:rsidR="00F8598B">
        <w:rPr>
          <w:sz w:val="26"/>
          <w:szCs w:val="26"/>
        </w:rPr>
        <w:t xml:space="preserve"> and public employees</w:t>
      </w:r>
      <w:r w:rsidRPr="001E44E5">
        <w:rPr>
          <w:sz w:val="26"/>
          <w:szCs w:val="26"/>
        </w:rPr>
        <w:t>, discard</w:t>
      </w:r>
      <w:r>
        <w:rPr>
          <w:sz w:val="26"/>
          <w:szCs w:val="26"/>
        </w:rPr>
        <w:t>s</w:t>
      </w:r>
      <w:r w:rsidRPr="001E44E5">
        <w:rPr>
          <w:sz w:val="26"/>
          <w:szCs w:val="26"/>
        </w:rPr>
        <w:t xml:space="preserve"> the statute's </w:t>
      </w:r>
      <w:r>
        <w:rPr>
          <w:sz w:val="26"/>
          <w:szCs w:val="26"/>
        </w:rPr>
        <w:t>strict compliance</w:t>
      </w:r>
      <w:r w:rsidRPr="001E44E5">
        <w:rPr>
          <w:sz w:val="26"/>
          <w:szCs w:val="26"/>
        </w:rPr>
        <w:t xml:space="preserve"> requirement, and would generate more </w:t>
      </w:r>
      <w:r>
        <w:rPr>
          <w:sz w:val="26"/>
          <w:szCs w:val="26"/>
        </w:rPr>
        <w:t xml:space="preserve">administrative costs and </w:t>
      </w:r>
      <w:r w:rsidRPr="001E44E5">
        <w:rPr>
          <w:sz w:val="26"/>
          <w:szCs w:val="26"/>
        </w:rPr>
        <w:t>litigation than currently exists.</w:t>
      </w:r>
      <w:r w:rsidRPr="00EA3427">
        <w:rPr>
          <w:rFonts w:eastAsia="Times New Roman"/>
          <w:sz w:val="26"/>
          <w:szCs w:val="26"/>
        </w:rPr>
        <w:t xml:space="preserve"> </w:t>
      </w:r>
      <w:r>
        <w:rPr>
          <w:rFonts w:eastAsia="Times New Roman"/>
          <w:sz w:val="26"/>
          <w:szCs w:val="26"/>
        </w:rPr>
        <w:t xml:space="preserve"> Any one of these is </w:t>
      </w:r>
      <w:r w:rsidR="00F8598B">
        <w:rPr>
          <w:rFonts w:eastAsia="Times New Roman"/>
          <w:sz w:val="26"/>
          <w:szCs w:val="26"/>
        </w:rPr>
        <w:t xml:space="preserve">an </w:t>
      </w:r>
      <w:r>
        <w:rPr>
          <w:rFonts w:eastAsia="Times New Roman"/>
          <w:sz w:val="26"/>
          <w:szCs w:val="26"/>
        </w:rPr>
        <w:t>adequate and compelling ground for denying the Petition.</w:t>
      </w:r>
    </w:p>
    <w:p w:rsidRPr="001E44E5" w:rsidR="00566368" w:rsidP="007D6C4A" w:rsidRDefault="00566368" w14:paraId="1776FF72" w14:textId="77777777">
      <w:pPr>
        <w:pStyle w:val="ListParagraph"/>
        <w:widowControl w:val="0"/>
        <w:numPr>
          <w:ilvl w:val="0"/>
          <w:numId w:val="1"/>
        </w:numPr>
        <w:ind w:left="720" w:hanging="720"/>
        <w:contextualSpacing w:val="0"/>
        <w:jc w:val="both"/>
        <w:rPr>
          <w:b/>
          <w:bCs/>
          <w:caps/>
          <w:sz w:val="26"/>
          <w:szCs w:val="26"/>
        </w:rPr>
      </w:pPr>
      <w:r w:rsidRPr="00EA3427">
        <w:rPr>
          <w:b/>
          <w:bCs/>
          <w:caps/>
          <w:sz w:val="26"/>
          <w:szCs w:val="26"/>
        </w:rPr>
        <w:t>The Legislature Controls the Means and Methods for Bringing Suit against the PUblic Entities and PUblic Employees</w:t>
      </w:r>
    </w:p>
    <w:p w:rsidRPr="00EA3427" w:rsidR="00547BFD" w:rsidP="007D6C4A" w:rsidRDefault="00EA3427" w14:paraId="4B327E79" w14:textId="0594440E">
      <w:pPr>
        <w:pStyle w:val="ListParagraph"/>
        <w:widowControl w:val="0"/>
        <w:spacing w:line="480" w:lineRule="exact"/>
        <w:ind w:left="0" w:firstLine="720"/>
        <w:contextualSpacing w:val="0"/>
        <w:jc w:val="both"/>
        <w:rPr>
          <w:sz w:val="26"/>
          <w:szCs w:val="26"/>
        </w:rPr>
      </w:pPr>
      <w:r>
        <w:rPr>
          <w:sz w:val="26"/>
          <w:szCs w:val="26"/>
        </w:rPr>
        <w:t xml:space="preserve"> The Arizona Constitution vests in the legislature exclusive authority to determine the requirements for bringing a claim against the State, its political subdivisions, and their employees</w:t>
      </w:r>
      <w:r w:rsidRPr="00EA3427" w:rsidR="009A78B4">
        <w:rPr>
          <w:sz w:val="26"/>
          <w:szCs w:val="26"/>
        </w:rPr>
        <w:t xml:space="preserve">. </w:t>
      </w:r>
      <w:r w:rsidR="00D53051">
        <w:rPr>
          <w:i/>
          <w:iCs/>
          <w:sz w:val="26"/>
          <w:szCs w:val="26"/>
        </w:rPr>
        <w:t>See</w:t>
      </w:r>
      <w:r w:rsidRPr="00EA3427" w:rsidR="009A78B4">
        <w:rPr>
          <w:sz w:val="26"/>
          <w:szCs w:val="26"/>
        </w:rPr>
        <w:t xml:space="preserve"> Ariz. Const. art. IV, Pt. 2 § 18 (“The legislature shall direct by law in what manner and in what courts suits may be brought against the state.”)</w:t>
      </w:r>
      <w:r w:rsidRPr="00EA3427" w:rsidR="005B6E0E">
        <w:rPr>
          <w:sz w:val="26"/>
          <w:szCs w:val="26"/>
        </w:rPr>
        <w:t xml:space="preserve">; </w:t>
      </w:r>
      <w:r w:rsidRPr="00EA3427" w:rsidR="005B6E0E">
        <w:rPr>
          <w:i/>
          <w:iCs/>
          <w:sz w:val="26"/>
          <w:szCs w:val="26"/>
        </w:rPr>
        <w:t>State v. Barnum</w:t>
      </w:r>
      <w:r w:rsidRPr="00EA3427" w:rsidR="005B6E0E">
        <w:rPr>
          <w:sz w:val="26"/>
          <w:szCs w:val="26"/>
        </w:rPr>
        <w:t>, 58 Ariz. 221, 231 (1941) (holding the State is immune from suit “except upon its own terms and conditions”).</w:t>
      </w:r>
    </w:p>
    <w:p w:rsidRPr="00EA3427" w:rsidR="005B6E0E" w:rsidP="007D6C4A" w:rsidRDefault="009A78B4" w14:paraId="6B2ABB6D" w14:textId="19F1FAC9">
      <w:pPr>
        <w:pStyle w:val="ListParagraph"/>
        <w:widowControl w:val="0"/>
        <w:spacing w:line="480" w:lineRule="exact"/>
        <w:ind w:left="0" w:firstLine="720"/>
        <w:contextualSpacing w:val="0"/>
        <w:jc w:val="both"/>
        <w:rPr>
          <w:sz w:val="26"/>
          <w:szCs w:val="26"/>
        </w:rPr>
      </w:pPr>
      <w:r w:rsidRPr="00EA3427">
        <w:rPr>
          <w:sz w:val="26"/>
          <w:szCs w:val="26"/>
        </w:rPr>
        <w:t>In</w:t>
      </w:r>
      <w:r w:rsidRPr="00EA3427" w:rsidR="007035DB">
        <w:rPr>
          <w:sz w:val="26"/>
          <w:szCs w:val="26"/>
        </w:rPr>
        <w:t xml:space="preserve"> A.R.S. § 12-821.01</w:t>
      </w:r>
      <w:r w:rsidRPr="00EA3427">
        <w:rPr>
          <w:sz w:val="26"/>
          <w:szCs w:val="26"/>
        </w:rPr>
        <w:t>, the legislature established the specific requirements that must be satisfied before bringing a claim against a public entity or public employee.</w:t>
      </w:r>
      <w:r w:rsidR="00F8598B">
        <w:rPr>
          <w:sz w:val="26"/>
          <w:szCs w:val="26"/>
        </w:rPr>
        <w:t xml:space="preserve">  </w:t>
      </w:r>
      <w:r w:rsidRPr="008C556E" w:rsidR="00F8598B">
        <w:rPr>
          <w:i/>
          <w:iCs/>
          <w:sz w:val="26"/>
          <w:szCs w:val="26"/>
        </w:rPr>
        <w:t>Deer Valley Unified Sch. Dist. No. 97 v. Houser</w:t>
      </w:r>
      <w:r w:rsidRPr="008C556E" w:rsidR="00F8598B">
        <w:rPr>
          <w:sz w:val="26"/>
          <w:szCs w:val="26"/>
        </w:rPr>
        <w:t xml:space="preserve">, 214 Ariz. 293, 295, ¶ </w:t>
      </w:r>
      <w:r w:rsidR="00F8598B">
        <w:rPr>
          <w:sz w:val="26"/>
          <w:szCs w:val="26"/>
        </w:rPr>
        <w:t xml:space="preserve">19 </w:t>
      </w:r>
      <w:r w:rsidRPr="008C556E" w:rsidR="00F8598B">
        <w:rPr>
          <w:sz w:val="26"/>
          <w:szCs w:val="26"/>
        </w:rPr>
        <w:t>(2007).</w:t>
      </w:r>
      <w:r w:rsidRPr="00EA3427">
        <w:rPr>
          <w:sz w:val="26"/>
          <w:szCs w:val="26"/>
        </w:rPr>
        <w:t xml:space="preserve"> </w:t>
      </w:r>
      <w:r w:rsidRPr="00EA3427" w:rsidR="00547BFD">
        <w:rPr>
          <w:sz w:val="26"/>
          <w:szCs w:val="26"/>
        </w:rPr>
        <w:t xml:space="preserve"> </w:t>
      </w:r>
      <w:r w:rsidRPr="00EA3427" w:rsidR="007A3D8F">
        <w:rPr>
          <w:sz w:val="26"/>
          <w:szCs w:val="26"/>
        </w:rPr>
        <w:t xml:space="preserve">Specifically, </w:t>
      </w:r>
      <w:r w:rsidRPr="00EA3427" w:rsidR="00547BFD">
        <w:rPr>
          <w:sz w:val="26"/>
          <w:szCs w:val="26"/>
        </w:rPr>
        <w:t xml:space="preserve">a notice of claim </w:t>
      </w:r>
      <w:r w:rsidRPr="00EA3427" w:rsidR="007A3D8F">
        <w:rPr>
          <w:sz w:val="26"/>
          <w:szCs w:val="26"/>
        </w:rPr>
        <w:t>containing</w:t>
      </w:r>
      <w:r w:rsidRPr="00EA3427" w:rsidR="00547BFD">
        <w:rPr>
          <w:sz w:val="26"/>
          <w:szCs w:val="26"/>
        </w:rPr>
        <w:t xml:space="preserve"> </w:t>
      </w:r>
      <w:r w:rsidRPr="00EA3427" w:rsidR="007A3D8F">
        <w:rPr>
          <w:sz w:val="26"/>
          <w:szCs w:val="26"/>
        </w:rPr>
        <w:t>the</w:t>
      </w:r>
      <w:r w:rsidRPr="00EA3427" w:rsidR="00547BFD">
        <w:rPr>
          <w:sz w:val="26"/>
          <w:szCs w:val="26"/>
        </w:rPr>
        <w:t xml:space="preserve"> facts that establish the basis for liability and an amount for which the claim can be settled</w:t>
      </w:r>
      <w:r w:rsidRPr="00EA3427" w:rsidR="007A3D8F">
        <w:rPr>
          <w:sz w:val="26"/>
          <w:szCs w:val="26"/>
        </w:rPr>
        <w:t xml:space="preserve"> must be filed “with the person or person authorized to accept service for the public entity, public school or public employee as set forth in the Arizona rules of civil procedure within one hundred eighty days after the cause of action accrues.”  </w:t>
      </w:r>
      <w:r w:rsidRPr="00EA3427" w:rsidR="007A3D8F">
        <w:rPr>
          <w:i/>
          <w:iCs/>
          <w:sz w:val="26"/>
          <w:szCs w:val="26"/>
        </w:rPr>
        <w:t>Id</w:t>
      </w:r>
      <w:r w:rsidRPr="00EA3427" w:rsidR="007A3D8F">
        <w:rPr>
          <w:sz w:val="26"/>
          <w:szCs w:val="26"/>
        </w:rPr>
        <w:t>.</w:t>
      </w:r>
      <w:r w:rsidR="00F8598B">
        <w:rPr>
          <w:sz w:val="26"/>
          <w:szCs w:val="26"/>
        </w:rPr>
        <w:t xml:space="preserve"> at ¶ 22.</w:t>
      </w:r>
      <w:r w:rsidRPr="00EA3427" w:rsidR="007A3D8F">
        <w:rPr>
          <w:sz w:val="26"/>
          <w:szCs w:val="26"/>
        </w:rPr>
        <w:t xml:space="preserve">  </w:t>
      </w:r>
    </w:p>
    <w:p w:rsidR="00DF3D17" w:rsidP="007D6C4A" w:rsidRDefault="00DF3D17" w14:paraId="61652BC6" w14:textId="781DEEB2">
      <w:pPr>
        <w:widowControl w:val="0"/>
        <w:spacing w:line="480" w:lineRule="exact"/>
        <w:ind w:firstLine="720"/>
        <w:jc w:val="both"/>
        <w:rPr>
          <w:sz w:val="26"/>
          <w:szCs w:val="26"/>
        </w:rPr>
      </w:pPr>
      <w:r w:rsidRPr="00F84E38">
        <w:rPr>
          <w:sz w:val="26"/>
          <w:szCs w:val="26"/>
        </w:rPr>
        <w:t xml:space="preserve">Section 12-821.01 is designed to allow the public entity and public </w:t>
      </w:r>
      <w:r w:rsidR="00036B81">
        <w:rPr>
          <w:sz w:val="26"/>
          <w:szCs w:val="26"/>
        </w:rPr>
        <w:t>employee</w:t>
      </w:r>
      <w:r w:rsidRPr="00F84E38" w:rsidR="00036B81">
        <w:rPr>
          <w:sz w:val="26"/>
          <w:szCs w:val="26"/>
        </w:rPr>
        <w:t xml:space="preserve"> </w:t>
      </w:r>
      <w:r w:rsidRPr="00F84E38">
        <w:rPr>
          <w:sz w:val="26"/>
          <w:szCs w:val="26"/>
        </w:rPr>
        <w:t xml:space="preserve">an opportunity “to investigate and assess liability, to permit the possibility of settlement prior to litigation, and to assist the public entity in financial planning and budgeting.” </w:t>
      </w:r>
      <w:r w:rsidR="005528CC">
        <w:rPr>
          <w:sz w:val="26"/>
          <w:szCs w:val="26"/>
        </w:rPr>
        <w:t xml:space="preserve"> </w:t>
      </w:r>
      <w:r w:rsidR="00F8598B">
        <w:rPr>
          <w:i/>
          <w:iCs/>
          <w:sz w:val="26"/>
          <w:szCs w:val="26"/>
        </w:rPr>
        <w:t xml:space="preserve">Id. </w:t>
      </w:r>
      <w:r w:rsidR="00F8598B">
        <w:rPr>
          <w:sz w:val="26"/>
          <w:szCs w:val="26"/>
        </w:rPr>
        <w:t xml:space="preserve">at </w:t>
      </w:r>
      <w:r w:rsidRPr="008C556E" w:rsidR="008C556E">
        <w:rPr>
          <w:sz w:val="26"/>
          <w:szCs w:val="26"/>
        </w:rPr>
        <w:t>¶ 6</w:t>
      </w:r>
      <w:r w:rsidRPr="008C556E" w:rsidR="005528CC">
        <w:rPr>
          <w:sz w:val="26"/>
          <w:szCs w:val="26"/>
        </w:rPr>
        <w:t>.</w:t>
      </w:r>
      <w:r w:rsidR="008C556E">
        <w:rPr>
          <w:sz w:val="26"/>
          <w:szCs w:val="26"/>
        </w:rPr>
        <w:t xml:space="preserve"> </w:t>
      </w:r>
      <w:r w:rsidR="005528CC">
        <w:rPr>
          <w:sz w:val="26"/>
          <w:szCs w:val="26"/>
        </w:rPr>
        <w:t xml:space="preserve"> </w:t>
      </w:r>
      <w:r w:rsidRPr="00393C93">
        <w:rPr>
          <w:sz w:val="26"/>
          <w:szCs w:val="26"/>
        </w:rPr>
        <w:t>As such, “[c]ompliance with the notice provision of § 12-821.01 is a mandatory and essential prerequisite” to brin</w:t>
      </w:r>
      <w:r w:rsidR="00E15259">
        <w:rPr>
          <w:sz w:val="26"/>
          <w:szCs w:val="26"/>
        </w:rPr>
        <w:t>g</w:t>
      </w:r>
      <w:r w:rsidRPr="00393C93">
        <w:rPr>
          <w:sz w:val="26"/>
          <w:szCs w:val="26"/>
        </w:rPr>
        <w:t xml:space="preserve">ing an action </w:t>
      </w:r>
      <w:r>
        <w:rPr>
          <w:sz w:val="26"/>
          <w:szCs w:val="26"/>
        </w:rPr>
        <w:t>subject to the notice of claim requirement</w:t>
      </w:r>
      <w:r w:rsidRPr="00393C93">
        <w:rPr>
          <w:sz w:val="26"/>
          <w:szCs w:val="26"/>
        </w:rPr>
        <w:t xml:space="preserve">.  </w:t>
      </w:r>
      <w:r w:rsidRPr="00393C93">
        <w:rPr>
          <w:i/>
          <w:iCs/>
          <w:sz w:val="26"/>
          <w:szCs w:val="26"/>
        </w:rPr>
        <w:t>Harris v. Cochise Health Sys</w:t>
      </w:r>
      <w:r w:rsidRPr="00393C93">
        <w:rPr>
          <w:sz w:val="26"/>
          <w:szCs w:val="26"/>
        </w:rPr>
        <w:t xml:space="preserve">., 215 Ariz. 344, 351 (App. 2007) (internal quotations </w:t>
      </w:r>
      <w:r w:rsidRPr="00393C93">
        <w:rPr>
          <w:sz w:val="26"/>
          <w:szCs w:val="26"/>
        </w:rPr>
        <w:lastRenderedPageBreak/>
        <w:t>omitted).</w:t>
      </w:r>
      <w:r w:rsidR="008C556E">
        <w:rPr>
          <w:sz w:val="26"/>
          <w:szCs w:val="26"/>
        </w:rPr>
        <w:t xml:space="preserve">  </w:t>
      </w:r>
      <w:r>
        <w:rPr>
          <w:sz w:val="26"/>
          <w:szCs w:val="26"/>
        </w:rPr>
        <w:t>A</w:t>
      </w:r>
      <w:r w:rsidRPr="00393C93">
        <w:rPr>
          <w:sz w:val="26"/>
          <w:szCs w:val="26"/>
        </w:rPr>
        <w:t xml:space="preserve">lthough “excusable neglect” was once an exception to the notice </w:t>
      </w:r>
      <w:r w:rsidR="00036B81">
        <w:rPr>
          <w:sz w:val="26"/>
          <w:szCs w:val="26"/>
        </w:rPr>
        <w:t>o</w:t>
      </w:r>
      <w:r>
        <w:rPr>
          <w:sz w:val="26"/>
          <w:szCs w:val="26"/>
        </w:rPr>
        <w:t xml:space="preserve">f claim </w:t>
      </w:r>
      <w:r w:rsidRPr="00393C93">
        <w:rPr>
          <w:sz w:val="26"/>
          <w:szCs w:val="26"/>
        </w:rPr>
        <w:t xml:space="preserve">requirement,  </w:t>
      </w:r>
      <w:r w:rsidRPr="00393C93">
        <w:rPr>
          <w:i/>
          <w:iCs/>
          <w:sz w:val="26"/>
          <w:szCs w:val="26"/>
        </w:rPr>
        <w:t xml:space="preserve">see </w:t>
      </w:r>
      <w:r w:rsidRPr="00393C93">
        <w:rPr>
          <w:sz w:val="26"/>
          <w:szCs w:val="26"/>
        </w:rPr>
        <w:t xml:space="preserve">A.R.S. § 12-821(A) (1992), the legislature </w:t>
      </w:r>
      <w:r>
        <w:rPr>
          <w:sz w:val="26"/>
          <w:szCs w:val="26"/>
        </w:rPr>
        <w:t xml:space="preserve">has </w:t>
      </w:r>
      <w:r w:rsidRPr="00393C93">
        <w:rPr>
          <w:sz w:val="26"/>
          <w:szCs w:val="26"/>
        </w:rPr>
        <w:t xml:space="preserve">amended the statute “in favor of language that requires strict compliance with the statutory filing prerequisites.”   </w:t>
      </w:r>
      <w:r w:rsidRPr="008C556E" w:rsidR="008C556E">
        <w:rPr>
          <w:i/>
          <w:iCs/>
          <w:sz w:val="26"/>
          <w:szCs w:val="26"/>
        </w:rPr>
        <w:t>Lee v. State</w:t>
      </w:r>
      <w:r w:rsidRPr="008C556E" w:rsidR="008C556E">
        <w:rPr>
          <w:sz w:val="26"/>
          <w:szCs w:val="26"/>
        </w:rPr>
        <w:t>, 218 Ariz. 235, 245 (2008)</w:t>
      </w:r>
      <w:r w:rsidR="008C556E">
        <w:rPr>
          <w:sz w:val="26"/>
          <w:szCs w:val="26"/>
        </w:rPr>
        <w:t xml:space="preserve"> </w:t>
      </w:r>
      <w:r w:rsidRPr="00393C93">
        <w:rPr>
          <w:sz w:val="26"/>
          <w:szCs w:val="26"/>
        </w:rPr>
        <w:t xml:space="preserve">(McGregor, C.J., dissenting).  </w:t>
      </w:r>
      <w:r>
        <w:rPr>
          <w:sz w:val="26"/>
          <w:szCs w:val="26"/>
        </w:rPr>
        <w:t>Thus, u</w:t>
      </w:r>
      <w:r w:rsidRPr="00393C93">
        <w:rPr>
          <w:sz w:val="26"/>
          <w:szCs w:val="26"/>
        </w:rPr>
        <w:t xml:space="preserve">nder the current statute, neither “actual notice” nor “substantial compliance” are sufficient.  </w:t>
      </w:r>
      <w:r w:rsidRPr="00393C93">
        <w:rPr>
          <w:i/>
          <w:iCs/>
          <w:sz w:val="26"/>
          <w:szCs w:val="26"/>
        </w:rPr>
        <w:t>Falcon ex rel. Sandoval v. Maricopa Cnty</w:t>
      </w:r>
      <w:r w:rsidRPr="00393C93">
        <w:rPr>
          <w:sz w:val="26"/>
          <w:szCs w:val="26"/>
        </w:rPr>
        <w:t>., 213 Ariz. 525, 527, ¶ 10 (2006).</w:t>
      </w:r>
    </w:p>
    <w:p w:rsidR="006C19A6" w:rsidP="007D6C4A" w:rsidRDefault="00D53051" w14:paraId="014D296B" w14:textId="739E4F08">
      <w:pPr>
        <w:widowControl w:val="0"/>
        <w:spacing w:line="480" w:lineRule="exact"/>
        <w:ind w:firstLine="720"/>
        <w:jc w:val="both"/>
        <w:rPr>
          <w:sz w:val="26"/>
          <w:szCs w:val="26"/>
        </w:rPr>
      </w:pPr>
      <w:r>
        <w:rPr>
          <w:sz w:val="26"/>
          <w:szCs w:val="26"/>
        </w:rPr>
        <w:t>The</w:t>
      </w:r>
      <w:r w:rsidRPr="00A073E0" w:rsidR="00A073E0">
        <w:rPr>
          <w:sz w:val="26"/>
          <w:szCs w:val="26"/>
        </w:rPr>
        <w:t xml:space="preserve"> </w:t>
      </w:r>
      <w:r>
        <w:rPr>
          <w:sz w:val="26"/>
          <w:szCs w:val="26"/>
        </w:rPr>
        <w:t>plain language in Section 12-821.01 adopting a</w:t>
      </w:r>
      <w:r w:rsidRPr="00A073E0" w:rsidR="00A073E0">
        <w:rPr>
          <w:sz w:val="26"/>
          <w:szCs w:val="26"/>
        </w:rPr>
        <w:t xml:space="preserve"> strict-compliance framework matter</w:t>
      </w:r>
      <w:r>
        <w:rPr>
          <w:sz w:val="26"/>
          <w:szCs w:val="26"/>
        </w:rPr>
        <w:t>s</w:t>
      </w:r>
      <w:r w:rsidRPr="00A073E0" w:rsidR="00A073E0">
        <w:rPr>
          <w:sz w:val="26"/>
          <w:szCs w:val="26"/>
        </w:rPr>
        <w:t xml:space="preserve"> here because the Petition does not seek mere clarification</w:t>
      </w:r>
      <w:r w:rsidR="00E57F22">
        <w:rPr>
          <w:sz w:val="26"/>
          <w:szCs w:val="26"/>
        </w:rPr>
        <w:t xml:space="preserve"> on a matter of procedure</w:t>
      </w:r>
      <w:r w:rsidRPr="001E44E5" w:rsidR="00F8598B">
        <w:rPr>
          <w:sz w:val="26"/>
          <w:szCs w:val="26"/>
        </w:rPr>
        <w:t xml:space="preserve">—it seeks to override substantive legislative choices about </w:t>
      </w:r>
      <w:r w:rsidR="00F8598B">
        <w:rPr>
          <w:sz w:val="26"/>
          <w:szCs w:val="26"/>
        </w:rPr>
        <w:t>the acceptable means and methods for bringing claims against public entities and public employees</w:t>
      </w:r>
      <w:r w:rsidRPr="001E44E5" w:rsidR="00F8598B">
        <w:rPr>
          <w:sz w:val="26"/>
          <w:szCs w:val="26"/>
        </w:rPr>
        <w:t>.</w:t>
      </w:r>
      <w:r w:rsidR="00F8598B">
        <w:rPr>
          <w:sz w:val="26"/>
          <w:szCs w:val="26"/>
        </w:rPr>
        <w:t xml:space="preserve">  For example, t</w:t>
      </w:r>
      <w:r w:rsidRPr="00E15259" w:rsidR="00F8598B">
        <w:rPr>
          <w:sz w:val="26"/>
          <w:szCs w:val="26"/>
        </w:rPr>
        <w:t>he</w:t>
      </w:r>
      <w:r w:rsidR="00F8598B">
        <w:rPr>
          <w:sz w:val="26"/>
          <w:szCs w:val="26"/>
        </w:rPr>
        <w:t xml:space="preserve"> Petition</w:t>
      </w:r>
      <w:r w:rsidRPr="00E15259" w:rsidR="00F8598B">
        <w:rPr>
          <w:sz w:val="26"/>
          <w:szCs w:val="26"/>
        </w:rPr>
        <w:t xml:space="preserve"> would alter who may be served, what constitutes valid service, and when service is deemed complete under A.R.S. § 12-821.01</w:t>
      </w:r>
      <w:r w:rsidR="00F8598B">
        <w:rPr>
          <w:sz w:val="26"/>
          <w:szCs w:val="26"/>
        </w:rPr>
        <w:t xml:space="preserve">.  By </w:t>
      </w:r>
      <w:r w:rsidR="006C19A6">
        <w:rPr>
          <w:sz w:val="26"/>
          <w:szCs w:val="26"/>
        </w:rPr>
        <w:t>ask</w:t>
      </w:r>
      <w:r w:rsidR="00F8598B">
        <w:rPr>
          <w:sz w:val="26"/>
          <w:szCs w:val="26"/>
        </w:rPr>
        <w:t>ing</w:t>
      </w:r>
      <w:r w:rsidR="006C19A6">
        <w:rPr>
          <w:sz w:val="26"/>
          <w:szCs w:val="26"/>
        </w:rPr>
        <w:t xml:space="preserve"> this Court to use its rulemaking authority in a manner that would substantially alter Arizona’s statutory notice-of-claim framework for claims against public entities and public employees</w:t>
      </w:r>
      <w:r w:rsidR="00F8598B">
        <w:rPr>
          <w:sz w:val="26"/>
          <w:szCs w:val="26"/>
        </w:rPr>
        <w:t>, the Petition would have this Court exceed its rulemaking authority and violate the Arizona Constitution’s distribution of powers</w:t>
      </w:r>
      <w:r w:rsidR="006C19A6">
        <w:rPr>
          <w:sz w:val="26"/>
          <w:szCs w:val="26"/>
        </w:rPr>
        <w:t>.</w:t>
      </w:r>
      <w:r w:rsidR="00F8598B">
        <w:rPr>
          <w:sz w:val="26"/>
          <w:szCs w:val="26"/>
        </w:rPr>
        <w:t xml:space="preserve">  </w:t>
      </w:r>
      <w:r w:rsidR="00F8598B">
        <w:rPr>
          <w:i/>
          <w:iCs/>
          <w:sz w:val="26"/>
          <w:szCs w:val="26"/>
        </w:rPr>
        <w:t xml:space="preserve">See </w:t>
      </w:r>
      <w:r w:rsidRPr="00F8598B" w:rsidR="00F8598B">
        <w:rPr>
          <w:i/>
          <w:iCs/>
          <w:sz w:val="26"/>
          <w:szCs w:val="26"/>
        </w:rPr>
        <w:t>J.V. v. Blair in &amp; for Cnty. of Maricopa</w:t>
      </w:r>
      <w:r w:rsidRPr="00556824" w:rsidR="00F8598B">
        <w:rPr>
          <w:sz w:val="26"/>
          <w:szCs w:val="26"/>
        </w:rPr>
        <w:t>,</w:t>
      </w:r>
      <w:r w:rsidRPr="00F8598B" w:rsidR="00F8598B">
        <w:rPr>
          <w:i/>
          <w:iCs/>
          <w:sz w:val="26"/>
          <w:szCs w:val="26"/>
        </w:rPr>
        <w:t xml:space="preserve"> </w:t>
      </w:r>
      <w:r w:rsidRPr="00F8598B" w:rsidR="00F8598B">
        <w:rPr>
          <w:sz w:val="26"/>
          <w:szCs w:val="26"/>
        </w:rPr>
        <w:t>256 Ariz. 247, 250</w:t>
      </w:r>
      <w:r w:rsidR="00F8598B">
        <w:rPr>
          <w:sz w:val="26"/>
          <w:szCs w:val="26"/>
        </w:rPr>
        <w:t xml:space="preserve"> ¶ 14 </w:t>
      </w:r>
      <w:r w:rsidRPr="00F8598B" w:rsidR="00F8598B">
        <w:rPr>
          <w:sz w:val="26"/>
          <w:szCs w:val="26"/>
        </w:rPr>
        <w:t>(App. 2023)</w:t>
      </w:r>
      <w:r w:rsidR="00F8598B">
        <w:rPr>
          <w:sz w:val="26"/>
          <w:szCs w:val="26"/>
        </w:rPr>
        <w:t xml:space="preserve">. </w:t>
      </w:r>
      <w:r w:rsidR="006C19A6">
        <w:rPr>
          <w:sz w:val="26"/>
          <w:szCs w:val="26"/>
        </w:rPr>
        <w:t xml:space="preserve">  </w:t>
      </w:r>
      <w:r>
        <w:rPr>
          <w:sz w:val="26"/>
          <w:szCs w:val="26"/>
        </w:rPr>
        <w:t>S</w:t>
      </w:r>
      <w:r w:rsidR="006C19A6">
        <w:rPr>
          <w:sz w:val="26"/>
          <w:szCs w:val="26"/>
        </w:rPr>
        <w:t>uch</w:t>
      </w:r>
      <w:r w:rsidRPr="00E15259" w:rsidR="006C19A6">
        <w:rPr>
          <w:sz w:val="26"/>
          <w:szCs w:val="26"/>
        </w:rPr>
        <w:t xml:space="preserve"> </w:t>
      </w:r>
      <w:r w:rsidR="006C19A6">
        <w:rPr>
          <w:sz w:val="26"/>
          <w:szCs w:val="26"/>
        </w:rPr>
        <w:t>proposed changes constitute improper</w:t>
      </w:r>
      <w:r w:rsidRPr="00E15259" w:rsidR="006C19A6">
        <w:rPr>
          <w:sz w:val="26"/>
          <w:szCs w:val="26"/>
        </w:rPr>
        <w:t xml:space="preserve"> substantive changes to a statutory regime, not mere procedural </w:t>
      </w:r>
      <w:r w:rsidR="00E57F22">
        <w:rPr>
          <w:sz w:val="26"/>
          <w:szCs w:val="26"/>
        </w:rPr>
        <w:t>rulemaking</w:t>
      </w:r>
      <w:r w:rsidR="006C19A6">
        <w:rPr>
          <w:sz w:val="26"/>
          <w:szCs w:val="26"/>
        </w:rPr>
        <w:t xml:space="preserve">.  </w:t>
      </w:r>
    </w:p>
    <w:p w:rsidRPr="00697093" w:rsidR="007D6C4A" w:rsidP="007D6C4A" w:rsidRDefault="007D6C4A" w14:paraId="083AA339" w14:textId="77777777">
      <w:pPr>
        <w:widowControl w:val="0"/>
        <w:spacing w:line="480" w:lineRule="exact"/>
        <w:ind w:firstLine="720"/>
        <w:jc w:val="both"/>
        <w:rPr>
          <w:rFonts w:eastAsia="Times New Roman"/>
          <w:sz w:val="26"/>
          <w:szCs w:val="26"/>
        </w:rPr>
      </w:pPr>
      <w:r w:rsidRPr="00697093">
        <w:rPr>
          <w:rFonts w:eastAsia="Times New Roman"/>
          <w:sz w:val="26"/>
          <w:szCs w:val="26"/>
        </w:rPr>
        <w:t>The Petition’s reliance on perceived practical difficulties does not change the analysis.</w:t>
      </w:r>
      <w:r>
        <w:rPr>
          <w:rFonts w:eastAsia="Times New Roman"/>
          <w:sz w:val="26"/>
          <w:szCs w:val="26"/>
        </w:rPr>
        <w:t xml:space="preserve"> </w:t>
      </w:r>
      <w:r w:rsidRPr="00697093">
        <w:rPr>
          <w:rFonts w:eastAsia="Times New Roman"/>
          <w:sz w:val="26"/>
          <w:szCs w:val="26"/>
        </w:rPr>
        <w:t xml:space="preserve"> Even if </w:t>
      </w:r>
      <w:r w:rsidRPr="00EA3427">
        <w:rPr>
          <w:rFonts w:eastAsia="Times New Roman"/>
          <w:i/>
          <w:iCs/>
          <w:sz w:val="26"/>
          <w:szCs w:val="26"/>
        </w:rPr>
        <w:t>Simon v. Maricopa Medical Center</w:t>
      </w:r>
      <w:r w:rsidRPr="00EA3427">
        <w:rPr>
          <w:rFonts w:eastAsia="Times New Roman"/>
          <w:sz w:val="26"/>
          <w:szCs w:val="26"/>
        </w:rPr>
        <w:t xml:space="preserve">, 225 Ariz. 55 (App. 2010), and </w:t>
      </w:r>
      <w:r w:rsidRPr="00EA3427">
        <w:rPr>
          <w:rFonts w:eastAsia="Times New Roman"/>
          <w:i/>
          <w:iCs/>
          <w:sz w:val="26"/>
          <w:szCs w:val="26"/>
        </w:rPr>
        <w:t>Batty v. Glendale Union High School District</w:t>
      </w:r>
      <w:r w:rsidRPr="00EA3427">
        <w:rPr>
          <w:rFonts w:eastAsia="Times New Roman"/>
          <w:sz w:val="26"/>
          <w:szCs w:val="26"/>
        </w:rPr>
        <w:t xml:space="preserve"> </w:t>
      </w:r>
      <w:r w:rsidRPr="00556824">
        <w:rPr>
          <w:rFonts w:eastAsia="Times New Roman"/>
          <w:i/>
          <w:iCs/>
          <w:sz w:val="26"/>
          <w:szCs w:val="26"/>
        </w:rPr>
        <w:t>No. 205</w:t>
      </w:r>
      <w:r w:rsidRPr="00EA3427">
        <w:rPr>
          <w:rFonts w:eastAsia="Times New Roman"/>
          <w:sz w:val="26"/>
          <w:szCs w:val="26"/>
        </w:rPr>
        <w:t>, 221 Ariz. 592 (App. 2009)</w:t>
      </w:r>
      <w:r>
        <w:rPr>
          <w:rFonts w:eastAsia="Times New Roman"/>
          <w:sz w:val="26"/>
          <w:szCs w:val="26"/>
        </w:rPr>
        <w:t xml:space="preserve"> </w:t>
      </w:r>
      <w:r w:rsidRPr="00697093">
        <w:rPr>
          <w:rFonts w:eastAsia="Times New Roman"/>
          <w:sz w:val="26"/>
          <w:szCs w:val="26"/>
        </w:rPr>
        <w:t xml:space="preserve">reflect that service questions can sometimes be exacting, that only shows the statute and existing rules require precision; it does not authorize the Court to relax statutory prerequisites through rulemaking. </w:t>
      </w:r>
      <w:r>
        <w:rPr>
          <w:rFonts w:eastAsia="Times New Roman"/>
          <w:sz w:val="26"/>
          <w:szCs w:val="26"/>
        </w:rPr>
        <w:t xml:space="preserve"> </w:t>
      </w:r>
      <w:r w:rsidRPr="00697093">
        <w:rPr>
          <w:rFonts w:eastAsia="Times New Roman"/>
          <w:sz w:val="26"/>
          <w:szCs w:val="26"/>
        </w:rPr>
        <w:t>Those decisions do not demonstrate the need for the proposed rule changes.</w:t>
      </w:r>
      <w:r>
        <w:rPr>
          <w:rFonts w:eastAsia="Times New Roman"/>
          <w:sz w:val="26"/>
          <w:szCs w:val="26"/>
        </w:rPr>
        <w:t xml:space="preserve"> </w:t>
      </w:r>
      <w:r w:rsidRPr="00697093">
        <w:rPr>
          <w:rFonts w:eastAsia="Times New Roman"/>
          <w:sz w:val="26"/>
          <w:szCs w:val="26"/>
        </w:rPr>
        <w:t xml:space="preserve"> They show only that existing law requires compliance with the statutory scheme the </w:t>
      </w:r>
      <w:r>
        <w:rPr>
          <w:rFonts w:eastAsia="Times New Roman"/>
          <w:sz w:val="26"/>
          <w:szCs w:val="26"/>
        </w:rPr>
        <w:t>L</w:t>
      </w:r>
      <w:r w:rsidRPr="00697093">
        <w:rPr>
          <w:rFonts w:eastAsia="Times New Roman"/>
          <w:sz w:val="26"/>
          <w:szCs w:val="26"/>
        </w:rPr>
        <w:t>egislature enacted.</w:t>
      </w:r>
    </w:p>
    <w:p w:rsidRPr="00EA3427" w:rsidR="007D6C4A" w:rsidP="007D6C4A" w:rsidRDefault="007D6C4A" w14:paraId="4C9481C5" w14:textId="4B4C6A78">
      <w:pPr>
        <w:widowControl w:val="0"/>
        <w:spacing w:line="480" w:lineRule="exact"/>
        <w:ind w:firstLine="720"/>
        <w:jc w:val="both"/>
        <w:rPr>
          <w:rFonts w:eastAsia="Times New Roman"/>
          <w:sz w:val="26"/>
          <w:szCs w:val="26"/>
        </w:rPr>
      </w:pPr>
      <w:r w:rsidRPr="009145A9">
        <w:rPr>
          <w:rFonts w:eastAsia="Times New Roman"/>
          <w:sz w:val="26"/>
          <w:szCs w:val="26"/>
        </w:rPr>
        <w:t>The Petition’s proposed rule changes are</w:t>
      </w:r>
      <w:r>
        <w:rPr>
          <w:rFonts w:eastAsia="Times New Roman"/>
          <w:sz w:val="26"/>
          <w:szCs w:val="26"/>
        </w:rPr>
        <w:t xml:space="preserve"> also</w:t>
      </w:r>
      <w:r w:rsidRPr="009145A9">
        <w:rPr>
          <w:rFonts w:eastAsia="Times New Roman"/>
          <w:sz w:val="26"/>
          <w:szCs w:val="26"/>
        </w:rPr>
        <w:t xml:space="preserve"> improper </w:t>
      </w:r>
      <w:r>
        <w:rPr>
          <w:rFonts w:eastAsia="Times New Roman"/>
          <w:sz w:val="26"/>
          <w:szCs w:val="26"/>
        </w:rPr>
        <w:t>because</w:t>
      </w:r>
      <w:r w:rsidRPr="009145A9">
        <w:rPr>
          <w:rFonts w:eastAsia="Times New Roman"/>
          <w:sz w:val="26"/>
          <w:szCs w:val="26"/>
        </w:rPr>
        <w:t xml:space="preserve"> they would </w:t>
      </w:r>
      <w:r>
        <w:rPr>
          <w:rFonts w:eastAsia="Times New Roman"/>
          <w:sz w:val="26"/>
          <w:szCs w:val="26"/>
        </w:rPr>
        <w:t xml:space="preserve">collapse </w:t>
      </w:r>
      <w:r w:rsidRPr="009145A9">
        <w:rPr>
          <w:rFonts w:eastAsia="Times New Roman"/>
          <w:sz w:val="26"/>
          <w:szCs w:val="26"/>
        </w:rPr>
        <w:lastRenderedPageBreak/>
        <w:t>the statutory distinction between service on a public entity and service on a public employee</w:t>
      </w:r>
      <w:r w:rsidRPr="00697093">
        <w:rPr>
          <w:rFonts w:eastAsia="Times New Roman"/>
          <w:sz w:val="26"/>
          <w:szCs w:val="26"/>
        </w:rPr>
        <w:t xml:space="preserve">. </w:t>
      </w:r>
      <w:r>
        <w:rPr>
          <w:rFonts w:eastAsia="Times New Roman"/>
          <w:sz w:val="26"/>
          <w:szCs w:val="26"/>
        </w:rPr>
        <w:t xml:space="preserve"> </w:t>
      </w:r>
      <w:r w:rsidRPr="00F84E38">
        <w:rPr>
          <w:rFonts w:eastAsia="Times New Roman"/>
          <w:sz w:val="26"/>
          <w:szCs w:val="26"/>
        </w:rPr>
        <w:t xml:space="preserve">The statute requires service on the proper person authorized to accept service for the public entity or public employee, and Arizona’s strict-compliance framework does not permit the Court </w:t>
      </w:r>
      <w:r w:rsidRPr="00D53051">
        <w:rPr>
          <w:rFonts w:eastAsia="Times New Roman"/>
          <w:sz w:val="26"/>
          <w:szCs w:val="26"/>
        </w:rPr>
        <w:t xml:space="preserve">to deem service on one as service on the other absent legislative authorization. </w:t>
      </w:r>
      <w:r>
        <w:rPr>
          <w:rFonts w:eastAsia="Times New Roman"/>
          <w:i/>
          <w:iCs/>
          <w:sz w:val="26"/>
          <w:szCs w:val="26"/>
        </w:rPr>
        <w:t xml:space="preserve">See </w:t>
      </w:r>
      <w:r w:rsidRPr="00D53051">
        <w:rPr>
          <w:rFonts w:eastAsia="Times New Roman"/>
          <w:i/>
          <w:iCs/>
          <w:sz w:val="26"/>
          <w:szCs w:val="26"/>
        </w:rPr>
        <w:t>Johnson v. Superior Ct. In &amp; For Cnty. of Pima</w:t>
      </w:r>
      <w:r w:rsidRPr="00D53051">
        <w:rPr>
          <w:rFonts w:eastAsia="Times New Roman"/>
          <w:sz w:val="26"/>
          <w:szCs w:val="26"/>
        </w:rPr>
        <w:t>, 158 Ariz. 507, 509, (App. 1988) (</w:t>
      </w:r>
      <w:r>
        <w:rPr>
          <w:rFonts w:eastAsia="Times New Roman"/>
          <w:sz w:val="26"/>
          <w:szCs w:val="26"/>
        </w:rPr>
        <w:t>holding “</w:t>
      </w:r>
      <w:r w:rsidRPr="00D53051">
        <w:rPr>
          <w:rFonts w:eastAsia="Times New Roman"/>
          <w:sz w:val="26"/>
          <w:szCs w:val="26"/>
        </w:rPr>
        <w:t>§ 12–821(A) unambiguously provides that both public entities and their employees are entitled to notice of claims against them</w:t>
      </w:r>
      <w:r>
        <w:rPr>
          <w:rFonts w:eastAsia="Times New Roman"/>
          <w:sz w:val="26"/>
          <w:szCs w:val="26"/>
        </w:rPr>
        <w:t>”).</w:t>
      </w:r>
      <w:r w:rsidRPr="00F84E38">
        <w:rPr>
          <w:rFonts w:eastAsia="Times New Roman"/>
          <w:sz w:val="26"/>
          <w:szCs w:val="26"/>
        </w:rPr>
        <w:t xml:space="preserve"> </w:t>
      </w:r>
      <w:r>
        <w:rPr>
          <w:rFonts w:eastAsia="Times New Roman"/>
          <w:sz w:val="26"/>
          <w:szCs w:val="26"/>
        </w:rPr>
        <w:t xml:space="preserve"> </w:t>
      </w:r>
      <w:r w:rsidRPr="00F84E38">
        <w:rPr>
          <w:rFonts w:eastAsia="Times New Roman"/>
          <w:sz w:val="26"/>
          <w:szCs w:val="26"/>
        </w:rPr>
        <w:t>Treating entity service as employee service by rule would therefore create a substantive shortcut the legislature did not adopt.</w:t>
      </w:r>
      <w:r w:rsidR="00884C70">
        <w:rPr>
          <w:rFonts w:eastAsia="Times New Roman"/>
          <w:sz w:val="26"/>
          <w:szCs w:val="26"/>
        </w:rPr>
        <w:t xml:space="preserve">  It would also ignore that a public entity and a public employee are legally distinct parties who may face different theories and scopes of liability.  Deeming notice to one</w:t>
      </w:r>
      <w:r w:rsidR="00203C47">
        <w:rPr>
          <w:rFonts w:eastAsia="Times New Roman"/>
          <w:sz w:val="26"/>
          <w:szCs w:val="26"/>
        </w:rPr>
        <w:t xml:space="preserve"> </w:t>
      </w:r>
      <w:r w:rsidR="00884C70">
        <w:rPr>
          <w:rFonts w:eastAsia="Times New Roman"/>
          <w:sz w:val="26"/>
          <w:szCs w:val="26"/>
        </w:rPr>
        <w:t xml:space="preserve"> as sufficient notice to the other would </w:t>
      </w:r>
      <w:r w:rsidR="00A75FAC">
        <w:rPr>
          <w:rFonts w:eastAsia="Times New Roman"/>
          <w:sz w:val="26"/>
          <w:szCs w:val="26"/>
        </w:rPr>
        <w:t xml:space="preserve">disregard each party’s independent right to notice of the claim asserted against it and the separate right to investigate, assess exposure, and respond accordingly. </w:t>
      </w:r>
    </w:p>
    <w:p w:rsidR="007D6C4A" w:rsidP="00A46B68" w:rsidRDefault="007D6C4A" w14:paraId="78435385" w14:textId="6C901D72">
      <w:pPr>
        <w:widowControl w:val="0"/>
        <w:spacing w:line="480" w:lineRule="exact"/>
        <w:ind w:firstLine="720"/>
        <w:jc w:val="both"/>
        <w:rPr>
          <w:rFonts w:eastAsia="Times New Roman"/>
          <w:sz w:val="26"/>
          <w:szCs w:val="26"/>
        </w:rPr>
      </w:pPr>
      <w:r w:rsidRPr="00EA3427">
        <w:rPr>
          <w:rFonts w:eastAsia="Times New Roman"/>
          <w:sz w:val="26"/>
          <w:szCs w:val="26"/>
        </w:rPr>
        <w:t xml:space="preserve">This is particularly evident in proposed Rule 4.3(d)(2) and (e)(3), which would automatically designate the Attorney General as agent for service based solely on a public entity’s failure to satisfy website or directory requirements.  </w:t>
      </w:r>
      <w:r w:rsidRPr="00EA3427">
        <w:rPr>
          <w:rFonts w:eastAsia="Times New Roman"/>
          <w:i/>
          <w:iCs/>
          <w:sz w:val="26"/>
          <w:szCs w:val="26"/>
        </w:rPr>
        <w:t xml:space="preserve">See </w:t>
      </w:r>
      <w:r w:rsidRPr="00EA3427">
        <w:rPr>
          <w:rFonts w:eastAsia="Times New Roman"/>
          <w:sz w:val="26"/>
          <w:szCs w:val="26"/>
        </w:rPr>
        <w:t xml:space="preserve">Petition Ex. A </w:t>
      </w:r>
      <w:r>
        <w:rPr>
          <w:rFonts w:eastAsia="Times New Roman"/>
          <w:sz w:val="26"/>
          <w:szCs w:val="26"/>
        </w:rPr>
        <w:t>at</w:t>
      </w:r>
      <w:r w:rsidRPr="00EA3427">
        <w:rPr>
          <w:rFonts w:eastAsia="Times New Roman"/>
          <w:sz w:val="26"/>
          <w:szCs w:val="26"/>
        </w:rPr>
        <w:t xml:space="preserve"> </w:t>
      </w:r>
      <w:r>
        <w:rPr>
          <w:rFonts w:eastAsia="Times New Roman"/>
          <w:sz w:val="26"/>
          <w:szCs w:val="26"/>
        </w:rPr>
        <w:t>9-</w:t>
      </w:r>
      <w:r w:rsidRPr="00EA3427">
        <w:rPr>
          <w:rFonts w:eastAsia="Times New Roman"/>
          <w:sz w:val="26"/>
          <w:szCs w:val="26"/>
        </w:rPr>
        <w:t xml:space="preserve">10.  </w:t>
      </w:r>
      <w:r w:rsidR="005D7FFA">
        <w:rPr>
          <w:rFonts w:eastAsia="Times New Roman"/>
          <w:sz w:val="26"/>
          <w:szCs w:val="26"/>
        </w:rPr>
        <w:t>In addition to the aforementioned notice issues, d</w:t>
      </w:r>
      <w:r w:rsidR="00A46B68">
        <w:rPr>
          <w:rFonts w:eastAsia="Times New Roman"/>
          <w:sz w:val="26"/>
          <w:szCs w:val="26"/>
        </w:rPr>
        <w:t xml:space="preserve">esignating the Attorney General as the default agent for service also raises serious conflict of interest concerns in matters where the State’s interests are adverse to those of the public entity and/or employee for whom service is purportedly accepted.  </w:t>
      </w:r>
      <w:r w:rsidRPr="00EA3427">
        <w:rPr>
          <w:rFonts w:eastAsia="Times New Roman"/>
          <w:sz w:val="26"/>
          <w:szCs w:val="26"/>
        </w:rPr>
        <w:t>The legislature has not authorized such an automatic agency designation, and creating one through a court rule—with the effect of binding public entities to service they may have no practical means to contest—goes far beyond procedural housekeeping and into the realm of substantive alteration of the statute’s service requirements.</w:t>
      </w:r>
      <w:r w:rsidR="00A46B68">
        <w:rPr>
          <w:rFonts w:eastAsia="Times New Roman"/>
          <w:sz w:val="26"/>
          <w:szCs w:val="26"/>
        </w:rPr>
        <w:t xml:space="preserve">  </w:t>
      </w:r>
    </w:p>
    <w:p w:rsidRPr="007D6C4A" w:rsidR="007D6C4A" w:rsidP="007D6C4A" w:rsidRDefault="007D6C4A" w14:paraId="49E7FB85" w14:textId="77777777">
      <w:pPr>
        <w:widowControl w:val="0"/>
        <w:spacing w:line="480" w:lineRule="exact"/>
        <w:ind w:firstLine="720"/>
        <w:jc w:val="both"/>
        <w:rPr>
          <w:rFonts w:eastAsia="Times New Roman"/>
          <w:sz w:val="26"/>
          <w:szCs w:val="26"/>
        </w:rPr>
      </w:pPr>
      <w:r w:rsidRPr="00697093">
        <w:rPr>
          <w:rFonts w:eastAsia="Times New Roman"/>
          <w:sz w:val="26"/>
          <w:szCs w:val="26"/>
        </w:rPr>
        <w:t xml:space="preserve">The same is true of proposed Rule 4.3(h), under which an email </w:t>
      </w:r>
      <w:r>
        <w:rPr>
          <w:rFonts w:eastAsia="Times New Roman"/>
          <w:sz w:val="26"/>
          <w:szCs w:val="26"/>
        </w:rPr>
        <w:t>would be</w:t>
      </w:r>
      <w:r w:rsidRPr="00697093">
        <w:rPr>
          <w:rFonts w:eastAsia="Times New Roman"/>
          <w:sz w:val="26"/>
          <w:szCs w:val="26"/>
        </w:rPr>
        <w:t xml:space="preserve"> deemed received regardless of actual delivery or technical failure. </w:t>
      </w:r>
      <w:r>
        <w:rPr>
          <w:rFonts w:eastAsia="Times New Roman"/>
          <w:sz w:val="26"/>
          <w:szCs w:val="26"/>
        </w:rPr>
        <w:t xml:space="preserve"> </w:t>
      </w:r>
      <w:r>
        <w:rPr>
          <w:rFonts w:eastAsia="Times New Roman"/>
          <w:i/>
          <w:iCs/>
          <w:sz w:val="26"/>
          <w:szCs w:val="26"/>
        </w:rPr>
        <w:t>Id</w:t>
      </w:r>
      <w:r>
        <w:rPr>
          <w:rFonts w:eastAsia="Times New Roman"/>
          <w:sz w:val="26"/>
          <w:szCs w:val="26"/>
        </w:rPr>
        <w:t>. at 12.</w:t>
      </w:r>
      <w:r>
        <w:rPr>
          <w:rFonts w:eastAsia="Times New Roman"/>
          <w:i/>
          <w:iCs/>
          <w:sz w:val="26"/>
          <w:szCs w:val="26"/>
        </w:rPr>
        <w:t xml:space="preserve"> </w:t>
      </w:r>
      <w:r>
        <w:rPr>
          <w:rFonts w:eastAsia="Times New Roman"/>
          <w:sz w:val="26"/>
          <w:szCs w:val="26"/>
        </w:rPr>
        <w:t xml:space="preserve"> </w:t>
      </w:r>
      <w:r w:rsidRPr="00697093">
        <w:rPr>
          <w:rFonts w:eastAsia="Times New Roman"/>
          <w:sz w:val="26"/>
          <w:szCs w:val="26"/>
        </w:rPr>
        <w:t xml:space="preserve">A public entity that never received the email cannot investigate the claim, assess liability, or consider settlement—which is precisely what § 12-821.01 exists to enable. </w:t>
      </w:r>
      <w:r>
        <w:rPr>
          <w:rFonts w:eastAsia="Times New Roman"/>
          <w:sz w:val="26"/>
          <w:szCs w:val="26"/>
        </w:rPr>
        <w:t xml:space="preserve"> </w:t>
      </w:r>
      <w:r w:rsidRPr="00697093">
        <w:rPr>
          <w:rFonts w:eastAsia="Times New Roman"/>
          <w:sz w:val="26"/>
          <w:szCs w:val="26"/>
        </w:rPr>
        <w:t>Deeming service complete regardless of actual receipt does not satisfy the statute; it defeats it.</w:t>
      </w:r>
    </w:p>
    <w:p w:rsidRPr="00254006" w:rsidR="007D6C4A" w:rsidP="00556824" w:rsidRDefault="007D6C4A" w14:paraId="62BA1B3D" w14:textId="5AF82EB4">
      <w:pPr>
        <w:widowControl w:val="0"/>
        <w:spacing w:line="480" w:lineRule="exact"/>
        <w:ind w:firstLine="720"/>
        <w:jc w:val="both"/>
        <w:rPr>
          <w:sz w:val="26"/>
          <w:szCs w:val="26"/>
        </w:rPr>
      </w:pPr>
      <w:r>
        <w:rPr>
          <w:sz w:val="26"/>
          <w:szCs w:val="26"/>
        </w:rPr>
        <w:t xml:space="preserve">In short, </w:t>
      </w:r>
      <w:r w:rsidRPr="0055184F" w:rsidR="0055184F">
        <w:rPr>
          <w:sz w:val="26"/>
          <w:szCs w:val="26"/>
        </w:rPr>
        <w:t xml:space="preserve">the notice-of-claim requirements serve the </w:t>
      </w:r>
      <w:r w:rsidR="0055184F">
        <w:rPr>
          <w:sz w:val="26"/>
          <w:szCs w:val="26"/>
        </w:rPr>
        <w:t>l</w:t>
      </w:r>
      <w:r w:rsidRPr="0055184F" w:rsidR="0055184F">
        <w:rPr>
          <w:sz w:val="26"/>
          <w:szCs w:val="26"/>
        </w:rPr>
        <w:t xml:space="preserve">egislature’s chosen objectives—allowing public entities to “investigate the claim, assess liability, consider settlement before litigation, and budget for possible future litigation”—strict compliance is not incidental to § 12-821.01(A), but necessary “[t]o further these goals.” </w:t>
      </w:r>
      <w:r w:rsidRPr="0055184F" w:rsidR="0055184F">
        <w:rPr>
          <w:i/>
          <w:iCs/>
          <w:sz w:val="26"/>
          <w:szCs w:val="26"/>
        </w:rPr>
        <w:t>City of Mesa v. Ryan</w:t>
      </w:r>
      <w:r w:rsidRPr="0055184F" w:rsidR="0055184F">
        <w:rPr>
          <w:sz w:val="26"/>
          <w:szCs w:val="26"/>
        </w:rPr>
        <w:t>, 557 P.3d 316, 319 ¶ 9 (Ariz. 2024)</w:t>
      </w:r>
      <w:r>
        <w:rPr>
          <w:sz w:val="26"/>
          <w:szCs w:val="26"/>
        </w:rPr>
        <w:t>.  Accordingly,</w:t>
      </w:r>
      <w:r w:rsidR="00F8598B">
        <w:rPr>
          <w:sz w:val="26"/>
          <w:szCs w:val="26"/>
        </w:rPr>
        <w:t xml:space="preserve"> t</w:t>
      </w:r>
      <w:r w:rsidRPr="001E44E5" w:rsidR="00B435BE">
        <w:rPr>
          <w:sz w:val="26"/>
          <w:szCs w:val="26"/>
        </w:rPr>
        <w:t>he proper</w:t>
      </w:r>
      <w:r>
        <w:rPr>
          <w:sz w:val="26"/>
          <w:szCs w:val="26"/>
        </w:rPr>
        <w:t xml:space="preserve"> and exclusive</w:t>
      </w:r>
      <w:r w:rsidRPr="001E44E5" w:rsidR="00B435BE">
        <w:rPr>
          <w:sz w:val="26"/>
          <w:szCs w:val="26"/>
        </w:rPr>
        <w:t xml:space="preserve"> </w:t>
      </w:r>
      <w:r>
        <w:rPr>
          <w:sz w:val="26"/>
          <w:szCs w:val="26"/>
        </w:rPr>
        <w:t>method</w:t>
      </w:r>
      <w:r w:rsidRPr="001E44E5" w:rsidR="00B435BE">
        <w:rPr>
          <w:sz w:val="26"/>
          <w:szCs w:val="26"/>
        </w:rPr>
        <w:t xml:space="preserve"> for </w:t>
      </w:r>
      <w:r w:rsidR="002E0686">
        <w:rPr>
          <w:sz w:val="26"/>
          <w:szCs w:val="26"/>
        </w:rPr>
        <w:t>Petitioner’s desired</w:t>
      </w:r>
      <w:r w:rsidRPr="001E44E5" w:rsidR="002E0686">
        <w:rPr>
          <w:sz w:val="26"/>
          <w:szCs w:val="26"/>
        </w:rPr>
        <w:t xml:space="preserve"> </w:t>
      </w:r>
      <w:r w:rsidR="002E0686">
        <w:rPr>
          <w:sz w:val="26"/>
          <w:szCs w:val="26"/>
        </w:rPr>
        <w:t xml:space="preserve">relief </w:t>
      </w:r>
      <w:r w:rsidRPr="001E44E5" w:rsidR="00B435BE">
        <w:rPr>
          <w:sz w:val="26"/>
          <w:szCs w:val="26"/>
        </w:rPr>
        <w:t xml:space="preserve">is </w:t>
      </w:r>
      <w:r w:rsidR="002E0686">
        <w:rPr>
          <w:sz w:val="26"/>
          <w:szCs w:val="26"/>
        </w:rPr>
        <w:t xml:space="preserve">lobbying </w:t>
      </w:r>
      <w:r w:rsidRPr="001E44E5" w:rsidR="00B435BE">
        <w:rPr>
          <w:sz w:val="26"/>
          <w:szCs w:val="26"/>
        </w:rPr>
        <w:t xml:space="preserve">the legislature, not </w:t>
      </w:r>
      <w:r w:rsidR="002E0686">
        <w:rPr>
          <w:sz w:val="26"/>
          <w:szCs w:val="26"/>
        </w:rPr>
        <w:t>petitioning this Court to exercise its</w:t>
      </w:r>
      <w:r w:rsidR="00A073E0">
        <w:rPr>
          <w:sz w:val="26"/>
          <w:szCs w:val="26"/>
        </w:rPr>
        <w:t xml:space="preserve"> </w:t>
      </w:r>
      <w:r w:rsidRPr="001E44E5" w:rsidR="00B435BE">
        <w:rPr>
          <w:sz w:val="26"/>
          <w:szCs w:val="26"/>
        </w:rPr>
        <w:t>Court's rulemaking authority</w:t>
      </w:r>
      <w:r w:rsidR="002E0686">
        <w:rPr>
          <w:sz w:val="26"/>
          <w:szCs w:val="26"/>
        </w:rPr>
        <w:t xml:space="preserve"> to override legislative determinations about the means and methods for pursuing claims against public entities and public </w:t>
      </w:r>
      <w:r w:rsidR="00937AD8">
        <w:rPr>
          <w:sz w:val="26"/>
          <w:szCs w:val="26"/>
        </w:rPr>
        <w:t>employees</w:t>
      </w:r>
      <w:r w:rsidRPr="001E44E5" w:rsidR="00B435BE">
        <w:rPr>
          <w:sz w:val="26"/>
          <w:szCs w:val="26"/>
        </w:rPr>
        <w:t>.</w:t>
      </w:r>
    </w:p>
    <w:p w:rsidRPr="00EA3427" w:rsidR="003C251E" w:rsidP="007D6C4A" w:rsidRDefault="003C251E" w14:paraId="18B3D8D7" w14:textId="77777777">
      <w:pPr>
        <w:pStyle w:val="ListParagraph"/>
        <w:widowControl w:val="0"/>
        <w:numPr>
          <w:ilvl w:val="0"/>
          <w:numId w:val="1"/>
        </w:numPr>
        <w:spacing w:line="480" w:lineRule="exact"/>
        <w:ind w:left="720" w:hanging="720"/>
        <w:contextualSpacing w:val="0"/>
        <w:jc w:val="both"/>
        <w:rPr>
          <w:sz w:val="26"/>
          <w:szCs w:val="26"/>
        </w:rPr>
      </w:pPr>
      <w:r w:rsidRPr="00EA3427">
        <w:rPr>
          <w:b/>
          <w:bCs/>
          <w:sz w:val="26"/>
          <w:szCs w:val="26"/>
        </w:rPr>
        <w:t>THE PETITION IS ADMINISTRATIVELY UNWORKABLE</w:t>
      </w:r>
    </w:p>
    <w:p w:rsidRPr="00AF2A2E" w:rsidR="00992D17" w:rsidP="007D6C4A" w:rsidRDefault="00992D17" w14:paraId="4692763D" w14:textId="77777777">
      <w:pPr>
        <w:widowControl w:val="0"/>
        <w:spacing w:line="480" w:lineRule="exact"/>
        <w:ind w:firstLine="720"/>
        <w:jc w:val="both"/>
        <w:rPr>
          <w:sz w:val="26"/>
          <w:szCs w:val="26"/>
        </w:rPr>
      </w:pPr>
      <w:r w:rsidRPr="00EA3427">
        <w:rPr>
          <w:sz w:val="26"/>
          <w:szCs w:val="26"/>
        </w:rPr>
        <w:t xml:space="preserve">The proposed rule would impose </w:t>
      </w:r>
      <w:r w:rsidRPr="00EA3427" w:rsidR="00F648E7">
        <w:rPr>
          <w:sz w:val="26"/>
          <w:szCs w:val="26"/>
        </w:rPr>
        <w:t xml:space="preserve">broad </w:t>
      </w:r>
      <w:r w:rsidRPr="00EA3427">
        <w:rPr>
          <w:sz w:val="26"/>
          <w:szCs w:val="26"/>
        </w:rPr>
        <w:t xml:space="preserve">and impractical obligations on public entities and the judicial branch. </w:t>
      </w:r>
      <w:r w:rsidRPr="00EA3427" w:rsidR="00F43660">
        <w:rPr>
          <w:sz w:val="26"/>
          <w:szCs w:val="26"/>
        </w:rPr>
        <w:t xml:space="preserve"> </w:t>
      </w:r>
      <w:r w:rsidRPr="00EA3427">
        <w:rPr>
          <w:sz w:val="26"/>
          <w:szCs w:val="26"/>
        </w:rPr>
        <w:t>It would require public entities and public employees to maintain detailed website disclosures, comply with vague standards such as being “easily searchable,” and continuously update service-related information.</w:t>
      </w:r>
      <w:r w:rsidR="00AF2A2E">
        <w:rPr>
          <w:sz w:val="26"/>
          <w:szCs w:val="26"/>
        </w:rPr>
        <w:t xml:space="preserve">  </w:t>
      </w:r>
      <w:r w:rsidR="00AF2A2E">
        <w:rPr>
          <w:i/>
          <w:iCs/>
          <w:sz w:val="26"/>
          <w:szCs w:val="26"/>
        </w:rPr>
        <w:t xml:space="preserve">See </w:t>
      </w:r>
      <w:r w:rsidR="00AF2A2E">
        <w:rPr>
          <w:sz w:val="26"/>
          <w:szCs w:val="26"/>
        </w:rPr>
        <w:t xml:space="preserve">Ex. A at 9. </w:t>
      </w:r>
      <w:r w:rsidRPr="00EA3427" w:rsidR="00F43660">
        <w:rPr>
          <w:sz w:val="26"/>
          <w:szCs w:val="26"/>
        </w:rPr>
        <w:t xml:space="preserve"> </w:t>
      </w:r>
      <w:r w:rsidRPr="00EA3427">
        <w:rPr>
          <w:sz w:val="26"/>
          <w:szCs w:val="26"/>
        </w:rPr>
        <w:t xml:space="preserve">It would also require the Administrative Director of the Arizona Supreme Court to create and maintain a comprehensive statewide directory of public entities, schools, and employees.  </w:t>
      </w:r>
      <w:r w:rsidR="00AF2A2E">
        <w:rPr>
          <w:i/>
          <w:iCs/>
          <w:sz w:val="26"/>
          <w:szCs w:val="26"/>
        </w:rPr>
        <w:t>Id</w:t>
      </w:r>
      <w:r w:rsidR="00AF2A2E">
        <w:rPr>
          <w:sz w:val="26"/>
          <w:szCs w:val="26"/>
        </w:rPr>
        <w:t>.</w:t>
      </w:r>
    </w:p>
    <w:p w:rsidRPr="00EA3427" w:rsidR="00F43660" w:rsidP="007D6C4A" w:rsidRDefault="00992D17" w14:paraId="7BCEDC98" w14:textId="77777777">
      <w:pPr>
        <w:widowControl w:val="0"/>
        <w:spacing w:line="480" w:lineRule="exact"/>
        <w:ind w:firstLine="720"/>
        <w:jc w:val="both"/>
        <w:rPr>
          <w:sz w:val="26"/>
          <w:szCs w:val="26"/>
        </w:rPr>
      </w:pPr>
      <w:r w:rsidRPr="00EA3427">
        <w:rPr>
          <w:sz w:val="26"/>
          <w:szCs w:val="26"/>
        </w:rPr>
        <w:t xml:space="preserve">These requirements lack any funding mechanism, are infeasible for large governmental organizations, and would inevitably generate disputes over technical compliance. </w:t>
      </w:r>
      <w:r w:rsidRPr="00EA3427" w:rsidR="00F43660">
        <w:rPr>
          <w:sz w:val="26"/>
          <w:szCs w:val="26"/>
        </w:rPr>
        <w:t xml:space="preserve"> </w:t>
      </w:r>
      <w:r w:rsidRPr="00EA3427">
        <w:rPr>
          <w:sz w:val="26"/>
          <w:szCs w:val="26"/>
        </w:rPr>
        <w:t>Rather than creating clarity, the rule would introduce uncertainty and invite collateral litigation over whether its requirements were satisfied</w:t>
      </w:r>
      <w:r w:rsidRPr="00EA3427" w:rsidR="003C251E">
        <w:rPr>
          <w:sz w:val="26"/>
          <w:szCs w:val="26"/>
        </w:rPr>
        <w:t>.</w:t>
      </w:r>
    </w:p>
    <w:p w:rsidR="00F43660" w:rsidP="007D6C4A" w:rsidRDefault="00F43660" w14:paraId="49F1BCA3" w14:textId="77777777">
      <w:pPr>
        <w:widowControl w:val="0"/>
        <w:spacing w:line="480" w:lineRule="exact"/>
        <w:ind w:firstLine="720"/>
        <w:jc w:val="both"/>
        <w:rPr>
          <w:rFonts w:eastAsia="Times New Roman"/>
          <w:sz w:val="26"/>
          <w:szCs w:val="26"/>
        </w:rPr>
      </w:pPr>
      <w:r w:rsidRPr="00EA3427">
        <w:rPr>
          <w:rFonts w:eastAsia="Times New Roman"/>
          <w:sz w:val="26"/>
          <w:szCs w:val="26"/>
        </w:rPr>
        <w:t>The proposed framework also invites gamesmanship by allowing claimants to rely on alleged deficiencies in publicly available information to circumvent traditional service requirements and effect service through alternative means.</w:t>
      </w:r>
      <w:r w:rsidRPr="00EA3427" w:rsidR="00F648E7">
        <w:rPr>
          <w:rFonts w:eastAsia="Times New Roman"/>
          <w:sz w:val="26"/>
          <w:szCs w:val="26"/>
        </w:rPr>
        <w:t xml:space="preserve"> </w:t>
      </w:r>
      <w:r w:rsidRPr="00EA3427">
        <w:rPr>
          <w:rFonts w:eastAsia="Times New Roman"/>
          <w:sz w:val="26"/>
          <w:szCs w:val="26"/>
        </w:rPr>
        <w:t xml:space="preserve"> Such a system would increase, not reduce, disputes over service and compliance.</w:t>
      </w:r>
    </w:p>
    <w:p w:rsidRPr="00EA3427" w:rsidR="00D53051" w:rsidP="00556824" w:rsidRDefault="00AF2A2E" w14:paraId="373858AA" w14:textId="7E249A76">
      <w:pPr>
        <w:widowControl w:val="0"/>
        <w:spacing w:after="240" w:line="480" w:lineRule="exact"/>
        <w:ind w:firstLine="720"/>
        <w:jc w:val="both"/>
        <w:rPr>
          <w:sz w:val="26"/>
          <w:szCs w:val="26"/>
        </w:rPr>
      </w:pPr>
      <w:r>
        <w:rPr>
          <w:sz w:val="26"/>
          <w:szCs w:val="26"/>
        </w:rPr>
        <w:t>T</w:t>
      </w:r>
      <w:r w:rsidRPr="00F84E38" w:rsidR="00697093">
        <w:rPr>
          <w:sz w:val="26"/>
          <w:szCs w:val="26"/>
        </w:rPr>
        <w:t xml:space="preserve">hese practical defects underscore the more fundamental problem: the Petition is not asking this Court to manage procedure more efficiently within the existing statutory framework. </w:t>
      </w:r>
      <w:r w:rsidRPr="00F84E38" w:rsidR="009E1D2E">
        <w:rPr>
          <w:sz w:val="26"/>
          <w:szCs w:val="26"/>
        </w:rPr>
        <w:t xml:space="preserve"> </w:t>
      </w:r>
      <w:r w:rsidRPr="00F84E38" w:rsidR="00697093">
        <w:rPr>
          <w:sz w:val="26"/>
          <w:szCs w:val="26"/>
        </w:rPr>
        <w:t xml:space="preserve">It is asking the Court to replace that framework with a new regulatory regime of directories, website disclosures, deemed agents, and deemed receipt. </w:t>
      </w:r>
      <w:r w:rsidRPr="00F84E38" w:rsidR="009E1D2E">
        <w:rPr>
          <w:sz w:val="26"/>
          <w:szCs w:val="26"/>
        </w:rPr>
        <w:t xml:space="preserve"> </w:t>
      </w:r>
      <w:r w:rsidRPr="00F84E38" w:rsidR="00697093">
        <w:rPr>
          <w:sz w:val="26"/>
          <w:szCs w:val="26"/>
        </w:rPr>
        <w:t>If such a regime is to exist, it must come from the legislature, which can weigh policy tradeoffs, funding, feasibility, and statewide consequences.</w:t>
      </w:r>
    </w:p>
    <w:p w:rsidRPr="00EA3427" w:rsidR="003C251E" w:rsidP="007D6C4A" w:rsidRDefault="003C251E" w14:paraId="07AE3439" w14:textId="77777777">
      <w:pPr>
        <w:pStyle w:val="ListParagraph"/>
        <w:widowControl w:val="0"/>
        <w:numPr>
          <w:ilvl w:val="0"/>
          <w:numId w:val="1"/>
        </w:numPr>
        <w:ind w:left="720" w:hanging="720"/>
        <w:contextualSpacing w:val="0"/>
        <w:jc w:val="both"/>
        <w:rPr>
          <w:b/>
          <w:bCs/>
          <w:sz w:val="26"/>
          <w:szCs w:val="26"/>
        </w:rPr>
      </w:pPr>
      <w:r w:rsidRPr="00EA3427">
        <w:rPr>
          <w:b/>
          <w:bCs/>
          <w:sz w:val="26"/>
          <w:szCs w:val="26"/>
        </w:rPr>
        <w:t>THE PETITION UNDERMINES IMPORTANT PUBLIC POLICY INTERESTS</w:t>
      </w:r>
    </w:p>
    <w:p w:rsidRPr="00EA3427" w:rsidR="00992D17" w:rsidP="007D6C4A" w:rsidRDefault="0035641E" w14:paraId="411634FD" w14:textId="77777777">
      <w:pPr>
        <w:widowControl w:val="0"/>
        <w:spacing w:line="480" w:lineRule="exact"/>
        <w:ind w:firstLine="720"/>
        <w:jc w:val="both"/>
        <w:rPr>
          <w:sz w:val="26"/>
          <w:szCs w:val="26"/>
        </w:rPr>
      </w:pPr>
      <w:r w:rsidRPr="001E44E5">
        <w:rPr>
          <w:sz w:val="26"/>
          <w:szCs w:val="26"/>
        </w:rPr>
        <w:t>The Petition's access-to-justice framing does not withstand scrutiny.</w:t>
      </w:r>
      <w:r w:rsidR="009E1D2E">
        <w:rPr>
          <w:sz w:val="26"/>
          <w:szCs w:val="26"/>
        </w:rPr>
        <w:t xml:space="preserve"> </w:t>
      </w:r>
      <w:r w:rsidRPr="001E44E5">
        <w:rPr>
          <w:sz w:val="26"/>
          <w:szCs w:val="26"/>
        </w:rPr>
        <w:t xml:space="preserve"> The notice-of-claim statute exists to give public entities a meaningful opportunity to investigate claims, assess liability, and budget for litigation before suit is filed. </w:t>
      </w:r>
      <w:r w:rsidRPr="001E44E5">
        <w:rPr>
          <w:rStyle w:val="Emphasis"/>
          <w:sz w:val="26"/>
          <w:szCs w:val="26"/>
        </w:rPr>
        <w:t>Deer Valley</w:t>
      </w:r>
      <w:r w:rsidRPr="001E44E5">
        <w:rPr>
          <w:sz w:val="26"/>
          <w:szCs w:val="26"/>
        </w:rPr>
        <w:t xml:space="preserve">, 214 Ariz. at 295, ¶ 6; </w:t>
      </w:r>
      <w:r w:rsidRPr="001E44E5">
        <w:rPr>
          <w:rStyle w:val="Emphasis"/>
          <w:sz w:val="26"/>
          <w:szCs w:val="26"/>
        </w:rPr>
        <w:t>Martineau v. Maricopa County</w:t>
      </w:r>
      <w:r w:rsidRPr="001E44E5">
        <w:rPr>
          <w:sz w:val="26"/>
          <w:szCs w:val="26"/>
        </w:rPr>
        <w:t xml:space="preserve">, 207 Ariz. 332, 335, ¶ 19 (App. 2004). </w:t>
      </w:r>
      <w:r w:rsidR="009E1D2E">
        <w:rPr>
          <w:sz w:val="26"/>
          <w:szCs w:val="26"/>
        </w:rPr>
        <w:t xml:space="preserve"> </w:t>
      </w:r>
      <w:r w:rsidRPr="001E44E5">
        <w:rPr>
          <w:sz w:val="26"/>
          <w:szCs w:val="26"/>
        </w:rPr>
        <w:t>The Petition's proposed service mechanisms—including deemed receipt of undelivered emails and automatic agency designations—strip public entities of that opportunity entirely.</w:t>
      </w:r>
      <w:r>
        <w:t xml:space="preserve">  </w:t>
      </w:r>
    </w:p>
    <w:p w:rsidRPr="0035641E" w:rsidR="0035641E" w:rsidP="007D6C4A" w:rsidRDefault="0035641E" w14:paraId="0BFBB64A" w14:textId="77777777">
      <w:pPr>
        <w:widowControl w:val="0"/>
        <w:spacing w:line="480" w:lineRule="exact"/>
        <w:ind w:firstLine="720"/>
        <w:jc w:val="both"/>
        <w:rPr>
          <w:sz w:val="26"/>
          <w:szCs w:val="26"/>
        </w:rPr>
      </w:pPr>
      <w:r w:rsidRPr="0035641E">
        <w:rPr>
          <w:sz w:val="26"/>
          <w:szCs w:val="26"/>
        </w:rPr>
        <w:t>By permitting service without actual notice, the Petition would deny public entities the opportunity to investigate and settle claims before litigation—</w:t>
      </w:r>
      <w:r w:rsidR="009E1D2E">
        <w:rPr>
          <w:sz w:val="26"/>
          <w:szCs w:val="26"/>
        </w:rPr>
        <w:t>w</w:t>
      </w:r>
      <w:r w:rsidRPr="0035641E">
        <w:rPr>
          <w:sz w:val="26"/>
          <w:szCs w:val="26"/>
        </w:rPr>
        <w:t>hich is the statute's entire purpose.</w:t>
      </w:r>
      <w:r w:rsidR="009E1D2E">
        <w:rPr>
          <w:sz w:val="26"/>
          <w:szCs w:val="26"/>
        </w:rPr>
        <w:t xml:space="preserve"> </w:t>
      </w:r>
      <w:r w:rsidR="00D14C1E">
        <w:rPr>
          <w:sz w:val="26"/>
          <w:szCs w:val="26"/>
        </w:rPr>
        <w:t xml:space="preserve"> </w:t>
      </w:r>
      <w:r w:rsidRPr="0035641E">
        <w:rPr>
          <w:sz w:val="26"/>
          <w:szCs w:val="26"/>
        </w:rPr>
        <w:t>The result would be more litigation, not less, and greater exposure of public funds, not reduced barriers for claimants.</w:t>
      </w:r>
    </w:p>
    <w:p w:rsidRPr="00EA3427" w:rsidR="007D6C4A" w:rsidP="00556824" w:rsidRDefault="009E1D2E" w14:paraId="02E0416B" w14:textId="350F363A">
      <w:pPr>
        <w:widowControl w:val="0"/>
        <w:spacing w:line="480" w:lineRule="exact"/>
        <w:ind w:firstLine="720"/>
        <w:jc w:val="both"/>
        <w:rPr>
          <w:sz w:val="26"/>
          <w:szCs w:val="26"/>
        </w:rPr>
      </w:pPr>
      <w:r w:rsidRPr="009E1D2E">
        <w:rPr>
          <w:sz w:val="26"/>
          <w:szCs w:val="26"/>
        </w:rPr>
        <w:t xml:space="preserve">Even if the Petitioner believes the current statutory framework is too burdensome, that policy argument belongs </w:t>
      </w:r>
      <w:r w:rsidRPr="009E1D2E" w:rsidR="00D14C1E">
        <w:rPr>
          <w:sz w:val="26"/>
          <w:szCs w:val="26"/>
        </w:rPr>
        <w:t>to</w:t>
      </w:r>
      <w:r w:rsidRPr="009E1D2E">
        <w:rPr>
          <w:sz w:val="26"/>
          <w:szCs w:val="26"/>
        </w:rPr>
        <w:t xml:space="preserve"> the </w:t>
      </w:r>
      <w:r w:rsidR="00D14C1E">
        <w:rPr>
          <w:sz w:val="26"/>
          <w:szCs w:val="26"/>
        </w:rPr>
        <w:t>L</w:t>
      </w:r>
      <w:r w:rsidRPr="009E1D2E">
        <w:rPr>
          <w:sz w:val="26"/>
          <w:szCs w:val="26"/>
        </w:rPr>
        <w:t xml:space="preserve">egislature. </w:t>
      </w:r>
      <w:r>
        <w:rPr>
          <w:sz w:val="26"/>
          <w:szCs w:val="26"/>
        </w:rPr>
        <w:t xml:space="preserve"> </w:t>
      </w:r>
      <w:r w:rsidRPr="009E1D2E">
        <w:rPr>
          <w:sz w:val="26"/>
          <w:szCs w:val="26"/>
        </w:rPr>
        <w:t xml:space="preserve">The </w:t>
      </w:r>
      <w:r w:rsidR="00D14C1E">
        <w:rPr>
          <w:sz w:val="26"/>
          <w:szCs w:val="26"/>
        </w:rPr>
        <w:t>L</w:t>
      </w:r>
      <w:r w:rsidRPr="009E1D2E">
        <w:rPr>
          <w:sz w:val="26"/>
          <w:szCs w:val="26"/>
        </w:rPr>
        <w:t xml:space="preserve">egislature is the branch empowered to decide whether the notice-of-claim statute should be relaxed, amended, or supplemented with alternative service provisions. </w:t>
      </w:r>
      <w:r>
        <w:rPr>
          <w:sz w:val="26"/>
          <w:szCs w:val="26"/>
        </w:rPr>
        <w:t xml:space="preserve"> </w:t>
      </w:r>
      <w:r w:rsidRPr="009E1D2E">
        <w:rPr>
          <w:sz w:val="26"/>
          <w:szCs w:val="26"/>
        </w:rPr>
        <w:t>This Court’s rulemaking process is not a substitute for legislative revision, especially where the proposed changes would undercut the statute’s purposes and replace strict compliance with legal fictions.</w:t>
      </w:r>
    </w:p>
    <w:p w:rsidRPr="00EA3427" w:rsidR="003C251E" w:rsidP="007D6C4A" w:rsidRDefault="003C251E" w14:paraId="703A49AF" w14:textId="77777777">
      <w:pPr>
        <w:pStyle w:val="ListParagraph"/>
        <w:widowControl w:val="0"/>
        <w:numPr>
          <w:ilvl w:val="0"/>
          <w:numId w:val="1"/>
        </w:numPr>
        <w:spacing w:line="480" w:lineRule="exact"/>
        <w:ind w:left="720" w:hanging="720"/>
        <w:contextualSpacing w:val="0"/>
        <w:jc w:val="both"/>
        <w:rPr>
          <w:b/>
          <w:bCs/>
          <w:sz w:val="26"/>
          <w:szCs w:val="26"/>
        </w:rPr>
      </w:pPr>
      <w:r w:rsidRPr="00EA3427">
        <w:rPr>
          <w:b/>
          <w:bCs/>
          <w:sz w:val="26"/>
          <w:szCs w:val="26"/>
        </w:rPr>
        <w:t>THE PETITION RAISES PUBLIC SAFETY AND PRIVACY CONCERNS</w:t>
      </w:r>
    </w:p>
    <w:p w:rsidR="007D6C4A" w:rsidP="00556824" w:rsidRDefault="0035641E" w14:paraId="66860C9B" w14:textId="23A02BE9">
      <w:pPr>
        <w:widowControl w:val="0"/>
        <w:spacing w:line="480" w:lineRule="exact"/>
        <w:ind w:firstLine="720"/>
        <w:jc w:val="both"/>
        <w:rPr>
          <w:sz w:val="26"/>
          <w:szCs w:val="26"/>
        </w:rPr>
      </w:pPr>
      <w:r w:rsidRPr="00396BB6">
        <w:rPr>
          <w:sz w:val="26"/>
          <w:szCs w:val="26"/>
        </w:rPr>
        <w:t>The Petition's directory requirement would compel law enforcement agencies and other sensitive public employers to publish centralized contact and service information for their personnel.</w:t>
      </w:r>
      <w:r w:rsidR="00F67566">
        <w:rPr>
          <w:sz w:val="26"/>
          <w:szCs w:val="26"/>
        </w:rPr>
        <w:t xml:space="preserve"> </w:t>
      </w:r>
      <w:r w:rsidR="00D14C1E">
        <w:rPr>
          <w:sz w:val="26"/>
          <w:szCs w:val="26"/>
        </w:rPr>
        <w:t xml:space="preserve"> </w:t>
      </w:r>
      <w:r w:rsidRPr="00396BB6">
        <w:rPr>
          <w:sz w:val="26"/>
          <w:szCs w:val="26"/>
        </w:rPr>
        <w:t xml:space="preserve">For officers and employees in sensitive roles, this creates real and foreseeable safety risks that the Petition does not address. </w:t>
      </w:r>
      <w:r w:rsidR="00F67566">
        <w:rPr>
          <w:sz w:val="26"/>
          <w:szCs w:val="26"/>
        </w:rPr>
        <w:t xml:space="preserve"> </w:t>
      </w:r>
      <w:r w:rsidRPr="00396BB6">
        <w:rPr>
          <w:sz w:val="26"/>
          <w:szCs w:val="26"/>
        </w:rPr>
        <w:t>A rule that generates harassment risks for public employees—while simultaneously failing to ensure actual notice of claims—cannot be said to serve the public interest.</w:t>
      </w:r>
    </w:p>
    <w:p w:rsidRPr="00EA3427" w:rsidR="003C251E" w:rsidP="007D6C4A" w:rsidRDefault="003C251E" w14:paraId="3F9E8042" w14:textId="77777777">
      <w:pPr>
        <w:pStyle w:val="ListParagraph"/>
        <w:widowControl w:val="0"/>
        <w:numPr>
          <w:ilvl w:val="0"/>
          <w:numId w:val="1"/>
        </w:numPr>
        <w:spacing w:line="480" w:lineRule="exact"/>
        <w:ind w:left="720" w:hanging="720"/>
        <w:contextualSpacing w:val="0"/>
        <w:jc w:val="both"/>
        <w:rPr>
          <w:b/>
          <w:bCs/>
          <w:sz w:val="26"/>
          <w:szCs w:val="26"/>
        </w:rPr>
      </w:pPr>
      <w:r w:rsidRPr="00EA3427">
        <w:rPr>
          <w:b/>
          <w:bCs/>
          <w:sz w:val="26"/>
          <w:szCs w:val="26"/>
        </w:rPr>
        <w:t>THE PETITION IS VAGUE AND INTERNALLY INCONSISTENT</w:t>
      </w:r>
    </w:p>
    <w:p w:rsidR="00F67566" w:rsidP="007D6C4A" w:rsidRDefault="00F67566" w14:paraId="3EAB37AC" w14:textId="77777777">
      <w:pPr>
        <w:widowControl w:val="0"/>
        <w:spacing w:line="480" w:lineRule="exact"/>
        <w:ind w:firstLine="720"/>
        <w:jc w:val="both"/>
        <w:rPr>
          <w:sz w:val="26"/>
          <w:szCs w:val="26"/>
        </w:rPr>
      </w:pPr>
      <w:r w:rsidRPr="00396BB6">
        <w:rPr>
          <w:sz w:val="26"/>
          <w:szCs w:val="26"/>
        </w:rPr>
        <w:t xml:space="preserve">The rule's internal contradictions are disqualifying on their own. </w:t>
      </w:r>
      <w:r>
        <w:rPr>
          <w:sz w:val="26"/>
          <w:szCs w:val="26"/>
        </w:rPr>
        <w:t xml:space="preserve"> </w:t>
      </w:r>
      <w:r w:rsidRPr="00396BB6">
        <w:rPr>
          <w:sz w:val="26"/>
          <w:szCs w:val="26"/>
        </w:rPr>
        <w:t xml:space="preserve">It requires reliance on published service information while simultaneously disclaiming responsibility for its accuracy. </w:t>
      </w:r>
      <w:r>
        <w:rPr>
          <w:sz w:val="26"/>
          <w:szCs w:val="26"/>
        </w:rPr>
        <w:t xml:space="preserve"> </w:t>
      </w:r>
      <w:r w:rsidRPr="00396BB6">
        <w:rPr>
          <w:rStyle w:val="Emphasis"/>
          <w:sz w:val="26"/>
          <w:szCs w:val="26"/>
        </w:rPr>
        <w:t>See</w:t>
      </w:r>
      <w:r w:rsidRPr="00396BB6">
        <w:rPr>
          <w:sz w:val="26"/>
          <w:szCs w:val="26"/>
        </w:rPr>
        <w:t xml:space="preserve"> Ex. A at 10.</w:t>
      </w:r>
      <w:r>
        <w:rPr>
          <w:sz w:val="26"/>
          <w:szCs w:val="26"/>
        </w:rPr>
        <w:t xml:space="preserve"> </w:t>
      </w:r>
      <w:r w:rsidRPr="00396BB6">
        <w:rPr>
          <w:sz w:val="26"/>
          <w:szCs w:val="26"/>
        </w:rPr>
        <w:t xml:space="preserve"> It deems "best guess" information legally valid for service on the Attorney General. </w:t>
      </w:r>
      <w:r>
        <w:rPr>
          <w:sz w:val="26"/>
          <w:szCs w:val="26"/>
        </w:rPr>
        <w:t xml:space="preserve"> </w:t>
      </w:r>
      <w:r w:rsidRPr="00396BB6">
        <w:rPr>
          <w:rStyle w:val="Emphasis"/>
          <w:sz w:val="26"/>
          <w:szCs w:val="26"/>
        </w:rPr>
        <w:t>Id.</w:t>
      </w:r>
      <w:r w:rsidRPr="00396BB6">
        <w:rPr>
          <w:sz w:val="26"/>
          <w:szCs w:val="26"/>
        </w:rPr>
        <w:t xml:space="preserve"> at 11. </w:t>
      </w:r>
      <w:r>
        <w:rPr>
          <w:sz w:val="26"/>
          <w:szCs w:val="26"/>
        </w:rPr>
        <w:t xml:space="preserve"> </w:t>
      </w:r>
      <w:r w:rsidRPr="00396BB6">
        <w:rPr>
          <w:sz w:val="26"/>
          <w:szCs w:val="26"/>
        </w:rPr>
        <w:t xml:space="preserve">And it conditions legal consequences on </w:t>
      </w:r>
      <w:r>
        <w:rPr>
          <w:sz w:val="26"/>
          <w:szCs w:val="26"/>
        </w:rPr>
        <w:t xml:space="preserve">ambiguous and undefined </w:t>
      </w:r>
      <w:r w:rsidRPr="00396BB6">
        <w:rPr>
          <w:sz w:val="26"/>
          <w:szCs w:val="26"/>
        </w:rPr>
        <w:t>standard</w:t>
      </w:r>
      <w:r>
        <w:rPr>
          <w:sz w:val="26"/>
          <w:szCs w:val="26"/>
        </w:rPr>
        <w:t>s like “</w:t>
      </w:r>
      <w:r w:rsidRPr="00396BB6">
        <w:rPr>
          <w:sz w:val="26"/>
          <w:szCs w:val="26"/>
        </w:rPr>
        <w:t>conspicuously publish</w:t>
      </w:r>
      <w:r>
        <w:rPr>
          <w:sz w:val="26"/>
          <w:szCs w:val="26"/>
        </w:rPr>
        <w:t>” and</w:t>
      </w:r>
      <w:r w:rsidRPr="00396BB6">
        <w:rPr>
          <w:sz w:val="26"/>
          <w:szCs w:val="26"/>
        </w:rPr>
        <w:t xml:space="preserve"> </w:t>
      </w:r>
      <w:r>
        <w:rPr>
          <w:sz w:val="26"/>
          <w:szCs w:val="26"/>
        </w:rPr>
        <w:t>“</w:t>
      </w:r>
      <w:r w:rsidRPr="00396BB6">
        <w:rPr>
          <w:sz w:val="26"/>
          <w:szCs w:val="26"/>
        </w:rPr>
        <w:t>easily searchable</w:t>
      </w:r>
      <w:r>
        <w:rPr>
          <w:sz w:val="26"/>
          <w:szCs w:val="26"/>
        </w:rPr>
        <w:t>.”</w:t>
      </w:r>
      <w:r w:rsidRPr="00396BB6">
        <w:rPr>
          <w:sz w:val="26"/>
          <w:szCs w:val="26"/>
        </w:rPr>
        <w:t xml:space="preserve"> </w:t>
      </w:r>
      <w:r>
        <w:rPr>
          <w:sz w:val="26"/>
          <w:szCs w:val="26"/>
        </w:rPr>
        <w:t xml:space="preserve"> </w:t>
      </w:r>
      <w:r w:rsidRPr="00396BB6">
        <w:rPr>
          <w:rStyle w:val="Emphasis"/>
          <w:sz w:val="26"/>
          <w:szCs w:val="26"/>
        </w:rPr>
        <w:t>Id.</w:t>
      </w:r>
      <w:r w:rsidRPr="00396BB6">
        <w:rPr>
          <w:sz w:val="26"/>
          <w:szCs w:val="26"/>
        </w:rPr>
        <w:t xml:space="preserve"> </w:t>
      </w:r>
      <w:r>
        <w:rPr>
          <w:sz w:val="26"/>
          <w:szCs w:val="26"/>
        </w:rPr>
        <w:t xml:space="preserve"> </w:t>
      </w:r>
      <w:r w:rsidRPr="00396BB6">
        <w:rPr>
          <w:sz w:val="26"/>
          <w:szCs w:val="26"/>
        </w:rPr>
        <w:t xml:space="preserve">at 8–9. </w:t>
      </w:r>
      <w:r>
        <w:rPr>
          <w:sz w:val="26"/>
          <w:szCs w:val="26"/>
        </w:rPr>
        <w:t xml:space="preserve"> </w:t>
      </w:r>
      <w:r w:rsidRPr="00396BB6">
        <w:rPr>
          <w:sz w:val="26"/>
          <w:szCs w:val="26"/>
        </w:rPr>
        <w:t xml:space="preserve">A procedural rule that is internally inconsistent, that imposes legal consequences based on undefined standards, and that simultaneously requires and disclaims reliance on the same information is not a workable rule. </w:t>
      </w:r>
      <w:r>
        <w:rPr>
          <w:sz w:val="26"/>
          <w:szCs w:val="26"/>
        </w:rPr>
        <w:t xml:space="preserve"> </w:t>
      </w:r>
      <w:r w:rsidRPr="00396BB6">
        <w:rPr>
          <w:sz w:val="26"/>
          <w:szCs w:val="26"/>
        </w:rPr>
        <w:t>It</w:t>
      </w:r>
      <w:r>
        <w:rPr>
          <w:sz w:val="26"/>
          <w:szCs w:val="26"/>
        </w:rPr>
        <w:t xml:space="preserve"> would only serve to invite disputes and generate </w:t>
      </w:r>
      <w:r w:rsidRPr="00396BB6">
        <w:rPr>
          <w:sz w:val="26"/>
          <w:szCs w:val="26"/>
        </w:rPr>
        <w:t>litigation.</w:t>
      </w:r>
    </w:p>
    <w:p w:rsidRPr="00396BB6" w:rsidR="007D6C4A" w:rsidP="00556824" w:rsidRDefault="00F51B53" w14:paraId="584C77F0" w14:textId="52C13F24">
      <w:pPr>
        <w:widowControl w:val="0"/>
        <w:spacing w:line="480" w:lineRule="exact"/>
        <w:ind w:firstLine="720"/>
        <w:jc w:val="both"/>
        <w:rPr>
          <w:sz w:val="26"/>
          <w:szCs w:val="26"/>
        </w:rPr>
      </w:pPr>
      <w:r w:rsidRPr="00F51B53">
        <w:rPr>
          <w:sz w:val="26"/>
          <w:szCs w:val="26"/>
        </w:rPr>
        <w:t xml:space="preserve">Those defects further confirm that the Petition is not a modest procedural clarification. </w:t>
      </w:r>
      <w:r>
        <w:rPr>
          <w:sz w:val="26"/>
          <w:szCs w:val="26"/>
        </w:rPr>
        <w:t xml:space="preserve"> </w:t>
      </w:r>
      <w:r w:rsidRPr="00F51B53">
        <w:rPr>
          <w:sz w:val="26"/>
          <w:szCs w:val="26"/>
        </w:rPr>
        <w:t>It is an attempt to replace a statutory framework with an indeterminate and self-contradictory regime that would generate threshold disputes over compliance, service, and validity.</w:t>
      </w:r>
      <w:r>
        <w:rPr>
          <w:sz w:val="26"/>
          <w:szCs w:val="26"/>
        </w:rPr>
        <w:t xml:space="preserve"> </w:t>
      </w:r>
      <w:r w:rsidRPr="00F51B53">
        <w:rPr>
          <w:sz w:val="26"/>
          <w:szCs w:val="26"/>
        </w:rPr>
        <w:t xml:space="preserve"> Rather than simplifying the notice-of-claim process, the proposed rule would create new layers of uncertainty for claimants, public entities, public employees, and the courts alike.</w:t>
      </w:r>
    </w:p>
    <w:p w:rsidRPr="00EA3427" w:rsidR="003C251E" w:rsidP="007D6C4A" w:rsidRDefault="003C251E" w14:paraId="08A2080F" w14:textId="77777777">
      <w:pPr>
        <w:pStyle w:val="ListParagraph"/>
        <w:widowControl w:val="0"/>
        <w:numPr>
          <w:ilvl w:val="0"/>
          <w:numId w:val="1"/>
        </w:numPr>
        <w:spacing w:line="480" w:lineRule="exact"/>
        <w:ind w:left="720" w:hanging="630"/>
        <w:contextualSpacing w:val="0"/>
        <w:jc w:val="both"/>
        <w:rPr>
          <w:b/>
          <w:bCs/>
          <w:sz w:val="26"/>
          <w:szCs w:val="26"/>
        </w:rPr>
      </w:pPr>
      <w:r w:rsidRPr="00EA3427">
        <w:rPr>
          <w:b/>
          <w:bCs/>
          <w:sz w:val="26"/>
          <w:szCs w:val="26"/>
        </w:rPr>
        <w:t>CONCLUSION</w:t>
      </w:r>
    </w:p>
    <w:p w:rsidRPr="00EA3427" w:rsidR="00F67566" w:rsidP="007D6C4A" w:rsidRDefault="00F67566" w14:paraId="4B1BE112" w14:textId="77777777">
      <w:pPr>
        <w:pStyle w:val="NormalWeb"/>
        <w:widowControl w:val="0"/>
        <w:spacing w:before="0" w:beforeAutospacing="0" w:after="240" w:afterAutospacing="0" w:line="480" w:lineRule="exact"/>
        <w:ind w:firstLine="720"/>
        <w:jc w:val="both"/>
        <w:rPr>
          <w:rFonts w:ascii="Times New Roman" w:hAnsi="Times New Roman" w:cs="Times New Roman"/>
          <w:sz w:val="26"/>
          <w:szCs w:val="26"/>
        </w:rPr>
      </w:pPr>
      <w:r w:rsidRPr="00F67566">
        <w:rPr>
          <w:rFonts w:ascii="Times New Roman" w:hAnsi="Times New Roman" w:cs="Times New Roman"/>
          <w:sz w:val="26"/>
          <w:szCs w:val="26"/>
        </w:rPr>
        <w:t xml:space="preserve">The Petition asks this Court to </w:t>
      </w:r>
      <w:r w:rsidR="00571815">
        <w:rPr>
          <w:rFonts w:ascii="Times New Roman" w:hAnsi="Times New Roman" w:cs="Times New Roman"/>
          <w:sz w:val="26"/>
          <w:szCs w:val="26"/>
        </w:rPr>
        <w:t>override</w:t>
      </w:r>
      <w:r w:rsidRPr="00F67566">
        <w:rPr>
          <w:rFonts w:ascii="Times New Roman" w:hAnsi="Times New Roman" w:cs="Times New Roman"/>
          <w:sz w:val="26"/>
          <w:szCs w:val="26"/>
        </w:rPr>
        <w:t xml:space="preserve"> the legislature's </w:t>
      </w:r>
      <w:r w:rsidR="00571815">
        <w:rPr>
          <w:rFonts w:ascii="Times New Roman" w:hAnsi="Times New Roman" w:cs="Times New Roman"/>
          <w:sz w:val="26"/>
          <w:szCs w:val="26"/>
        </w:rPr>
        <w:t>filing</w:t>
      </w:r>
      <w:r w:rsidRPr="00F67566" w:rsidR="00571815">
        <w:rPr>
          <w:rFonts w:ascii="Times New Roman" w:hAnsi="Times New Roman" w:cs="Times New Roman"/>
          <w:sz w:val="26"/>
          <w:szCs w:val="26"/>
        </w:rPr>
        <w:t xml:space="preserve"> </w:t>
      </w:r>
      <w:r w:rsidRPr="00F67566">
        <w:rPr>
          <w:rFonts w:ascii="Times New Roman" w:hAnsi="Times New Roman" w:cs="Times New Roman"/>
          <w:sz w:val="26"/>
          <w:szCs w:val="26"/>
        </w:rPr>
        <w:t xml:space="preserve">requirements </w:t>
      </w:r>
      <w:r w:rsidR="00571815">
        <w:rPr>
          <w:rFonts w:ascii="Times New Roman" w:hAnsi="Times New Roman" w:cs="Times New Roman"/>
          <w:sz w:val="26"/>
          <w:szCs w:val="26"/>
        </w:rPr>
        <w:t>for claims being brought against public entities and public employees by</w:t>
      </w:r>
      <w:r w:rsidRPr="00F67566" w:rsidR="00571815">
        <w:rPr>
          <w:rFonts w:ascii="Times New Roman" w:hAnsi="Times New Roman" w:cs="Times New Roman"/>
          <w:sz w:val="26"/>
          <w:szCs w:val="26"/>
        </w:rPr>
        <w:t xml:space="preserve"> </w:t>
      </w:r>
      <w:r w:rsidRPr="00F67566">
        <w:rPr>
          <w:rFonts w:ascii="Times New Roman" w:hAnsi="Times New Roman" w:cs="Times New Roman"/>
          <w:sz w:val="26"/>
          <w:szCs w:val="26"/>
        </w:rPr>
        <w:t>replac</w:t>
      </w:r>
      <w:r w:rsidR="00571815">
        <w:rPr>
          <w:rFonts w:ascii="Times New Roman" w:hAnsi="Times New Roman" w:cs="Times New Roman"/>
          <w:sz w:val="26"/>
          <w:szCs w:val="26"/>
        </w:rPr>
        <w:t>ing</w:t>
      </w:r>
      <w:r w:rsidRPr="00F67566">
        <w:rPr>
          <w:rFonts w:ascii="Times New Roman" w:hAnsi="Times New Roman" w:cs="Times New Roman"/>
          <w:sz w:val="26"/>
          <w:szCs w:val="26"/>
        </w:rPr>
        <w:t xml:space="preserve"> </w:t>
      </w:r>
      <w:r w:rsidR="00571815">
        <w:rPr>
          <w:rFonts w:ascii="Times New Roman" w:hAnsi="Times New Roman" w:cs="Times New Roman"/>
          <w:sz w:val="26"/>
          <w:szCs w:val="26"/>
        </w:rPr>
        <w:t xml:space="preserve">the strict compliance requirement </w:t>
      </w:r>
      <w:r w:rsidRPr="00F67566">
        <w:rPr>
          <w:rFonts w:ascii="Times New Roman" w:hAnsi="Times New Roman" w:cs="Times New Roman"/>
          <w:sz w:val="26"/>
          <w:szCs w:val="26"/>
        </w:rPr>
        <w:t>with administrative fictions, and</w:t>
      </w:r>
      <w:r w:rsidR="007D6C4A">
        <w:rPr>
          <w:rFonts w:ascii="Times New Roman" w:hAnsi="Times New Roman" w:cs="Times New Roman"/>
          <w:sz w:val="26"/>
          <w:szCs w:val="26"/>
        </w:rPr>
        <w:t xml:space="preserve"> establish</w:t>
      </w:r>
      <w:r w:rsidRPr="00F67566">
        <w:rPr>
          <w:rFonts w:ascii="Times New Roman" w:hAnsi="Times New Roman" w:cs="Times New Roman"/>
          <w:sz w:val="26"/>
          <w:szCs w:val="26"/>
        </w:rPr>
        <w:t xml:space="preserve"> an unfunded statewide directory. </w:t>
      </w:r>
      <w:r>
        <w:rPr>
          <w:rFonts w:ascii="Times New Roman" w:hAnsi="Times New Roman" w:cs="Times New Roman"/>
          <w:sz w:val="26"/>
          <w:szCs w:val="26"/>
        </w:rPr>
        <w:t xml:space="preserve"> </w:t>
      </w:r>
      <w:r w:rsidRPr="00F67566">
        <w:rPr>
          <w:rFonts w:ascii="Times New Roman" w:hAnsi="Times New Roman" w:cs="Times New Roman"/>
          <w:sz w:val="26"/>
          <w:szCs w:val="26"/>
        </w:rPr>
        <w:t>None of that is within this Court's authority, and none of it</w:t>
      </w:r>
      <w:r w:rsidR="00F51B53">
        <w:rPr>
          <w:rFonts w:ascii="Times New Roman" w:hAnsi="Times New Roman" w:cs="Times New Roman"/>
          <w:sz w:val="26"/>
          <w:szCs w:val="26"/>
        </w:rPr>
        <w:t xml:space="preserve"> is a proper use of the rulemaking process. </w:t>
      </w:r>
      <w:r w:rsidRPr="00F67566">
        <w:rPr>
          <w:rFonts w:ascii="Times New Roman" w:hAnsi="Times New Roman" w:cs="Times New Roman"/>
          <w:sz w:val="26"/>
          <w:szCs w:val="26"/>
        </w:rPr>
        <w:t xml:space="preserve"> </w:t>
      </w:r>
      <w:r w:rsidRPr="007E696D" w:rsidR="007E696D">
        <w:rPr>
          <w:rFonts w:ascii="Times New Roman" w:hAnsi="Times New Roman" w:cs="Times New Roman"/>
          <w:sz w:val="26"/>
          <w:szCs w:val="26"/>
        </w:rPr>
        <w:t xml:space="preserve">If the Petitioner seeks </w:t>
      </w:r>
      <w:r w:rsidR="007D6C4A">
        <w:rPr>
          <w:rFonts w:ascii="Times New Roman" w:hAnsi="Times New Roman" w:cs="Times New Roman"/>
          <w:sz w:val="26"/>
          <w:szCs w:val="26"/>
        </w:rPr>
        <w:t>to accomplish substantive changes to the</w:t>
      </w:r>
      <w:r w:rsidRPr="007E696D" w:rsidR="007E696D">
        <w:rPr>
          <w:rFonts w:ascii="Times New Roman" w:hAnsi="Times New Roman" w:cs="Times New Roman"/>
          <w:sz w:val="26"/>
          <w:szCs w:val="26"/>
        </w:rPr>
        <w:t xml:space="preserve"> requirements of A.R.S. § 12-821.01, </w:t>
      </w:r>
      <w:r w:rsidR="00D14C1E">
        <w:rPr>
          <w:rFonts w:ascii="Times New Roman" w:hAnsi="Times New Roman" w:cs="Times New Roman"/>
          <w:sz w:val="26"/>
          <w:szCs w:val="26"/>
        </w:rPr>
        <w:t>he</w:t>
      </w:r>
      <w:r w:rsidRPr="007E696D" w:rsidR="007E696D">
        <w:rPr>
          <w:rFonts w:ascii="Times New Roman" w:hAnsi="Times New Roman" w:cs="Times New Roman"/>
          <w:sz w:val="26"/>
          <w:szCs w:val="26"/>
        </w:rPr>
        <w:t xml:space="preserve"> must ask the legislature to do so.</w:t>
      </w:r>
      <w:r w:rsidR="00D14C1E">
        <w:rPr>
          <w:rFonts w:ascii="Times New Roman" w:hAnsi="Times New Roman" w:cs="Times New Roman"/>
          <w:sz w:val="26"/>
          <w:szCs w:val="26"/>
        </w:rPr>
        <w:t xml:space="preserve">  He</w:t>
      </w:r>
      <w:r w:rsidRPr="007E696D" w:rsidR="007E696D">
        <w:rPr>
          <w:rFonts w:ascii="Times New Roman" w:hAnsi="Times New Roman" w:cs="Times New Roman"/>
          <w:sz w:val="26"/>
          <w:szCs w:val="26"/>
        </w:rPr>
        <w:t xml:space="preserve"> may not obtain through rulemaking what Arizona’s Constitution reserves to the legislative process.</w:t>
      </w:r>
      <w:r w:rsidR="007E696D">
        <w:rPr>
          <w:rFonts w:ascii="Times New Roman" w:hAnsi="Times New Roman" w:cs="Times New Roman"/>
          <w:sz w:val="26"/>
          <w:szCs w:val="26"/>
        </w:rPr>
        <w:t xml:space="preserve"> </w:t>
      </w:r>
      <w:r w:rsidRPr="00F67566">
        <w:rPr>
          <w:rFonts w:ascii="Times New Roman" w:hAnsi="Times New Roman" w:cs="Times New Roman"/>
          <w:sz w:val="26"/>
          <w:szCs w:val="26"/>
        </w:rPr>
        <w:t>SRP respectfully requests that the Petition be denied.</w:t>
      </w:r>
    </w:p>
    <w:p w:rsidRPr="00EA3427" w:rsidR="003C251E" w:rsidP="007D6C4A" w:rsidRDefault="003C251E" w14:paraId="07963D2B" w14:textId="663BDAD5">
      <w:pPr>
        <w:widowControl w:val="0"/>
        <w:ind w:firstLine="720"/>
        <w:rPr>
          <w:rFonts w:eastAsia="Times New Roman"/>
          <w:color w:val="000000"/>
          <w:sz w:val="26"/>
          <w:szCs w:val="26"/>
        </w:rPr>
      </w:pPr>
      <w:r w:rsidRPr="00EA3427">
        <w:rPr>
          <w:rFonts w:eastAsia="Times New Roman"/>
          <w:color w:val="000000"/>
          <w:sz w:val="26"/>
          <w:szCs w:val="26"/>
        </w:rPr>
        <w:t xml:space="preserve">RESPECTFULLY SUBMITTED this </w:t>
      </w:r>
      <w:r w:rsidR="003E76E5">
        <w:rPr>
          <w:rFonts w:eastAsia="Times New Roman"/>
          <w:color w:val="000000"/>
          <w:sz w:val="26"/>
          <w:szCs w:val="26"/>
        </w:rPr>
        <w:t>1st</w:t>
      </w:r>
      <w:r w:rsidRPr="00EA3427">
        <w:rPr>
          <w:rFonts w:eastAsia="Times New Roman"/>
          <w:color w:val="000000"/>
          <w:sz w:val="26"/>
          <w:szCs w:val="26"/>
        </w:rPr>
        <w:t xml:space="preserve"> day of </w:t>
      </w:r>
      <w:r w:rsidR="003E76E5">
        <w:rPr>
          <w:rFonts w:eastAsia="Times New Roman"/>
          <w:color w:val="000000"/>
          <w:sz w:val="26"/>
          <w:szCs w:val="26"/>
        </w:rPr>
        <w:t>May</w:t>
      </w:r>
      <w:r w:rsidRPr="00EA3427">
        <w:rPr>
          <w:rFonts w:eastAsia="Times New Roman"/>
          <w:color w:val="000000"/>
          <w:sz w:val="26"/>
          <w:szCs w:val="26"/>
        </w:rPr>
        <w:t>, 2026.</w:t>
      </w:r>
    </w:p>
    <w:p w:rsidRPr="00EA3427" w:rsidR="003C251E" w:rsidP="007D6C4A" w:rsidRDefault="003C251E" w14:paraId="29B554FE" w14:textId="77777777">
      <w:pPr>
        <w:widowControl w:val="0"/>
        <w:rPr>
          <w:rFonts w:eastAsia="Times New Roman"/>
          <w:color w:val="000000"/>
          <w:sz w:val="26"/>
          <w:szCs w:val="26"/>
        </w:rPr>
      </w:pPr>
    </w:p>
    <w:p w:rsidRPr="00EA3427" w:rsidR="003C251E" w:rsidP="007D6C4A" w:rsidRDefault="003C251E" w14:paraId="2C8A5ADB" w14:textId="77777777">
      <w:pPr>
        <w:widowControl w:val="0"/>
        <w:rPr>
          <w:rFonts w:eastAsia="Times New Roman"/>
          <w:color w:val="000000"/>
          <w:sz w:val="26"/>
          <w:szCs w:val="26"/>
        </w:rPr>
      </w:pPr>
      <w:r w:rsidRPr="00EA3427">
        <w:rPr>
          <w:rFonts w:eastAsia="Times New Roman"/>
          <w:color w:val="000000"/>
          <w:sz w:val="26"/>
          <w:szCs w:val="26"/>
        </w:rPr>
        <w:t>  </w:t>
      </w:r>
    </w:p>
    <w:p w:rsidRPr="00EA3427" w:rsidR="003C251E" w:rsidP="007D6C4A" w:rsidRDefault="003C251E" w14:paraId="52CC6171" w14:textId="77777777">
      <w:pPr>
        <w:widowControl w:val="0"/>
        <w:ind w:left="5040"/>
        <w:rPr>
          <w:rFonts w:eastAsia="Times New Roman"/>
          <w:b/>
          <w:bCs/>
          <w:color w:val="000000"/>
          <w:sz w:val="26"/>
          <w:szCs w:val="26"/>
        </w:rPr>
      </w:pPr>
      <w:r w:rsidRPr="00EA3427">
        <w:rPr>
          <w:rFonts w:eastAsia="Times New Roman"/>
          <w:b/>
          <w:bCs/>
          <w:color w:val="000000"/>
          <w:sz w:val="26"/>
          <w:szCs w:val="26"/>
        </w:rPr>
        <w:t>SPENCER FANE LLP</w:t>
      </w:r>
    </w:p>
    <w:p w:rsidRPr="00EA3427" w:rsidR="003C251E" w:rsidP="007D6C4A" w:rsidRDefault="003C251E" w14:paraId="05C31CBF" w14:textId="77777777">
      <w:pPr>
        <w:widowControl w:val="0"/>
        <w:ind w:left="5040"/>
        <w:rPr>
          <w:rFonts w:eastAsia="Times New Roman"/>
          <w:color w:val="000000"/>
          <w:sz w:val="26"/>
          <w:szCs w:val="26"/>
        </w:rPr>
      </w:pPr>
    </w:p>
    <w:p w:rsidRPr="00EA3427" w:rsidR="003C251E" w:rsidP="007D6C4A" w:rsidRDefault="003C251E" w14:paraId="2932860F" w14:textId="77777777">
      <w:pPr>
        <w:widowControl w:val="0"/>
        <w:ind w:left="5040"/>
        <w:rPr>
          <w:rFonts w:eastAsia="Times New Roman"/>
          <w:color w:val="000000"/>
          <w:sz w:val="26"/>
          <w:szCs w:val="26"/>
        </w:rPr>
      </w:pPr>
    </w:p>
    <w:p w:rsidR="003E76E5" w:rsidP="003E76E5" w:rsidRDefault="003C251E" w14:paraId="50D80C9D" w14:textId="77777777">
      <w:pPr>
        <w:widowControl w:val="0"/>
        <w:ind w:left="5040"/>
        <w:rPr>
          <w:rFonts w:eastAsia="Times New Roman"/>
          <w:color w:val="000000"/>
          <w:sz w:val="26"/>
          <w:szCs w:val="26"/>
        </w:rPr>
      </w:pPr>
      <w:r w:rsidRPr="00EA3427">
        <w:rPr>
          <w:rFonts w:eastAsia="Times New Roman"/>
          <w:color w:val="000000"/>
          <w:sz w:val="26"/>
          <w:szCs w:val="26"/>
        </w:rPr>
        <w:t>By: _</w:t>
      </w:r>
      <w:r w:rsidR="003E76E5">
        <w:rPr>
          <w:rFonts w:eastAsia="Times New Roman"/>
          <w:i/>
          <w:iCs/>
          <w:color w:val="000000"/>
          <w:sz w:val="26"/>
          <w:szCs w:val="26"/>
          <w:u w:val="single"/>
        </w:rPr>
        <w:t xml:space="preserve">/s/ Eric D. Gere </w:t>
      </w:r>
      <w:r w:rsidRPr="00EA3427">
        <w:rPr>
          <w:rFonts w:eastAsia="Times New Roman"/>
          <w:color w:val="000000"/>
          <w:sz w:val="26"/>
          <w:szCs w:val="26"/>
        </w:rPr>
        <w:t>___________</w:t>
      </w:r>
    </w:p>
    <w:p w:rsidRPr="00EA3427" w:rsidR="003C251E" w:rsidP="003E76E5" w:rsidRDefault="003C251E" w14:paraId="486E06E6" w14:textId="059C1B82">
      <w:pPr>
        <w:widowControl w:val="0"/>
        <w:ind w:left="5040"/>
        <w:rPr>
          <w:rFonts w:eastAsia="Times New Roman"/>
          <w:color w:val="000000"/>
          <w:sz w:val="26"/>
          <w:szCs w:val="26"/>
        </w:rPr>
      </w:pPr>
      <w:r w:rsidRPr="00EA3427">
        <w:rPr>
          <w:rFonts w:eastAsia="Times New Roman"/>
          <w:color w:val="000000"/>
          <w:sz w:val="26"/>
          <w:szCs w:val="26"/>
        </w:rPr>
        <w:t>Eric D. Gere</w:t>
      </w:r>
    </w:p>
    <w:p w:rsidRPr="00EA3427" w:rsidR="003C251E" w:rsidP="007D6C4A" w:rsidRDefault="003C251E" w14:paraId="400B7162" w14:textId="77777777">
      <w:pPr>
        <w:widowControl w:val="0"/>
        <w:ind w:left="5040"/>
        <w:rPr>
          <w:rFonts w:eastAsia="Times New Roman"/>
          <w:color w:val="000000"/>
          <w:sz w:val="26"/>
          <w:szCs w:val="26"/>
        </w:rPr>
      </w:pPr>
      <w:r w:rsidRPr="00EA3427">
        <w:rPr>
          <w:rFonts w:eastAsia="Times New Roman"/>
          <w:color w:val="000000"/>
          <w:sz w:val="26"/>
          <w:szCs w:val="26"/>
        </w:rPr>
        <w:t>Dontan K. Hart</w:t>
      </w:r>
    </w:p>
    <w:p w:rsidRPr="00EA3427" w:rsidR="003C251E" w:rsidP="007D6C4A" w:rsidRDefault="003C251E" w14:paraId="12098F8D" w14:textId="77777777">
      <w:pPr>
        <w:widowControl w:val="0"/>
        <w:ind w:left="5040"/>
        <w:rPr>
          <w:rFonts w:eastAsia="Times New Roman"/>
          <w:i/>
          <w:iCs/>
          <w:color w:val="000000"/>
          <w:sz w:val="26"/>
          <w:szCs w:val="26"/>
        </w:rPr>
      </w:pPr>
      <w:r w:rsidRPr="00EA3427">
        <w:rPr>
          <w:rFonts w:eastAsia="Times New Roman"/>
          <w:i/>
          <w:iCs/>
          <w:color w:val="000000"/>
          <w:sz w:val="26"/>
          <w:szCs w:val="26"/>
        </w:rPr>
        <w:t xml:space="preserve">Attorneys for Salt River Project </w:t>
      </w:r>
    </w:p>
    <w:p w:rsidRPr="00EA3427" w:rsidR="003C251E" w:rsidP="007D6C4A" w:rsidRDefault="003C251E" w14:paraId="13D4CAA0" w14:textId="77777777">
      <w:pPr>
        <w:widowControl w:val="0"/>
        <w:ind w:left="5040"/>
        <w:rPr>
          <w:rFonts w:eastAsia="Times New Roman"/>
          <w:i/>
          <w:iCs/>
          <w:color w:val="000000"/>
          <w:sz w:val="26"/>
          <w:szCs w:val="26"/>
        </w:rPr>
      </w:pPr>
      <w:r w:rsidRPr="00EA3427">
        <w:rPr>
          <w:rFonts w:eastAsia="Times New Roman"/>
          <w:i/>
          <w:iCs/>
          <w:color w:val="000000"/>
          <w:sz w:val="26"/>
          <w:szCs w:val="26"/>
        </w:rPr>
        <w:t>Agricultural Improvement and Power District</w:t>
      </w:r>
    </w:p>
    <w:p w:rsidRPr="00EA3427" w:rsidR="003C251E" w:rsidP="007D6C4A" w:rsidRDefault="003C251E" w14:paraId="656E0AA7" w14:textId="77777777">
      <w:pPr>
        <w:widowControl w:val="0"/>
        <w:ind w:left="5040"/>
        <w:rPr>
          <w:rFonts w:eastAsia="Times New Roman"/>
          <w:color w:val="000000"/>
          <w:sz w:val="26"/>
          <w:szCs w:val="26"/>
        </w:rPr>
      </w:pPr>
    </w:p>
    <w:p w:rsidRPr="00EA3427" w:rsidR="00266DF9" w:rsidP="007D6C4A" w:rsidRDefault="00266DF9" w14:paraId="499BA127" w14:textId="77777777">
      <w:pPr>
        <w:widowControl w:val="0"/>
        <w:rPr>
          <w:rFonts w:eastAsia="Times New Roman"/>
          <w:color w:val="000000"/>
          <w:sz w:val="26"/>
          <w:szCs w:val="26"/>
        </w:rPr>
      </w:pPr>
    </w:p>
    <w:sectPr w:rsidRPr="00EA3427" w:rsidR="00266DF9" w:rsidSect="0055682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6557" w:rsidP="005E7E51" w:rsidRDefault="004A6557" w14:paraId="3D20BB8B" w14:textId="77777777">
      <w:r>
        <w:separator/>
      </w:r>
    </w:p>
  </w:endnote>
  <w:endnote w:type="continuationSeparator" w:id="0">
    <w:p w:rsidR="004A6557" w:rsidP="005E7E51" w:rsidRDefault="004A6557" w14:paraId="2347E54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E51" w:rsidP="00567623" w:rsidRDefault="00F27854" w14:paraId="1BE30659" w14:textId="1E4C74C0">
    <w:pPr>
      <w:pStyle w:val="DocID"/>
    </w:pPr>
    <w:r w:rsidR="00AB36B2">
      <w:t>PH 4774292.1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918901"/>
      <w:docPartObj>
        <w:docPartGallery w:val="Page Numbers (Bottom of Page)"/>
        <w:docPartUnique/>
      </w:docPartObj>
    </w:sdtPr>
    <w:sdtEndPr>
      <w:rPr>
        <w:noProof/>
      </w:rPr>
    </w:sdtEndPr>
    <w:sdtContent>
      <w:p w:rsidR="00556824" w:rsidRDefault="00556824" w14:paraId="5632BC87" w14:textId="335726FF">
        <w:pPr>
          <w:pStyle w:val="Footer0"/>
          <w:jc w:val="center"/>
        </w:pPr>
        <w:r>
          <w:fldChar w:fldCharType="begin"/>
        </w:r>
        <w:r>
          <w:instrText xml:space="preserve"> PAGE   \* MERGEFORMAT </w:instrText>
        </w:r>
        <w:r>
          <w:fldChar w:fldCharType="separate"/>
        </w:r>
        <w:r>
          <w:rPr>
            <w:noProof/>
          </w:rPr>
          <w:t>2</w:t>
        </w:r>
        <w:r>
          <w:rPr>
            <w:noProof/>
          </w:rPr>
          <w:fldChar w:fldCharType="end"/>
        </w:r>
      </w:p>
    </w:sdtContent>
  </w:sdt>
  <w:p w:rsidR="005E7E51" w:rsidP="005A76C8" w:rsidRDefault="005E7E51" w14:paraId="4E2E74A5" w14:textId="29059505">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81" w:rsidRDefault="00654181" w14:paraId="43530B8F" w14:textId="77777777">
    <w:pPr>
      <w:pStyle w:val="Foo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6557" w:rsidP="005E7E51" w:rsidRDefault="004A6557" w14:paraId="105A01A5" w14:textId="77777777">
      <w:r>
        <w:separator/>
      </w:r>
    </w:p>
  </w:footnote>
  <w:footnote w:type="continuationSeparator" w:id="0">
    <w:p w:rsidR="004A6557" w:rsidP="005E7E51" w:rsidRDefault="004A6557" w14:paraId="0E81DA1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81" w:rsidRDefault="00654181" w14:paraId="12F6E376" w14:textId="77777777">
    <w:pPr>
      <w:pStyle w:val="Head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81" w:rsidRDefault="00654181" w14:paraId="021B48BC" w14:textId="77777777">
    <w:pPr>
      <w:pStyle w:val="Head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81" w:rsidRDefault="00654181" w14:paraId="0CD9724F" w14:textId="77777777">
    <w:pPr>
      <w:pStyle w:val="Head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F3C71"/>
    <w:multiLevelType w:val="hybridMultilevel"/>
    <w:tmpl w:val="175ECD40"/>
    <w:lvl w:ilvl="0" w:tplc="389C137A">
      <w:start w:val="1"/>
      <w:numFmt w:val="upperRoman"/>
      <w:lvlText w:val="%1."/>
      <w:lvlJc w:val="left"/>
      <w:pPr>
        <w:ind w:left="780" w:hanging="360"/>
      </w:pPr>
      <w:rPr>
        <w:rFonts w:hint="default"/>
        <w:b/>
        <w:bCs/>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75C01F7B"/>
    <w:multiLevelType w:val="hybridMultilevel"/>
    <w:tmpl w:val="E758B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1694143">
    <w:abstractNumId w:val="0"/>
  </w:num>
  <w:num w:numId="2" w16cid:durableId="453594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277"/>
    <w:rsid w:val="000133FD"/>
    <w:rsid w:val="00021365"/>
    <w:rsid w:val="00036B81"/>
    <w:rsid w:val="0003712D"/>
    <w:rsid w:val="0004007C"/>
    <w:rsid w:val="00056880"/>
    <w:rsid w:val="0005754D"/>
    <w:rsid w:val="0007052C"/>
    <w:rsid w:val="000811B1"/>
    <w:rsid w:val="00082D33"/>
    <w:rsid w:val="000B65FC"/>
    <w:rsid w:val="000C1D8C"/>
    <w:rsid w:val="000F5973"/>
    <w:rsid w:val="0010609D"/>
    <w:rsid w:val="00106CBA"/>
    <w:rsid w:val="001166BC"/>
    <w:rsid w:val="001326DA"/>
    <w:rsid w:val="00132989"/>
    <w:rsid w:val="00153BBD"/>
    <w:rsid w:val="00156601"/>
    <w:rsid w:val="00190986"/>
    <w:rsid w:val="00197157"/>
    <w:rsid w:val="001A24A2"/>
    <w:rsid w:val="001B187F"/>
    <w:rsid w:val="001D1D92"/>
    <w:rsid w:val="001D3128"/>
    <w:rsid w:val="001E44E5"/>
    <w:rsid w:val="00201DF3"/>
    <w:rsid w:val="00203C47"/>
    <w:rsid w:val="00206483"/>
    <w:rsid w:val="00211898"/>
    <w:rsid w:val="00245ACA"/>
    <w:rsid w:val="00254006"/>
    <w:rsid w:val="00266DF9"/>
    <w:rsid w:val="002C1925"/>
    <w:rsid w:val="002D30A1"/>
    <w:rsid w:val="002E0686"/>
    <w:rsid w:val="002E3A9F"/>
    <w:rsid w:val="0035641E"/>
    <w:rsid w:val="003760CA"/>
    <w:rsid w:val="00382FD2"/>
    <w:rsid w:val="00396BB6"/>
    <w:rsid w:val="003C251E"/>
    <w:rsid w:val="003E26B7"/>
    <w:rsid w:val="003E76E5"/>
    <w:rsid w:val="003F5EDC"/>
    <w:rsid w:val="003F6A81"/>
    <w:rsid w:val="0041207C"/>
    <w:rsid w:val="00427D07"/>
    <w:rsid w:val="004548BC"/>
    <w:rsid w:val="00463297"/>
    <w:rsid w:val="00464D66"/>
    <w:rsid w:val="004763C8"/>
    <w:rsid w:val="00491D75"/>
    <w:rsid w:val="004A6557"/>
    <w:rsid w:val="004B1104"/>
    <w:rsid w:val="004C3C83"/>
    <w:rsid w:val="004D299C"/>
    <w:rsid w:val="00520B1D"/>
    <w:rsid w:val="0054199F"/>
    <w:rsid w:val="00546663"/>
    <w:rsid w:val="00547BFD"/>
    <w:rsid w:val="0055184F"/>
    <w:rsid w:val="005528CC"/>
    <w:rsid w:val="00556824"/>
    <w:rsid w:val="005608C7"/>
    <w:rsid w:val="00563B9B"/>
    <w:rsid w:val="00565627"/>
    <w:rsid w:val="00566368"/>
    <w:rsid w:val="00567623"/>
    <w:rsid w:val="00571815"/>
    <w:rsid w:val="0057356A"/>
    <w:rsid w:val="0057572B"/>
    <w:rsid w:val="00580BE3"/>
    <w:rsid w:val="005831B3"/>
    <w:rsid w:val="005A3599"/>
    <w:rsid w:val="005A76C8"/>
    <w:rsid w:val="005B6E0E"/>
    <w:rsid w:val="005D0C58"/>
    <w:rsid w:val="005D7FFA"/>
    <w:rsid w:val="005E1A2A"/>
    <w:rsid w:val="005E7E51"/>
    <w:rsid w:val="00606D62"/>
    <w:rsid w:val="00627EDB"/>
    <w:rsid w:val="006504CE"/>
    <w:rsid w:val="00654181"/>
    <w:rsid w:val="006577CE"/>
    <w:rsid w:val="00672D30"/>
    <w:rsid w:val="00692253"/>
    <w:rsid w:val="00693D92"/>
    <w:rsid w:val="00697093"/>
    <w:rsid w:val="006C19A6"/>
    <w:rsid w:val="006D7123"/>
    <w:rsid w:val="006E4742"/>
    <w:rsid w:val="006F6DDE"/>
    <w:rsid w:val="007035DB"/>
    <w:rsid w:val="007153B1"/>
    <w:rsid w:val="007228FA"/>
    <w:rsid w:val="00727F7F"/>
    <w:rsid w:val="00734D86"/>
    <w:rsid w:val="00744E92"/>
    <w:rsid w:val="007703B1"/>
    <w:rsid w:val="007A21EC"/>
    <w:rsid w:val="007A3D8F"/>
    <w:rsid w:val="007B2DCD"/>
    <w:rsid w:val="007B5E66"/>
    <w:rsid w:val="007C0305"/>
    <w:rsid w:val="007C62BE"/>
    <w:rsid w:val="007D6C4A"/>
    <w:rsid w:val="007E1D5D"/>
    <w:rsid w:val="007E42CB"/>
    <w:rsid w:val="007E696D"/>
    <w:rsid w:val="008071AC"/>
    <w:rsid w:val="00823229"/>
    <w:rsid w:val="00870228"/>
    <w:rsid w:val="00884C70"/>
    <w:rsid w:val="008851DC"/>
    <w:rsid w:val="00885EC7"/>
    <w:rsid w:val="008C556E"/>
    <w:rsid w:val="008E192C"/>
    <w:rsid w:val="00900346"/>
    <w:rsid w:val="009145A9"/>
    <w:rsid w:val="00937AD8"/>
    <w:rsid w:val="0094587D"/>
    <w:rsid w:val="0096761F"/>
    <w:rsid w:val="009857F2"/>
    <w:rsid w:val="00992D17"/>
    <w:rsid w:val="009A15A3"/>
    <w:rsid w:val="009A78B4"/>
    <w:rsid w:val="009C690C"/>
    <w:rsid w:val="009E1D2E"/>
    <w:rsid w:val="00A073E0"/>
    <w:rsid w:val="00A2201A"/>
    <w:rsid w:val="00A30348"/>
    <w:rsid w:val="00A3670B"/>
    <w:rsid w:val="00A41131"/>
    <w:rsid w:val="00A4630F"/>
    <w:rsid w:val="00A46B68"/>
    <w:rsid w:val="00A627CD"/>
    <w:rsid w:val="00A64695"/>
    <w:rsid w:val="00A70276"/>
    <w:rsid w:val="00A75FAC"/>
    <w:rsid w:val="00AB36B2"/>
    <w:rsid w:val="00AE7B08"/>
    <w:rsid w:val="00AF2A2E"/>
    <w:rsid w:val="00B173C4"/>
    <w:rsid w:val="00B25AFA"/>
    <w:rsid w:val="00B42730"/>
    <w:rsid w:val="00B435BE"/>
    <w:rsid w:val="00B67BB2"/>
    <w:rsid w:val="00B8384A"/>
    <w:rsid w:val="00B966F2"/>
    <w:rsid w:val="00B96963"/>
    <w:rsid w:val="00BA1030"/>
    <w:rsid w:val="00BC46AC"/>
    <w:rsid w:val="00BE1884"/>
    <w:rsid w:val="00C34A04"/>
    <w:rsid w:val="00C74BDC"/>
    <w:rsid w:val="00C86F78"/>
    <w:rsid w:val="00CB4A98"/>
    <w:rsid w:val="00CD7576"/>
    <w:rsid w:val="00D03426"/>
    <w:rsid w:val="00D1253E"/>
    <w:rsid w:val="00D14C1E"/>
    <w:rsid w:val="00D167D1"/>
    <w:rsid w:val="00D20F3A"/>
    <w:rsid w:val="00D44B1A"/>
    <w:rsid w:val="00D53051"/>
    <w:rsid w:val="00D53277"/>
    <w:rsid w:val="00D57392"/>
    <w:rsid w:val="00D60A36"/>
    <w:rsid w:val="00D92BF0"/>
    <w:rsid w:val="00DA34D9"/>
    <w:rsid w:val="00DA7D37"/>
    <w:rsid w:val="00DB464A"/>
    <w:rsid w:val="00DF3D17"/>
    <w:rsid w:val="00E00160"/>
    <w:rsid w:val="00E0030D"/>
    <w:rsid w:val="00E15259"/>
    <w:rsid w:val="00E515B1"/>
    <w:rsid w:val="00E54D8A"/>
    <w:rsid w:val="00E57F22"/>
    <w:rsid w:val="00E61F11"/>
    <w:rsid w:val="00E71591"/>
    <w:rsid w:val="00E72D28"/>
    <w:rsid w:val="00E92591"/>
    <w:rsid w:val="00EA3427"/>
    <w:rsid w:val="00ED3A63"/>
    <w:rsid w:val="00ED6BAB"/>
    <w:rsid w:val="00F24CCC"/>
    <w:rsid w:val="00F27854"/>
    <w:rsid w:val="00F4336F"/>
    <w:rsid w:val="00F43660"/>
    <w:rsid w:val="00F51B53"/>
    <w:rsid w:val="00F55E8C"/>
    <w:rsid w:val="00F648E7"/>
    <w:rsid w:val="00F661B2"/>
    <w:rsid w:val="00F67566"/>
    <w:rsid w:val="00F84E38"/>
    <w:rsid w:val="00F8598B"/>
    <w:rsid w:val="00F96FE2"/>
    <w:rsid w:val="00FD6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70031"/>
  <w15:chartTrackingRefBased/>
  <w15:docId w15:val="{752E805E-D173-4D44-BA10-F366A27AF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b/>
        <w:bCs/>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3277"/>
    <w:pPr>
      <w:spacing w:after="0" w:line="240" w:lineRule="auto"/>
    </w:pPr>
    <w:rPr>
      <w:rFonts w:eastAsia="PMingLiU"/>
      <w:b w:val="0"/>
      <w:bCs w:val="0"/>
      <w:sz w:val="22"/>
      <w:szCs w:val="22"/>
    </w:rPr>
  </w:style>
  <w:style w:type="paragraph" w:styleId="Heading1">
    <w:name w:val="heading 1"/>
    <w:basedOn w:val="Normal"/>
    <w:next w:val="Normal"/>
    <w:link w:val="Heading1Char"/>
    <w:uiPriority w:val="9"/>
    <w:qFormat/>
    <w:rsid w:val="00D5327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327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3277"/>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277"/>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277"/>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277"/>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277"/>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277"/>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277"/>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ddress" w:customStyle="1">
    <w:name w:val="_Address"/>
    <w:basedOn w:val="Normal"/>
    <w:qFormat/>
    <w:rsid w:val="00546663"/>
    <w:pPr>
      <w:widowControl w:val="0"/>
    </w:pPr>
    <w:rPr>
      <w:snapToGrid w:val="0"/>
      <w:szCs w:val="20"/>
    </w:rPr>
  </w:style>
  <w:style w:type="paragraph" w:styleId="AddressIndent" w:customStyle="1">
    <w:name w:val="_Address Indent"/>
    <w:basedOn w:val="Normal"/>
    <w:qFormat/>
    <w:rsid w:val="00546663"/>
    <w:pPr>
      <w:ind w:left="720"/>
    </w:pPr>
  </w:style>
  <w:style w:type="paragraph" w:styleId="AuthorInitials" w:customStyle="1">
    <w:name w:val="_Author Initials"/>
    <w:basedOn w:val="Normal"/>
    <w:rsid w:val="00546663"/>
    <w:pPr>
      <w:spacing w:after="240"/>
    </w:pPr>
    <w:rPr>
      <w:snapToGrid w:val="0"/>
      <w:szCs w:val="20"/>
    </w:rPr>
  </w:style>
  <w:style w:type="paragraph" w:styleId="AuthorsEmail" w:customStyle="1">
    <w:name w:val="_Author's Email"/>
    <w:basedOn w:val="Normal"/>
    <w:rsid w:val="00546663"/>
    <w:pPr>
      <w:widowControl w:val="0"/>
      <w:jc w:val="center"/>
    </w:pPr>
    <w:rPr>
      <w:rFonts w:ascii="Garamond" w:hAnsi="Garamond"/>
      <w:snapToGrid w:val="0"/>
      <w:sz w:val="16"/>
      <w:szCs w:val="16"/>
    </w:rPr>
  </w:style>
  <w:style w:type="paragraph" w:styleId="BalloonText" w:customStyle="1">
    <w:name w:val="_Balloon Text"/>
    <w:basedOn w:val="Normal"/>
    <w:rsid w:val="00546663"/>
    <w:rPr>
      <w:sz w:val="16"/>
    </w:rPr>
  </w:style>
  <w:style w:type="paragraph" w:styleId="BCC" w:customStyle="1">
    <w:name w:val="_BCC"/>
    <w:basedOn w:val="Normal"/>
    <w:rsid w:val="00546663"/>
    <w:pPr>
      <w:spacing w:after="240"/>
      <w:ind w:left="720" w:hanging="720"/>
      <w:contextualSpacing/>
    </w:pPr>
    <w:rPr>
      <w:snapToGrid w:val="0"/>
    </w:rPr>
  </w:style>
  <w:style w:type="paragraph" w:styleId="BlockIndent" w:customStyle="1">
    <w:name w:val="_Block Indent"/>
    <w:basedOn w:val="Normal"/>
    <w:qFormat/>
    <w:rsid w:val="00546663"/>
    <w:pPr>
      <w:spacing w:after="240"/>
      <w:ind w:left="720" w:right="720"/>
      <w:jc w:val="both"/>
    </w:pPr>
  </w:style>
  <w:style w:type="paragraph" w:styleId="BlockIndent2" w:customStyle="1">
    <w:name w:val="_Block Indent 2"/>
    <w:basedOn w:val="Normal"/>
    <w:qFormat/>
    <w:rsid w:val="00546663"/>
    <w:pPr>
      <w:spacing w:line="480" w:lineRule="auto"/>
      <w:ind w:left="720" w:right="720"/>
      <w:jc w:val="both"/>
    </w:pPr>
  </w:style>
  <w:style w:type="paragraph" w:styleId="BodyText" w:customStyle="1">
    <w:name w:val="_Body Text"/>
    <w:basedOn w:val="Normal"/>
    <w:qFormat/>
    <w:rsid w:val="00546663"/>
    <w:pPr>
      <w:spacing w:after="240"/>
      <w:ind w:firstLine="720"/>
      <w:jc w:val="both"/>
    </w:pPr>
  </w:style>
  <w:style w:type="paragraph" w:styleId="BodyText2" w:customStyle="1">
    <w:name w:val="_Body Text 2"/>
    <w:basedOn w:val="Normal"/>
    <w:qFormat/>
    <w:rsid w:val="00546663"/>
    <w:pPr>
      <w:spacing w:line="480" w:lineRule="auto"/>
      <w:ind w:firstLine="720"/>
      <w:jc w:val="both"/>
    </w:pPr>
  </w:style>
  <w:style w:type="paragraph" w:styleId="BodyText3" w:customStyle="1">
    <w:name w:val="_Body Text 3"/>
    <w:basedOn w:val="Normal"/>
    <w:rsid w:val="00546663"/>
    <w:pPr>
      <w:spacing w:line="360" w:lineRule="auto"/>
      <w:jc w:val="both"/>
    </w:pPr>
  </w:style>
  <w:style w:type="paragraph" w:styleId="CC" w:customStyle="1">
    <w:name w:val="_CC"/>
    <w:basedOn w:val="Normal"/>
    <w:rsid w:val="00546663"/>
    <w:pPr>
      <w:widowControl w:val="0"/>
      <w:spacing w:after="240"/>
      <w:ind w:left="720" w:hanging="720"/>
      <w:contextualSpacing/>
    </w:pPr>
    <w:rPr>
      <w:snapToGrid w:val="0"/>
      <w:szCs w:val="20"/>
    </w:rPr>
  </w:style>
  <w:style w:type="paragraph" w:styleId="Closing" w:customStyle="1">
    <w:name w:val="_Closing"/>
    <w:basedOn w:val="Normal"/>
    <w:rsid w:val="00546663"/>
    <w:pPr>
      <w:ind w:left="4680"/>
    </w:pPr>
  </w:style>
  <w:style w:type="paragraph" w:styleId="Date" w:customStyle="1">
    <w:name w:val="_Date"/>
    <w:basedOn w:val="Normal"/>
    <w:rsid w:val="00546663"/>
    <w:pPr>
      <w:jc w:val="right"/>
    </w:pPr>
  </w:style>
  <w:style w:type="paragraph" w:styleId="Delivery" w:customStyle="1">
    <w:name w:val="_Delivery"/>
    <w:basedOn w:val="Normal"/>
    <w:rsid w:val="00546663"/>
    <w:pPr>
      <w:widowControl w:val="0"/>
      <w:spacing w:after="240"/>
      <w:contextualSpacing/>
    </w:pPr>
    <w:rPr>
      <w:b/>
      <w:smallCaps/>
      <w:snapToGrid w:val="0"/>
    </w:rPr>
  </w:style>
  <w:style w:type="paragraph" w:styleId="DirectDial" w:customStyle="1">
    <w:name w:val="_Direct Dial"/>
    <w:basedOn w:val="Normal"/>
    <w:rsid w:val="00546663"/>
    <w:pPr>
      <w:widowControl w:val="0"/>
      <w:jc w:val="center"/>
    </w:pPr>
    <w:rPr>
      <w:rFonts w:ascii="Garamond" w:hAnsi="Garamond"/>
      <w:smallCaps/>
      <w:snapToGrid w:val="0"/>
      <w:sz w:val="17"/>
      <w:szCs w:val="20"/>
    </w:rPr>
  </w:style>
  <w:style w:type="paragraph" w:styleId="E-mailSignature" w:customStyle="1">
    <w:name w:val="_E-mail Signature"/>
    <w:basedOn w:val="Normal"/>
    <w:rsid w:val="00546663"/>
  </w:style>
  <w:style w:type="paragraph" w:styleId="Enclosure" w:customStyle="1">
    <w:name w:val="_Enclosure"/>
    <w:basedOn w:val="Normal"/>
    <w:rsid w:val="00546663"/>
    <w:pPr>
      <w:widowControl w:val="0"/>
      <w:spacing w:after="240"/>
    </w:pPr>
    <w:rPr>
      <w:snapToGrid w:val="0"/>
      <w:szCs w:val="20"/>
    </w:rPr>
  </w:style>
  <w:style w:type="paragraph" w:styleId="FaxFieldInsert" w:customStyle="1">
    <w:name w:val="_Fax Field Insert"/>
    <w:basedOn w:val="Normal"/>
    <w:next w:val="Normal"/>
    <w:rsid w:val="00546663"/>
    <w:rPr>
      <w:szCs w:val="20"/>
    </w:rPr>
  </w:style>
  <w:style w:type="paragraph" w:styleId="FileNo" w:customStyle="1">
    <w:name w:val="_File No"/>
    <w:basedOn w:val="Normal"/>
    <w:next w:val="Normal"/>
    <w:rsid w:val="00546663"/>
    <w:pPr>
      <w:widowControl w:val="0"/>
      <w:spacing w:before="600"/>
      <w:jc w:val="right"/>
    </w:pPr>
    <w:rPr>
      <w:b/>
      <w:snapToGrid w:val="0"/>
      <w:sz w:val="16"/>
      <w:szCs w:val="20"/>
    </w:rPr>
  </w:style>
  <w:style w:type="paragraph" w:styleId="Footer" w:customStyle="1">
    <w:name w:val="_Footer"/>
    <w:basedOn w:val="Normal"/>
    <w:rsid w:val="00546663"/>
  </w:style>
  <w:style w:type="paragraph" w:styleId="FootnoteText" w:customStyle="1">
    <w:name w:val="_Footnote Text"/>
    <w:basedOn w:val="Normal"/>
    <w:rsid w:val="00546663"/>
    <w:pPr>
      <w:spacing w:after="120"/>
      <w:ind w:firstLine="720"/>
      <w:jc w:val="both"/>
    </w:pPr>
  </w:style>
  <w:style w:type="paragraph" w:styleId="Header" w:customStyle="1">
    <w:name w:val="_Header"/>
    <w:basedOn w:val="Normal"/>
    <w:rsid w:val="00546663"/>
    <w:pPr>
      <w:jc w:val="center"/>
    </w:pPr>
    <w:rPr>
      <w:b/>
      <w:u w:val="single"/>
    </w:rPr>
  </w:style>
  <w:style w:type="paragraph" w:styleId="JustifiedText" w:customStyle="1">
    <w:name w:val="_Justified Text"/>
    <w:basedOn w:val="Normal"/>
    <w:qFormat/>
    <w:rsid w:val="00546663"/>
    <w:pPr>
      <w:spacing w:after="240"/>
      <w:jc w:val="both"/>
    </w:pPr>
  </w:style>
  <w:style w:type="paragraph" w:styleId="JustifiedText2" w:customStyle="1">
    <w:name w:val="_Justified Text 2"/>
    <w:basedOn w:val="Normal"/>
    <w:qFormat/>
    <w:rsid w:val="00546663"/>
    <w:pPr>
      <w:spacing w:line="480" w:lineRule="auto"/>
      <w:jc w:val="both"/>
    </w:pPr>
  </w:style>
  <w:style w:type="paragraph" w:styleId="MemoHeading" w:customStyle="1">
    <w:name w:val="_Memo Heading"/>
    <w:basedOn w:val="Normal"/>
    <w:rsid w:val="00546663"/>
    <w:rPr>
      <w:b/>
      <w:caps/>
      <w:snapToGrid w:val="0"/>
      <w:szCs w:val="20"/>
    </w:rPr>
  </w:style>
  <w:style w:type="paragraph" w:styleId="MemoTitle" w:customStyle="1">
    <w:name w:val="_Memo Title"/>
    <w:basedOn w:val="Normal"/>
    <w:rsid w:val="00546663"/>
    <w:pPr>
      <w:spacing w:before="240"/>
      <w:jc w:val="right"/>
    </w:pPr>
    <w:rPr>
      <w:b/>
      <w:i/>
      <w:snapToGrid w:val="0"/>
      <w:sz w:val="28"/>
      <w:szCs w:val="20"/>
    </w:rPr>
  </w:style>
  <w:style w:type="paragraph" w:styleId="ReLine" w:customStyle="1">
    <w:name w:val="_ReLine"/>
    <w:basedOn w:val="Normal"/>
    <w:next w:val="Normal"/>
    <w:rsid w:val="00546663"/>
    <w:pPr>
      <w:widowControl w:val="0"/>
      <w:spacing w:before="240" w:after="240"/>
      <w:ind w:left="1440" w:hanging="720"/>
      <w:contextualSpacing/>
    </w:pPr>
    <w:rPr>
      <w:b/>
      <w:snapToGrid w:val="0"/>
      <w:szCs w:val="20"/>
    </w:rPr>
  </w:style>
  <w:style w:type="paragraph" w:styleId="Salutation" w:customStyle="1">
    <w:name w:val="_Salutation"/>
    <w:basedOn w:val="Normal"/>
    <w:rsid w:val="00546663"/>
    <w:pPr>
      <w:spacing w:after="240"/>
    </w:pPr>
  </w:style>
  <w:style w:type="paragraph" w:styleId="Signature" w:customStyle="1">
    <w:name w:val="_Signature"/>
    <w:basedOn w:val="Normal"/>
    <w:qFormat/>
    <w:rsid w:val="00546663"/>
    <w:pPr>
      <w:ind w:left="4680"/>
    </w:pPr>
  </w:style>
  <w:style w:type="paragraph" w:styleId="Subtitle" w:customStyle="1">
    <w:name w:val="_Subtitle"/>
    <w:basedOn w:val="Normal"/>
    <w:qFormat/>
    <w:rsid w:val="00546663"/>
    <w:pPr>
      <w:spacing w:after="240"/>
      <w:jc w:val="center"/>
    </w:pPr>
    <w:rPr>
      <w:u w:val="single"/>
    </w:rPr>
  </w:style>
  <w:style w:type="paragraph" w:styleId="Title" w:customStyle="1">
    <w:name w:val="_Title"/>
    <w:basedOn w:val="Normal"/>
    <w:qFormat/>
    <w:rsid w:val="00546663"/>
    <w:pPr>
      <w:spacing w:after="240"/>
      <w:jc w:val="center"/>
    </w:pPr>
    <w:rPr>
      <w:b/>
    </w:rPr>
  </w:style>
  <w:style w:type="paragraph" w:styleId="TitleUnderlined" w:customStyle="1">
    <w:name w:val="_Title Underlined"/>
    <w:basedOn w:val="Normal"/>
    <w:qFormat/>
    <w:rsid w:val="00546663"/>
    <w:pPr>
      <w:spacing w:after="240"/>
      <w:contextualSpacing/>
      <w:jc w:val="center"/>
    </w:pPr>
    <w:rPr>
      <w:b/>
      <w:u w:val="single"/>
    </w:rPr>
  </w:style>
  <w:style w:type="paragraph" w:styleId="NTDDocID" w:customStyle="1">
    <w:name w:val="NTDDocID"/>
    <w:basedOn w:val="Footer0"/>
    <w:qFormat/>
    <w:rsid w:val="005608C7"/>
    <w:pPr>
      <w:tabs>
        <w:tab w:val="clear" w:pos="4680"/>
        <w:tab w:val="clear" w:pos="9360"/>
        <w:tab w:val="center" w:pos="4320"/>
        <w:tab w:val="right" w:pos="8640"/>
      </w:tabs>
      <w:jc w:val="right"/>
    </w:pPr>
    <w:rPr>
      <w:rFonts w:ascii="Arial" w:hAnsi="Arial"/>
      <w:sz w:val="16"/>
    </w:rPr>
  </w:style>
  <w:style w:type="paragraph" w:styleId="Footer0">
    <w:name w:val="footer"/>
    <w:basedOn w:val="Normal"/>
    <w:link w:val="FooterChar"/>
    <w:uiPriority w:val="99"/>
    <w:unhideWhenUsed/>
    <w:rsid w:val="005608C7"/>
    <w:pPr>
      <w:tabs>
        <w:tab w:val="center" w:pos="4680"/>
        <w:tab w:val="right" w:pos="9360"/>
      </w:tabs>
    </w:pPr>
  </w:style>
  <w:style w:type="character" w:styleId="FooterChar" w:customStyle="1">
    <w:name w:val="Footer Char"/>
    <w:basedOn w:val="DefaultParagraphFont"/>
    <w:link w:val="Footer0"/>
    <w:uiPriority w:val="99"/>
    <w:rsid w:val="005608C7"/>
    <w:rPr>
      <w:rFonts w:ascii="Times New Roman" w:hAnsi="Times New Roman" w:cs="Times New Roman"/>
      <w:sz w:val="24"/>
      <w:szCs w:val="24"/>
    </w:rPr>
  </w:style>
  <w:style w:type="character" w:styleId="Heading1Char" w:customStyle="1">
    <w:name w:val="Heading 1 Char"/>
    <w:basedOn w:val="DefaultParagraphFont"/>
    <w:link w:val="Heading1"/>
    <w:uiPriority w:val="9"/>
    <w:rsid w:val="00D5327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5327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53277"/>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53277"/>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53277"/>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53277"/>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53277"/>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53277"/>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53277"/>
    <w:rPr>
      <w:rFonts w:asciiTheme="minorHAnsi" w:hAnsiTheme="minorHAnsi" w:eastAsiaTheme="majorEastAsia" w:cstheme="majorBidi"/>
      <w:color w:val="272727" w:themeColor="text1" w:themeTint="D8"/>
    </w:rPr>
  </w:style>
  <w:style w:type="paragraph" w:styleId="Title0">
    <w:name w:val="Title"/>
    <w:basedOn w:val="Normal"/>
    <w:next w:val="Normal"/>
    <w:link w:val="TitleChar"/>
    <w:uiPriority w:val="10"/>
    <w:qFormat/>
    <w:rsid w:val="00D53277"/>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0"/>
    <w:uiPriority w:val="10"/>
    <w:rsid w:val="00D53277"/>
    <w:rPr>
      <w:rFonts w:asciiTheme="majorHAnsi" w:hAnsiTheme="majorHAnsi" w:eastAsiaTheme="majorEastAsia" w:cstheme="majorBidi"/>
      <w:spacing w:val="-10"/>
      <w:kern w:val="28"/>
      <w:sz w:val="56"/>
      <w:szCs w:val="56"/>
    </w:rPr>
  </w:style>
  <w:style w:type="paragraph" w:styleId="Subtitle0">
    <w:name w:val="Subtitle"/>
    <w:basedOn w:val="Normal"/>
    <w:next w:val="Normal"/>
    <w:link w:val="SubtitleChar"/>
    <w:uiPriority w:val="11"/>
    <w:qFormat/>
    <w:rsid w:val="00D53277"/>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0"/>
    <w:uiPriority w:val="11"/>
    <w:rsid w:val="00D53277"/>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277"/>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D53277"/>
    <w:rPr>
      <w:i/>
      <w:iCs/>
      <w:color w:val="404040" w:themeColor="text1" w:themeTint="BF"/>
    </w:rPr>
  </w:style>
  <w:style w:type="paragraph" w:styleId="ListParagraph">
    <w:name w:val="List Paragraph"/>
    <w:basedOn w:val="Normal"/>
    <w:uiPriority w:val="34"/>
    <w:qFormat/>
    <w:rsid w:val="00D53277"/>
    <w:pPr>
      <w:ind w:left="720"/>
      <w:contextualSpacing/>
    </w:pPr>
  </w:style>
  <w:style w:type="character" w:styleId="IntenseEmphasis">
    <w:name w:val="Intense Emphasis"/>
    <w:basedOn w:val="DefaultParagraphFont"/>
    <w:uiPriority w:val="21"/>
    <w:qFormat/>
    <w:rsid w:val="00D53277"/>
    <w:rPr>
      <w:i/>
      <w:iCs/>
      <w:color w:val="0F4761" w:themeColor="accent1" w:themeShade="BF"/>
    </w:rPr>
  </w:style>
  <w:style w:type="paragraph" w:styleId="IntenseQuote">
    <w:name w:val="Intense Quote"/>
    <w:basedOn w:val="Normal"/>
    <w:next w:val="Normal"/>
    <w:link w:val="IntenseQuoteChar"/>
    <w:uiPriority w:val="30"/>
    <w:qFormat/>
    <w:rsid w:val="00D5327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53277"/>
    <w:rPr>
      <w:i/>
      <w:iCs/>
      <w:color w:val="0F4761" w:themeColor="accent1" w:themeShade="BF"/>
    </w:rPr>
  </w:style>
  <w:style w:type="character" w:styleId="IntenseReference">
    <w:name w:val="Intense Reference"/>
    <w:basedOn w:val="DefaultParagraphFont"/>
    <w:uiPriority w:val="32"/>
    <w:qFormat/>
    <w:rsid w:val="00D53277"/>
    <w:rPr>
      <w:b w:val="0"/>
      <w:bCs w:val="0"/>
      <w:smallCaps/>
      <w:color w:val="0F4761" w:themeColor="accent1" w:themeShade="BF"/>
      <w:spacing w:val="5"/>
    </w:rPr>
  </w:style>
  <w:style w:type="paragraph" w:styleId="Header0">
    <w:name w:val="header"/>
    <w:basedOn w:val="Normal"/>
    <w:link w:val="HeaderChar"/>
    <w:uiPriority w:val="99"/>
    <w:unhideWhenUsed/>
    <w:rsid w:val="005E7E51"/>
    <w:pPr>
      <w:tabs>
        <w:tab w:val="center" w:pos="4680"/>
        <w:tab w:val="right" w:pos="9360"/>
      </w:tabs>
    </w:pPr>
  </w:style>
  <w:style w:type="character" w:styleId="HeaderChar" w:customStyle="1">
    <w:name w:val="Header Char"/>
    <w:basedOn w:val="DefaultParagraphFont"/>
    <w:link w:val="Header0"/>
    <w:uiPriority w:val="99"/>
    <w:rsid w:val="005E7E51"/>
    <w:rPr>
      <w:rFonts w:eastAsia="PMingLiU"/>
      <w:b w:val="0"/>
      <w:bCs w:val="0"/>
      <w:sz w:val="22"/>
      <w:szCs w:val="22"/>
    </w:rPr>
  </w:style>
  <w:style w:type="character" w:styleId="Hyperlink">
    <w:name w:val="Hyperlink"/>
    <w:basedOn w:val="DefaultParagraphFont"/>
    <w:uiPriority w:val="99"/>
    <w:unhideWhenUsed/>
    <w:rsid w:val="0054199F"/>
    <w:rPr>
      <w:color w:val="467886" w:themeColor="hyperlink"/>
      <w:u w:val="single"/>
    </w:rPr>
  </w:style>
  <w:style w:type="character" w:styleId="UnresolvedMention">
    <w:name w:val="Unresolved Mention"/>
    <w:basedOn w:val="DefaultParagraphFont"/>
    <w:uiPriority w:val="99"/>
    <w:semiHidden/>
    <w:unhideWhenUsed/>
    <w:rsid w:val="0054199F"/>
    <w:rPr>
      <w:color w:val="605E5C"/>
      <w:shd w:val="clear" w:color="auto" w:fill="E1DFDD"/>
    </w:rPr>
  </w:style>
  <w:style w:type="character" w:styleId="CommentReference">
    <w:name w:val="annotation reference"/>
    <w:basedOn w:val="DefaultParagraphFont"/>
    <w:uiPriority w:val="99"/>
    <w:semiHidden/>
    <w:unhideWhenUsed/>
    <w:rsid w:val="00E515B1"/>
    <w:rPr>
      <w:sz w:val="16"/>
      <w:szCs w:val="16"/>
    </w:rPr>
  </w:style>
  <w:style w:type="paragraph" w:styleId="CommentText">
    <w:name w:val="annotation text"/>
    <w:basedOn w:val="Normal"/>
    <w:link w:val="CommentTextChar"/>
    <w:uiPriority w:val="99"/>
    <w:unhideWhenUsed/>
    <w:rsid w:val="00E515B1"/>
    <w:rPr>
      <w:sz w:val="20"/>
      <w:szCs w:val="20"/>
    </w:rPr>
  </w:style>
  <w:style w:type="character" w:styleId="CommentTextChar" w:customStyle="1">
    <w:name w:val="Comment Text Char"/>
    <w:basedOn w:val="DefaultParagraphFont"/>
    <w:link w:val="CommentText"/>
    <w:uiPriority w:val="99"/>
    <w:rsid w:val="00E515B1"/>
    <w:rPr>
      <w:rFonts w:eastAsia="PMingLiU"/>
      <w:b w:val="0"/>
      <w:bCs w:val="0"/>
      <w:sz w:val="20"/>
      <w:szCs w:val="20"/>
    </w:rPr>
  </w:style>
  <w:style w:type="paragraph" w:styleId="CommentSubject">
    <w:name w:val="annotation subject"/>
    <w:basedOn w:val="CommentText"/>
    <w:next w:val="CommentText"/>
    <w:link w:val="CommentSubjectChar"/>
    <w:uiPriority w:val="99"/>
    <w:semiHidden/>
    <w:unhideWhenUsed/>
    <w:rsid w:val="00E515B1"/>
    <w:rPr>
      <w:b/>
      <w:bCs/>
    </w:rPr>
  </w:style>
  <w:style w:type="character" w:styleId="CommentSubjectChar" w:customStyle="1">
    <w:name w:val="Comment Subject Char"/>
    <w:basedOn w:val="CommentTextChar"/>
    <w:link w:val="CommentSubject"/>
    <w:uiPriority w:val="99"/>
    <w:semiHidden/>
    <w:rsid w:val="00E515B1"/>
    <w:rPr>
      <w:rFonts w:eastAsia="PMingLiU"/>
      <w:b/>
      <w:bCs/>
      <w:sz w:val="20"/>
      <w:szCs w:val="20"/>
    </w:rPr>
  </w:style>
  <w:style w:type="paragraph" w:styleId="NormalWeb">
    <w:name w:val="Normal (Web)"/>
    <w:basedOn w:val="Normal"/>
    <w:uiPriority w:val="99"/>
    <w:unhideWhenUsed/>
    <w:rsid w:val="007B5E66"/>
    <w:pPr>
      <w:spacing w:before="100" w:beforeAutospacing="1" w:after="100" w:afterAutospacing="1"/>
    </w:pPr>
    <w:rPr>
      <w:rFonts w:ascii="Aptos" w:hAnsi="Aptos" w:cs="Aptos" w:eastAsiaTheme="minorHAnsi"/>
      <w:sz w:val="24"/>
      <w:szCs w:val="24"/>
    </w:rPr>
  </w:style>
  <w:style w:type="paragraph" w:styleId="DocID" w:customStyle="1">
    <w:name w:val="DocID"/>
    <w:basedOn w:val="Normal"/>
    <w:rsid w:val="00F27854"/>
    <w:pPr>
      <w:jc w:val="right"/>
    </w:pPr>
    <w:rPr>
      <w:rFonts w:eastAsia="Times New Roman"/>
      <w:sz w:val="16"/>
      <w:szCs w:val="24"/>
    </w:rPr>
  </w:style>
  <w:style w:type="paragraph" w:styleId="Revision">
    <w:name w:val="Revision"/>
    <w:hidden/>
    <w:uiPriority w:val="99"/>
    <w:semiHidden/>
    <w:rsid w:val="00082D33"/>
    <w:pPr>
      <w:spacing w:after="0" w:line="240" w:lineRule="auto"/>
    </w:pPr>
    <w:rPr>
      <w:rFonts w:eastAsia="PMingLiU"/>
      <w:b w:val="0"/>
      <w:bCs w:val="0"/>
      <w:sz w:val="22"/>
      <w:szCs w:val="22"/>
    </w:rPr>
  </w:style>
  <w:style w:type="character" w:styleId="Emphasis">
    <w:name w:val="Emphasis"/>
    <w:basedOn w:val="DefaultParagraphFont"/>
    <w:uiPriority w:val="20"/>
    <w:qFormat/>
    <w:rsid w:val="00B435BE"/>
    <w:rPr>
      <w:i/>
      <w:iCs/>
    </w:rPr>
  </w:style>
  <w:style w:type="character" w:styleId="Strong">
    <w:name w:val="Strong"/>
    <w:basedOn w:val="DefaultParagraphFont"/>
    <w:uiPriority w:val="22"/>
    <w:qFormat/>
    <w:rsid w:val="007C62BE"/>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egere@spencerfane.com"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mailto:dhart@spencerfane.com" TargetMode="Externa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creator>Hart, Don</dc:creator>
  <lastPrinted>1900-01-01T07:00:00.0000000Z</lastPrinted>
  <dcterms:created xsi:type="dcterms:W3CDTF">1900-01-01T07:00:00.0000000Z</dcterms:created>
  <dcterms:modified xsi:type="dcterms:W3CDTF">1900-01-01T07:00:00.0000000Z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5" name="MSIP_Label_8fd3f3c7-8ebf-41b5-b292-a358066b34b1_Enabled">
    <vt:lpwstr>true</vt:lpwstr>
  </op:property>
  <op:property fmtid="{D5CDD505-2E9C-101B-9397-08002B2CF9AE}" pid="6" name="MSIP_Label_8fd3f3c7-8ebf-41b5-b292-a358066b34b1_SetDate">
    <vt:lpwstr>2026-04-26T21:54:38Z</vt:lpwstr>
  </op:property>
  <op:property fmtid="{D5CDD505-2E9C-101B-9397-08002B2CF9AE}" pid="7" name="MSIP_Label_8fd3f3c7-8ebf-41b5-b292-a358066b34b1_Method">
    <vt:lpwstr>Standard</vt:lpwstr>
  </op:property>
  <op:property fmtid="{D5CDD505-2E9C-101B-9397-08002B2CF9AE}" pid="8" name="MSIP_Label_8fd3f3c7-8ebf-41b5-b292-a358066b34b1_Name">
    <vt:lpwstr>SRP - Legal Services</vt:lpwstr>
  </op:property>
  <op:property fmtid="{D5CDD505-2E9C-101B-9397-08002B2CF9AE}" pid="9" name="MSIP_Label_8fd3f3c7-8ebf-41b5-b292-a358066b34b1_SiteId">
    <vt:lpwstr>00a9f7b2-9733-42fa-9b43-3ffc9f5d132d</vt:lpwstr>
  </op:property>
  <op:property fmtid="{D5CDD505-2E9C-101B-9397-08002B2CF9AE}" pid="10" name="MSIP_Label_8fd3f3c7-8ebf-41b5-b292-a358066b34b1_ActionId">
    <vt:lpwstr>743743f7-a5d8-43ad-ae47-c4189ec5a5b6</vt:lpwstr>
  </op:property>
  <op:property fmtid="{D5CDD505-2E9C-101B-9397-08002B2CF9AE}" pid="11" name="MSIP_Label_8fd3f3c7-8ebf-41b5-b292-a358066b34b1_ContentBits">
    <vt:lpwstr>0</vt:lpwstr>
  </op:property>
  <op:property fmtid="{D5CDD505-2E9C-101B-9397-08002B2CF9AE}" pid="12" name="MSIP_Label_8fd3f3c7-8ebf-41b5-b292-a358066b34b1_Tag">
    <vt:lpwstr>10, 3, 0, 1</vt:lpwstr>
  </op:property>
</op:Properties>
</file>