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4282" w:type="dxa"/>
        <w:tblLayout w:type="fixed"/>
        <w:tblLook w:val="0000" w:firstRow="0" w:lastRow="0" w:firstColumn="0" w:lastColumn="0" w:noHBand="0" w:noVBand="0"/>
      </w:tblPr>
      <w:tblGrid>
        <w:gridCol w:w="4282"/>
      </w:tblGrid>
      <w:tr w:rsidR="002A0417" w:rsidRPr="001B0910" w14:paraId="2DD96AE8" w14:textId="77777777" w:rsidTr="006A2F9E">
        <w:trPr>
          <w:cantSplit/>
          <w:trHeight w:val="997"/>
        </w:trPr>
        <w:tc>
          <w:tcPr>
            <w:tcW w:w="4282" w:type="dxa"/>
          </w:tcPr>
          <w:p w14:paraId="7D67E407" w14:textId="77777777" w:rsidR="002A0417" w:rsidRPr="00BC3B7D" w:rsidRDefault="002A0417" w:rsidP="002A0417">
            <w:pPr>
              <w:pStyle w:val="FirmInformation"/>
              <w:spacing w:line="240" w:lineRule="auto"/>
              <w:rPr>
                <w:sz w:val="28"/>
                <w:szCs w:val="28"/>
                <w:lang w:val="pt-BR"/>
              </w:rPr>
            </w:pPr>
            <w:bookmarkStart w:id="0" w:name="_zzmpFIXED_CounselTable"/>
            <w:r w:rsidRPr="00BC3B7D">
              <w:rPr>
                <w:sz w:val="28"/>
                <w:szCs w:val="28"/>
                <w:lang w:val="pt-BR"/>
              </w:rPr>
              <w:t>Jessica J. Fotinos, Bar No. 019777</w:t>
            </w:r>
          </w:p>
          <w:p w14:paraId="3B92AF78" w14:textId="3B0657ED" w:rsidR="002A0417" w:rsidRPr="001B0910" w:rsidRDefault="002A0417" w:rsidP="002A0417">
            <w:pPr>
              <w:pStyle w:val="FirmInformation"/>
              <w:spacing w:line="240" w:lineRule="auto"/>
              <w:rPr>
                <w:sz w:val="28"/>
                <w:szCs w:val="28"/>
              </w:rPr>
            </w:pPr>
            <w:r w:rsidRPr="001B0910">
              <w:rPr>
                <w:sz w:val="28"/>
                <w:szCs w:val="28"/>
              </w:rPr>
              <w:t>General Counsel</w:t>
            </w:r>
          </w:p>
          <w:p w14:paraId="056261EB" w14:textId="77777777" w:rsidR="002A0417" w:rsidRPr="001B0910" w:rsidRDefault="002A0417" w:rsidP="002A0417">
            <w:pPr>
              <w:pStyle w:val="FirmInformation"/>
              <w:spacing w:line="240" w:lineRule="auto"/>
              <w:rPr>
                <w:sz w:val="28"/>
                <w:szCs w:val="28"/>
              </w:rPr>
            </w:pPr>
            <w:r w:rsidRPr="001B0910">
              <w:rPr>
                <w:sz w:val="28"/>
                <w:szCs w:val="28"/>
              </w:rPr>
              <w:t>State Bar of Arizona</w:t>
            </w:r>
          </w:p>
          <w:p w14:paraId="2A532740" w14:textId="77777777" w:rsidR="002A0417" w:rsidRPr="001B0910" w:rsidRDefault="002A0417" w:rsidP="002A0417">
            <w:pPr>
              <w:pStyle w:val="FirmInformation"/>
              <w:spacing w:line="240" w:lineRule="auto"/>
              <w:rPr>
                <w:sz w:val="28"/>
                <w:szCs w:val="28"/>
              </w:rPr>
            </w:pPr>
            <w:r w:rsidRPr="001B0910">
              <w:rPr>
                <w:sz w:val="28"/>
                <w:szCs w:val="28"/>
              </w:rPr>
              <w:t>4201 N. 24th Street, Suite 100</w:t>
            </w:r>
          </w:p>
          <w:p w14:paraId="5315828A" w14:textId="77777777" w:rsidR="002A0417" w:rsidRPr="001B0910" w:rsidRDefault="002A0417" w:rsidP="002A0417">
            <w:pPr>
              <w:pStyle w:val="FirmInformation"/>
              <w:spacing w:line="240" w:lineRule="auto"/>
              <w:rPr>
                <w:sz w:val="28"/>
                <w:szCs w:val="28"/>
              </w:rPr>
            </w:pPr>
            <w:r w:rsidRPr="001B0910">
              <w:rPr>
                <w:sz w:val="28"/>
                <w:szCs w:val="28"/>
              </w:rPr>
              <w:t>Phoenix, AZ  85016-6288</w:t>
            </w:r>
          </w:p>
          <w:p w14:paraId="7B3DBC20" w14:textId="77777777" w:rsidR="002A0417" w:rsidRPr="001B0910" w:rsidRDefault="002A0417" w:rsidP="002A0417">
            <w:pPr>
              <w:pStyle w:val="FirmInformation"/>
              <w:spacing w:line="240" w:lineRule="auto"/>
              <w:rPr>
                <w:sz w:val="28"/>
                <w:szCs w:val="28"/>
              </w:rPr>
            </w:pPr>
            <w:r w:rsidRPr="001B0910">
              <w:rPr>
                <w:sz w:val="28"/>
                <w:szCs w:val="28"/>
              </w:rPr>
              <w:t>(602) 340-7236</w:t>
            </w:r>
          </w:p>
        </w:tc>
      </w:tr>
      <w:bookmarkEnd w:id="0"/>
      <w:tr w:rsidR="002A0417" w:rsidRPr="001B0910" w14:paraId="285CC1E3" w14:textId="77777777" w:rsidTr="006A2F9E">
        <w:trPr>
          <w:cantSplit/>
          <w:trHeight w:val="997"/>
        </w:trPr>
        <w:tc>
          <w:tcPr>
            <w:tcW w:w="4282" w:type="dxa"/>
          </w:tcPr>
          <w:p w14:paraId="46939F8D" w14:textId="77777777" w:rsidR="002A0417" w:rsidRPr="002A0417" w:rsidRDefault="002A0417" w:rsidP="002A0417">
            <w:pPr>
              <w:pStyle w:val="FirmInformation"/>
              <w:spacing w:line="240" w:lineRule="auto"/>
              <w:rPr>
                <w:sz w:val="28"/>
                <w:szCs w:val="28"/>
                <w:lang w:val="pt-BR"/>
              </w:rPr>
            </w:pPr>
          </w:p>
        </w:tc>
      </w:tr>
    </w:tbl>
    <w:p w14:paraId="08E71DA7" w14:textId="4518B244" w:rsidR="00357F4D" w:rsidRDefault="00357F4D" w:rsidP="00735659">
      <w:pPr>
        <w:pStyle w:val="Court"/>
        <w:spacing w:line="508" w:lineRule="exact"/>
        <w:jc w:val="left"/>
        <w:rPr>
          <w:b/>
          <w:sz w:val="28"/>
          <w:szCs w:val="28"/>
        </w:rPr>
      </w:pPr>
    </w:p>
    <w:p w14:paraId="2939F99E" w14:textId="77777777" w:rsidR="006A2F9E" w:rsidRDefault="006A2F9E" w:rsidP="00735659">
      <w:pPr>
        <w:pStyle w:val="Court"/>
        <w:spacing w:line="508" w:lineRule="exact"/>
        <w:jc w:val="left"/>
        <w:rPr>
          <w:b/>
          <w:sz w:val="28"/>
          <w:szCs w:val="28"/>
        </w:rPr>
      </w:pPr>
    </w:p>
    <w:p w14:paraId="515D7445" w14:textId="77777777" w:rsidR="006A2F9E" w:rsidRDefault="006A2F9E" w:rsidP="00735659">
      <w:pPr>
        <w:pStyle w:val="Court"/>
        <w:spacing w:line="508" w:lineRule="exact"/>
        <w:jc w:val="left"/>
        <w:rPr>
          <w:b/>
          <w:sz w:val="28"/>
          <w:szCs w:val="28"/>
        </w:rPr>
      </w:pPr>
    </w:p>
    <w:p w14:paraId="5013A1B6" w14:textId="77777777" w:rsidR="006A2F9E" w:rsidRPr="001B0910" w:rsidRDefault="006A2F9E" w:rsidP="00735659">
      <w:pPr>
        <w:pStyle w:val="Court"/>
        <w:spacing w:line="508" w:lineRule="exact"/>
        <w:jc w:val="left"/>
        <w:rPr>
          <w:b/>
          <w:sz w:val="28"/>
          <w:szCs w:val="28"/>
        </w:rPr>
      </w:pPr>
    </w:p>
    <w:p w14:paraId="25693B34" w14:textId="77777777" w:rsidR="000C48A9" w:rsidRPr="001B0910" w:rsidRDefault="000F7A7F" w:rsidP="00000C35">
      <w:pPr>
        <w:pStyle w:val="Court"/>
        <w:spacing w:line="240" w:lineRule="auto"/>
        <w:rPr>
          <w:b/>
          <w:sz w:val="28"/>
          <w:szCs w:val="28"/>
        </w:rPr>
      </w:pPr>
      <w:r w:rsidRPr="001B0910">
        <w:rPr>
          <w:b/>
          <w:sz w:val="28"/>
          <w:szCs w:val="28"/>
        </w:rPr>
        <w:t>IN THE SUPREME COURT</w:t>
      </w:r>
      <w:r w:rsidRPr="001B091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1B0910" w14:paraId="024B1021" w14:textId="77777777" w:rsidTr="004331B2">
        <w:tc>
          <w:tcPr>
            <w:tcW w:w="4680" w:type="dxa"/>
            <w:tcBorders>
              <w:top w:val="nil"/>
              <w:bottom w:val="single" w:sz="4" w:space="0" w:color="auto"/>
              <w:right w:val="single" w:sz="4" w:space="0" w:color="auto"/>
            </w:tcBorders>
          </w:tcPr>
          <w:p w14:paraId="511101D2" w14:textId="77777777" w:rsidR="00357F4D" w:rsidRPr="001B0910" w:rsidRDefault="00357F4D" w:rsidP="00E321C5">
            <w:pPr>
              <w:pStyle w:val="Caption"/>
              <w:spacing w:before="240" w:line="260" w:lineRule="exact"/>
              <w:rPr>
                <w:sz w:val="28"/>
                <w:szCs w:val="28"/>
              </w:rPr>
            </w:pPr>
            <w:bookmarkStart w:id="1" w:name="_zzmpFIXED_CaptionTable"/>
            <w:r w:rsidRPr="001B0910">
              <w:rPr>
                <w:sz w:val="28"/>
                <w:szCs w:val="28"/>
              </w:rPr>
              <w:t>In the Matter of:</w:t>
            </w:r>
          </w:p>
          <w:p w14:paraId="03963DD5" w14:textId="15B4CD87" w:rsidR="00357F4D" w:rsidRPr="001B0910" w:rsidRDefault="00E67511" w:rsidP="00F511E5">
            <w:pPr>
              <w:pStyle w:val="Caption"/>
              <w:spacing w:before="240" w:line="260" w:lineRule="exact"/>
              <w:rPr>
                <w:b/>
                <w:sz w:val="28"/>
                <w:szCs w:val="28"/>
              </w:rPr>
            </w:pPr>
            <w:r w:rsidRPr="001B0910">
              <w:rPr>
                <w:b/>
                <w:sz w:val="28"/>
                <w:szCs w:val="28"/>
              </w:rPr>
              <w:t xml:space="preserve">PETITION TO </w:t>
            </w:r>
            <w:r w:rsidR="00F511E5" w:rsidRPr="001B0910">
              <w:rPr>
                <w:b/>
                <w:sz w:val="28"/>
                <w:szCs w:val="28"/>
              </w:rPr>
              <w:t xml:space="preserve">AMEND </w:t>
            </w:r>
            <w:r w:rsidR="00652BE5">
              <w:rPr>
                <w:b/>
                <w:sz w:val="28"/>
                <w:szCs w:val="28"/>
              </w:rPr>
              <w:t>COURT RULES REGARDING SERVICE OF PROCESS OF NOTICE OF CLAIM UPON GOVERNMENT OFFICIALS</w:t>
            </w:r>
            <w:r w:rsidR="00F511E5" w:rsidRPr="001B0910">
              <w:rPr>
                <w:b/>
                <w:sz w:val="28"/>
                <w:szCs w:val="28"/>
              </w:rPr>
              <w:br/>
            </w:r>
          </w:p>
        </w:tc>
        <w:tc>
          <w:tcPr>
            <w:tcW w:w="4524" w:type="dxa"/>
            <w:tcBorders>
              <w:top w:val="nil"/>
              <w:left w:val="single" w:sz="4" w:space="0" w:color="auto"/>
            </w:tcBorders>
          </w:tcPr>
          <w:p w14:paraId="35CED5CB" w14:textId="77D885CC" w:rsidR="00357F4D" w:rsidRPr="001B0910" w:rsidRDefault="00357F4D" w:rsidP="00E321C5">
            <w:pPr>
              <w:pStyle w:val="Caption"/>
              <w:tabs>
                <w:tab w:val="left" w:pos="1238"/>
              </w:tabs>
              <w:spacing w:before="240" w:after="240"/>
              <w:ind w:left="259" w:right="115"/>
              <w:rPr>
                <w:sz w:val="28"/>
                <w:szCs w:val="28"/>
              </w:rPr>
            </w:pPr>
            <w:r w:rsidRPr="001B0910">
              <w:rPr>
                <w:sz w:val="28"/>
                <w:szCs w:val="28"/>
              </w:rPr>
              <w:t>Supreme Court No. R-</w:t>
            </w:r>
            <w:r w:rsidR="008A4EB3" w:rsidRPr="001B0910">
              <w:rPr>
                <w:sz w:val="28"/>
                <w:szCs w:val="28"/>
              </w:rPr>
              <w:t>2</w:t>
            </w:r>
            <w:r w:rsidR="00652BE5">
              <w:rPr>
                <w:sz w:val="28"/>
                <w:szCs w:val="28"/>
              </w:rPr>
              <w:t>5-0048</w:t>
            </w:r>
          </w:p>
          <w:p w14:paraId="5AEC962D" w14:textId="5404536D" w:rsidR="00357F4D" w:rsidRPr="00D326F2" w:rsidRDefault="00D326F2" w:rsidP="000F7A7F">
            <w:pPr>
              <w:pStyle w:val="Caption"/>
              <w:tabs>
                <w:tab w:val="left" w:pos="1238"/>
              </w:tabs>
              <w:spacing w:line="260" w:lineRule="exact"/>
              <w:ind w:right="115"/>
              <w:jc w:val="center"/>
              <w:rPr>
                <w:b/>
                <w:sz w:val="28"/>
                <w:szCs w:val="28"/>
              </w:rPr>
            </w:pPr>
            <w:r w:rsidRPr="00D326F2">
              <w:rPr>
                <w:b/>
                <w:sz w:val="28"/>
                <w:szCs w:val="28"/>
              </w:rPr>
              <w:t>STATE BAR OF ARIZONA COMMENT</w:t>
            </w:r>
          </w:p>
          <w:p w14:paraId="414A167D" w14:textId="77777777" w:rsidR="00357F4D" w:rsidRPr="00D326F2" w:rsidRDefault="00357F4D" w:rsidP="00E321C5">
            <w:pPr>
              <w:pStyle w:val="DocumentTitle"/>
              <w:rPr>
                <w:sz w:val="28"/>
                <w:szCs w:val="28"/>
              </w:rPr>
            </w:pPr>
          </w:p>
          <w:p w14:paraId="524D8097" w14:textId="77777777" w:rsidR="00357F4D" w:rsidRPr="001B0910" w:rsidRDefault="00357F4D" w:rsidP="00E321C5">
            <w:pPr>
              <w:pStyle w:val="Caption"/>
              <w:ind w:left="1512" w:right="115" w:hanging="1253"/>
              <w:rPr>
                <w:sz w:val="28"/>
                <w:szCs w:val="28"/>
              </w:rPr>
            </w:pPr>
          </w:p>
        </w:tc>
      </w:tr>
      <w:bookmarkEnd w:id="1"/>
    </w:tbl>
    <w:p w14:paraId="14B66B5A" w14:textId="77777777" w:rsidR="004331B2" w:rsidRPr="001B0910" w:rsidRDefault="004331B2" w:rsidP="006338C1">
      <w:pPr>
        <w:pStyle w:val="Body"/>
        <w:widowControl w:val="0"/>
        <w:ind w:firstLine="720"/>
        <w:jc w:val="both"/>
        <w:rPr>
          <w:sz w:val="28"/>
          <w:szCs w:val="28"/>
        </w:rPr>
      </w:pPr>
    </w:p>
    <w:p w14:paraId="0B75E129" w14:textId="26A4FF2A"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Pursuant to Rule 28 of the Arizona Rules of the Supreme Court, the State Bar of Arizona (“the State Bar”) submits this Comment in opposition to the Petition to Amend Arizona Rules of Civil Procedure 4.1, 4.2 and 5, and to add Rule 4.3 regarding filing notices of claim with the “person or persons authorized to accept service” pursuant to A.R.S. § 12-821.01(A). While the Petition raises some legitimate concerns, it does not squarely frame the issues; the proposed amendments do not balance the interests of due process on the one hand, and access to justice on the </w:t>
      </w:r>
      <w:proofErr w:type="gramStart"/>
      <w:r w:rsidRPr="00AA3CB2">
        <w:rPr>
          <w:sz w:val="28"/>
          <w:szCs w:val="28"/>
        </w:rPr>
        <w:t>other;</w:t>
      </w:r>
      <w:proofErr w:type="gramEnd"/>
      <w:r w:rsidRPr="00AA3CB2">
        <w:rPr>
          <w:sz w:val="28"/>
          <w:szCs w:val="28"/>
        </w:rPr>
        <w:t xml:space="preserve"> would likely require legislative action; and are impracticable. The State Bar recommends that the Supreme Court of Arizona create a Task Force with key </w:t>
      </w:r>
      <w:r w:rsidRPr="00AA3CB2">
        <w:rPr>
          <w:sz w:val="28"/>
          <w:szCs w:val="28"/>
        </w:rPr>
        <w:lastRenderedPageBreak/>
        <w:t>stakeholders to explore the various issues, idiosyncrasies, and potential solutions related to filing notices of claim pursuant to A.R.S. § 12-820.01 and Rule 4.1, particularly regarding filing a notice of claim on “any other governmental entity” under Rule 4.1(h)(4).</w:t>
      </w:r>
    </w:p>
    <w:p w14:paraId="444B9286" w14:textId="77777777" w:rsidR="00652BE5" w:rsidRPr="00AA3CB2" w:rsidRDefault="00652BE5" w:rsidP="00652BE5">
      <w:pPr>
        <w:autoSpaceDE w:val="0"/>
        <w:autoSpaceDN w:val="0"/>
        <w:adjustRightInd w:val="0"/>
        <w:spacing w:line="240" w:lineRule="auto"/>
        <w:ind w:left="720" w:hanging="720"/>
        <w:jc w:val="both"/>
        <w:rPr>
          <w:b/>
          <w:bCs/>
          <w:sz w:val="28"/>
          <w:szCs w:val="28"/>
        </w:rPr>
      </w:pPr>
      <w:r w:rsidRPr="00AA3CB2">
        <w:rPr>
          <w:b/>
          <w:bCs/>
          <w:sz w:val="28"/>
          <w:szCs w:val="28"/>
        </w:rPr>
        <w:t>I.</w:t>
      </w:r>
      <w:r w:rsidRPr="00AA3CB2">
        <w:rPr>
          <w:b/>
          <w:bCs/>
          <w:sz w:val="28"/>
          <w:szCs w:val="28"/>
        </w:rPr>
        <w:tab/>
        <w:t xml:space="preserve">THE REQUIREMENT TO FILE NOTICES OF CLAIM AGAINST THE PERSON OR PERSONS AUTHORIZED TO ACCEPT SERVICE OF PROCESS.   </w:t>
      </w:r>
    </w:p>
    <w:p w14:paraId="2240F41A" w14:textId="77777777" w:rsidR="00652BE5" w:rsidRPr="00AA3CB2" w:rsidRDefault="00652BE5" w:rsidP="00652BE5">
      <w:pPr>
        <w:pStyle w:val="ListParagraph"/>
        <w:autoSpaceDE w:val="0"/>
        <w:autoSpaceDN w:val="0"/>
        <w:adjustRightInd w:val="0"/>
        <w:spacing w:line="240" w:lineRule="auto"/>
        <w:ind w:left="1080"/>
        <w:jc w:val="both"/>
        <w:rPr>
          <w:b/>
          <w:bCs/>
          <w:sz w:val="28"/>
          <w:szCs w:val="28"/>
        </w:rPr>
      </w:pPr>
    </w:p>
    <w:p w14:paraId="30E13F9F" w14:textId="77777777" w:rsidR="00652BE5" w:rsidRPr="00AA3CB2" w:rsidRDefault="00652BE5" w:rsidP="00652BE5">
      <w:pPr>
        <w:autoSpaceDE w:val="0"/>
        <w:autoSpaceDN w:val="0"/>
        <w:adjustRightInd w:val="0"/>
        <w:spacing w:line="240" w:lineRule="auto"/>
        <w:ind w:firstLine="720"/>
        <w:jc w:val="both"/>
        <w:rPr>
          <w:sz w:val="28"/>
          <w:szCs w:val="28"/>
        </w:rPr>
      </w:pPr>
      <w:r w:rsidRPr="00AA3CB2">
        <w:rPr>
          <w:sz w:val="28"/>
          <w:szCs w:val="28"/>
        </w:rPr>
        <w:t xml:space="preserve">The notice of claim statute, A.R.S. § 12-821.01, provides in pertinent part: </w:t>
      </w:r>
    </w:p>
    <w:p w14:paraId="4C5276C0" w14:textId="77777777" w:rsidR="00652BE5" w:rsidRPr="00AA3CB2" w:rsidRDefault="00652BE5" w:rsidP="00652BE5">
      <w:pPr>
        <w:autoSpaceDE w:val="0"/>
        <w:autoSpaceDN w:val="0"/>
        <w:adjustRightInd w:val="0"/>
        <w:spacing w:line="240" w:lineRule="auto"/>
        <w:ind w:left="720" w:right="720"/>
        <w:jc w:val="both"/>
        <w:rPr>
          <w:sz w:val="28"/>
          <w:szCs w:val="28"/>
        </w:rPr>
      </w:pPr>
    </w:p>
    <w:p w14:paraId="12A2823D" w14:textId="407188C1" w:rsidR="00652BE5" w:rsidRPr="00AA3CB2" w:rsidRDefault="00652BE5" w:rsidP="00652BE5">
      <w:pPr>
        <w:autoSpaceDE w:val="0"/>
        <w:autoSpaceDN w:val="0"/>
        <w:adjustRightInd w:val="0"/>
        <w:spacing w:line="240" w:lineRule="auto"/>
        <w:ind w:left="720" w:right="720"/>
        <w:jc w:val="both"/>
        <w:rPr>
          <w:sz w:val="28"/>
          <w:szCs w:val="28"/>
        </w:rPr>
      </w:pPr>
      <w:r w:rsidRPr="00AA3CB2">
        <w:rPr>
          <w:sz w:val="28"/>
          <w:szCs w:val="28"/>
        </w:rPr>
        <w:t>Persons who have claims against a public entity, public school or a public employee shall file claims with the person or persons authorized to accept service for the public entity, public school or public employee as set forth in the Arizona rules of civil procedure within one hundred eight</w:t>
      </w:r>
      <w:r w:rsidR="00B16A00">
        <w:rPr>
          <w:sz w:val="28"/>
          <w:szCs w:val="28"/>
        </w:rPr>
        <w:t>y</w:t>
      </w:r>
      <w:r w:rsidRPr="00AA3CB2">
        <w:rPr>
          <w:sz w:val="28"/>
          <w:szCs w:val="28"/>
        </w:rPr>
        <w:t xml:space="preserve"> days after the cause of action accrues…</w:t>
      </w:r>
      <w:r w:rsidR="00B16A00">
        <w:rPr>
          <w:sz w:val="28"/>
          <w:szCs w:val="28"/>
        </w:rPr>
        <w:t xml:space="preserve">. </w:t>
      </w:r>
      <w:r w:rsidRPr="00AA3CB2">
        <w:rPr>
          <w:sz w:val="28"/>
          <w:szCs w:val="28"/>
        </w:rPr>
        <w:t xml:space="preserve">Any action that is not filed within one hundred eighty days after the cause of </w:t>
      </w:r>
      <w:proofErr w:type="gramStart"/>
      <w:r w:rsidRPr="00AA3CB2">
        <w:rPr>
          <w:sz w:val="28"/>
          <w:szCs w:val="28"/>
        </w:rPr>
        <w:t>action accrues</w:t>
      </w:r>
      <w:proofErr w:type="gramEnd"/>
      <w:r w:rsidRPr="00AA3CB2">
        <w:rPr>
          <w:sz w:val="28"/>
          <w:szCs w:val="28"/>
        </w:rPr>
        <w:t xml:space="preserve"> is </w:t>
      </w:r>
      <w:proofErr w:type="gramStart"/>
      <w:r w:rsidRPr="00AA3CB2">
        <w:rPr>
          <w:sz w:val="28"/>
          <w:szCs w:val="28"/>
        </w:rPr>
        <w:t>barred</w:t>
      </w:r>
      <w:proofErr w:type="gramEnd"/>
      <w:r w:rsidRPr="00AA3CB2">
        <w:rPr>
          <w:sz w:val="28"/>
          <w:szCs w:val="28"/>
        </w:rPr>
        <w:t xml:space="preserve"> and no action may be </w:t>
      </w:r>
      <w:proofErr w:type="gramStart"/>
      <w:r w:rsidRPr="00AA3CB2">
        <w:rPr>
          <w:sz w:val="28"/>
          <w:szCs w:val="28"/>
        </w:rPr>
        <w:t>maintained</w:t>
      </w:r>
      <w:proofErr w:type="gramEnd"/>
      <w:r w:rsidRPr="00AA3CB2">
        <w:rPr>
          <w:sz w:val="28"/>
          <w:szCs w:val="28"/>
        </w:rPr>
        <w:t xml:space="preserve"> thereon.</w:t>
      </w:r>
    </w:p>
    <w:p w14:paraId="7F6B1381" w14:textId="77777777" w:rsidR="00652BE5" w:rsidRPr="00AA3CB2" w:rsidRDefault="00652BE5" w:rsidP="00652BE5">
      <w:pPr>
        <w:autoSpaceDE w:val="0"/>
        <w:autoSpaceDN w:val="0"/>
        <w:adjustRightInd w:val="0"/>
        <w:spacing w:line="240" w:lineRule="auto"/>
        <w:ind w:left="720" w:right="720"/>
        <w:jc w:val="both"/>
        <w:rPr>
          <w:sz w:val="28"/>
          <w:szCs w:val="28"/>
        </w:rPr>
      </w:pPr>
    </w:p>
    <w:p w14:paraId="49D848A7" w14:textId="22DDA961"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The Petition consistently refers to “service” of a notice of claim, however, a notice of claim is not “served” but rather is “filed.”  </w:t>
      </w:r>
      <w:r w:rsidRPr="00AA3CB2">
        <w:rPr>
          <w:i/>
          <w:iCs/>
          <w:sz w:val="28"/>
          <w:szCs w:val="28"/>
        </w:rPr>
        <w:t>Lee v. State</w:t>
      </w:r>
      <w:r w:rsidRPr="00AA3CB2">
        <w:rPr>
          <w:sz w:val="28"/>
          <w:szCs w:val="28"/>
        </w:rPr>
        <w:t xml:space="preserve">, 218 Ariz. 235, 237 ¶ 7 (2008) (notice of claim does not require a process server but may be mailed by regular U.S. mail to a governmental entity).  While Arizona Court of Appeals memorandum decisions have applied </w:t>
      </w:r>
      <w:r w:rsidRPr="00AA3CB2">
        <w:rPr>
          <w:i/>
          <w:iCs/>
          <w:sz w:val="28"/>
          <w:szCs w:val="28"/>
        </w:rPr>
        <w:t xml:space="preserve">Lee </w:t>
      </w:r>
      <w:r w:rsidRPr="00AA3CB2">
        <w:rPr>
          <w:sz w:val="28"/>
          <w:szCs w:val="28"/>
        </w:rPr>
        <w:t>to individuals (</w:t>
      </w:r>
      <w:proofErr w:type="spellStart"/>
      <w:r w:rsidRPr="00AA3CB2">
        <w:rPr>
          <w:i/>
          <w:iCs/>
          <w:sz w:val="28"/>
          <w:szCs w:val="28"/>
        </w:rPr>
        <w:t>Iknadosian</w:t>
      </w:r>
      <w:proofErr w:type="spellEnd"/>
      <w:r w:rsidRPr="00AA3CB2">
        <w:rPr>
          <w:i/>
          <w:iCs/>
          <w:sz w:val="28"/>
          <w:szCs w:val="28"/>
        </w:rPr>
        <w:t xml:space="preserve"> v. Mahon, </w:t>
      </w:r>
      <w:r w:rsidRPr="00AA3CB2">
        <w:rPr>
          <w:sz w:val="28"/>
          <w:szCs w:val="28"/>
        </w:rPr>
        <w:t xml:space="preserve">1 CA-CV 13-0205, 2014 WL 2548975, at *2, ¶ 9 (App. June 5, 2014); </w:t>
      </w:r>
      <w:r w:rsidRPr="00AA3CB2">
        <w:rPr>
          <w:i/>
          <w:iCs/>
          <w:sz w:val="28"/>
          <w:szCs w:val="28"/>
        </w:rPr>
        <w:t>Schaer v. Mooney</w:t>
      </w:r>
      <w:r w:rsidRPr="00AA3CB2">
        <w:rPr>
          <w:sz w:val="28"/>
          <w:szCs w:val="28"/>
        </w:rPr>
        <w:t xml:space="preserve">, 1 CA-CV 10-0770, 2011 WL 2365114, at *3, ¶ 10 (App. June 9, 2011)),   not all federal courts have applied </w:t>
      </w:r>
      <w:r w:rsidRPr="00AA3CB2">
        <w:rPr>
          <w:i/>
          <w:iCs/>
          <w:sz w:val="28"/>
          <w:szCs w:val="28"/>
        </w:rPr>
        <w:t>Lee</w:t>
      </w:r>
      <w:r w:rsidRPr="00AA3CB2">
        <w:rPr>
          <w:sz w:val="28"/>
          <w:szCs w:val="28"/>
        </w:rPr>
        <w:t xml:space="preserve"> to individual public employees when deciding notice of claim issues on state law claims over which they have supplemental </w:t>
      </w:r>
      <w:r w:rsidRPr="00AA3CB2">
        <w:rPr>
          <w:sz w:val="28"/>
          <w:szCs w:val="28"/>
        </w:rPr>
        <w:lastRenderedPageBreak/>
        <w:t xml:space="preserve">jurisdiction. </w:t>
      </w:r>
      <w:r w:rsidRPr="00AA3CB2">
        <w:rPr>
          <w:i/>
          <w:iCs/>
          <w:sz w:val="28"/>
          <w:szCs w:val="28"/>
        </w:rPr>
        <w:t>See Stevens v. Arizona</w:t>
      </w:r>
      <w:r w:rsidRPr="00AA3CB2">
        <w:rPr>
          <w:sz w:val="28"/>
          <w:szCs w:val="28"/>
        </w:rPr>
        <w:t>, CV-23-00770-PHX-SMB, 2024 WL 418132, at *6 (D. Ariz. Feb. 5, 2024)</w:t>
      </w:r>
      <w:r w:rsidR="00B16A00">
        <w:rPr>
          <w:sz w:val="28"/>
          <w:szCs w:val="28"/>
        </w:rPr>
        <w:t xml:space="preserve"> </w:t>
      </w:r>
      <w:r w:rsidRPr="00AA3CB2">
        <w:rPr>
          <w:sz w:val="28"/>
          <w:szCs w:val="28"/>
        </w:rPr>
        <w:t>(</w:t>
      </w:r>
      <w:proofErr w:type="gramStart"/>
      <w:r w:rsidRPr="00AA3CB2">
        <w:rPr>
          <w:sz w:val="28"/>
          <w:szCs w:val="28"/>
        </w:rPr>
        <w:t>employee</w:t>
      </w:r>
      <w:proofErr w:type="gramEnd"/>
      <w:r w:rsidRPr="00AA3CB2">
        <w:rPr>
          <w:sz w:val="28"/>
          <w:szCs w:val="28"/>
        </w:rPr>
        <w:t xml:space="preserve"> must be served personally as required by Arizona Rules of Civil Procedure). Therefore, while there may be some confusion regarding what constitutes “filing” of a notice of claim (which is best left to the legislature and/or courts to determine), the statute is clear that a notice of claim must be delivered to or “filed” with the “person or persons authorized to accept” service under Ariz. R. Civ. P. 4.1(h). </w:t>
      </w:r>
    </w:p>
    <w:p w14:paraId="09681433" w14:textId="77777777"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The purpose of the notice of claim statute is to give notice to the governmental entities and public employees to allow them to “investigate and assess liability, permit the possibility of settlement, and assist the public entity in financial planning and budgeting.” </w:t>
      </w:r>
      <w:hyperlink r:id="rId8" w:history="1">
        <w:r w:rsidRPr="00313B00">
          <w:rPr>
            <w:rStyle w:val="Hyperlink"/>
            <w:i/>
            <w:iCs/>
            <w:color w:val="auto"/>
            <w:sz w:val="28"/>
            <w:szCs w:val="28"/>
            <w:u w:val="none"/>
          </w:rPr>
          <w:t>Jones v. Cochise County</w:t>
        </w:r>
        <w:r w:rsidRPr="00313B00">
          <w:rPr>
            <w:rStyle w:val="Hyperlink"/>
            <w:color w:val="auto"/>
            <w:sz w:val="28"/>
            <w:szCs w:val="28"/>
            <w:u w:val="none"/>
          </w:rPr>
          <w:t>, 218 Ariz. 372, 377, ¶ 15 (App. 2008)</w:t>
        </w:r>
      </w:hyperlink>
      <w:r w:rsidRPr="00B16A00">
        <w:rPr>
          <w:sz w:val="28"/>
          <w:szCs w:val="28"/>
        </w:rPr>
        <w:t xml:space="preserve">. </w:t>
      </w:r>
    </w:p>
    <w:p w14:paraId="78DBA0B8" w14:textId="4DE83EC1"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Strict compliance with the notice of claim </w:t>
      </w:r>
      <w:r w:rsidR="00B16A00">
        <w:rPr>
          <w:sz w:val="28"/>
          <w:szCs w:val="28"/>
        </w:rPr>
        <w:t xml:space="preserve">statute </w:t>
      </w:r>
      <w:r w:rsidRPr="00AA3CB2">
        <w:rPr>
          <w:sz w:val="28"/>
          <w:szCs w:val="28"/>
        </w:rPr>
        <w:t xml:space="preserve">within a relatively short time of 180 days after the cause of action accrues, with limited statutory exceptions, creates a barrier to some claimants with legitimate claims, depriving them of a remedy. There is no way to seek alternative means of filing or more time to file, and there is no way to seek any kind of relief in law or in equity once the deadline has passed. </w:t>
      </w:r>
    </w:p>
    <w:p w14:paraId="1CB1BBE4" w14:textId="2CB7ADC7"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Therefore, the goal of any rule change should balance the interests of public entities and employees to receive notice against the ability of claimants to seek relief in court.  Litigants, governmental entities, and public employees will benefit from </w:t>
      </w:r>
      <w:r w:rsidRPr="00AA3CB2">
        <w:rPr>
          <w:sz w:val="28"/>
          <w:szCs w:val="28"/>
        </w:rPr>
        <w:lastRenderedPageBreak/>
        <w:t xml:space="preserve">clearer rules pertaining to the identification of whom notices of claim should be delivered to </w:t>
      </w:r>
      <w:proofErr w:type="gramStart"/>
      <w:r w:rsidRPr="00AA3CB2">
        <w:rPr>
          <w:sz w:val="28"/>
          <w:szCs w:val="28"/>
        </w:rPr>
        <w:t>in order to</w:t>
      </w:r>
      <w:proofErr w:type="gramEnd"/>
      <w:r w:rsidRPr="00AA3CB2">
        <w:rPr>
          <w:sz w:val="28"/>
          <w:szCs w:val="28"/>
        </w:rPr>
        <w:t xml:space="preserve"> meet the requirements of </w:t>
      </w:r>
      <w:r w:rsidR="00B16A00" w:rsidRPr="00AA3CB2">
        <w:rPr>
          <w:sz w:val="28"/>
          <w:szCs w:val="28"/>
        </w:rPr>
        <w:t>A.R.S. § 12-821.01</w:t>
      </w:r>
      <w:r w:rsidR="00B16A00">
        <w:rPr>
          <w:sz w:val="28"/>
          <w:szCs w:val="28"/>
        </w:rPr>
        <w:t xml:space="preserve"> </w:t>
      </w:r>
      <w:r w:rsidRPr="00AA3CB2">
        <w:rPr>
          <w:sz w:val="28"/>
          <w:szCs w:val="28"/>
        </w:rPr>
        <w:t xml:space="preserve">and Rule 4.1. </w:t>
      </w:r>
    </w:p>
    <w:p w14:paraId="6981D5D8" w14:textId="77777777" w:rsidR="00652BE5" w:rsidRPr="00AA3CB2" w:rsidRDefault="00652BE5" w:rsidP="00652BE5">
      <w:pPr>
        <w:pStyle w:val="ListParagraph"/>
        <w:autoSpaceDE w:val="0"/>
        <w:autoSpaceDN w:val="0"/>
        <w:adjustRightInd w:val="0"/>
        <w:spacing w:line="240" w:lineRule="auto"/>
        <w:ind w:hanging="720"/>
        <w:jc w:val="both"/>
        <w:rPr>
          <w:b/>
          <w:bCs/>
          <w:sz w:val="28"/>
          <w:szCs w:val="28"/>
        </w:rPr>
      </w:pPr>
      <w:r w:rsidRPr="00AA3CB2">
        <w:rPr>
          <w:b/>
          <w:bCs/>
          <w:sz w:val="28"/>
          <w:szCs w:val="28"/>
        </w:rPr>
        <w:t>II.</w:t>
      </w:r>
      <w:r w:rsidRPr="00AA3CB2">
        <w:rPr>
          <w:b/>
          <w:bCs/>
          <w:sz w:val="28"/>
          <w:szCs w:val="28"/>
        </w:rPr>
        <w:tab/>
        <w:t>ISSUES WITH FILING NOTICES OF CLAIMS AGAINST GOVERNMENTAL ENTITIES NOT DELINEATED IN RULE 4.1(h).</w:t>
      </w:r>
    </w:p>
    <w:p w14:paraId="34F5AC44" w14:textId="77777777" w:rsidR="00652BE5" w:rsidRPr="00AA3CB2" w:rsidRDefault="00652BE5" w:rsidP="00652BE5">
      <w:pPr>
        <w:autoSpaceDE w:val="0"/>
        <w:autoSpaceDN w:val="0"/>
        <w:adjustRightInd w:val="0"/>
        <w:spacing w:line="240" w:lineRule="auto"/>
        <w:jc w:val="both"/>
        <w:rPr>
          <w:sz w:val="28"/>
          <w:szCs w:val="28"/>
        </w:rPr>
      </w:pPr>
    </w:p>
    <w:p w14:paraId="4FDE7CA7" w14:textId="193838F5"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As the Petition recognizes, citing </w:t>
      </w:r>
      <w:r w:rsidRPr="00AA3CB2">
        <w:rPr>
          <w:i/>
          <w:iCs/>
          <w:sz w:val="28"/>
          <w:szCs w:val="28"/>
        </w:rPr>
        <w:t xml:space="preserve">Batty </w:t>
      </w:r>
      <w:r w:rsidR="00F8050C">
        <w:rPr>
          <w:i/>
          <w:iCs/>
          <w:sz w:val="28"/>
          <w:szCs w:val="28"/>
        </w:rPr>
        <w:t xml:space="preserve">v. </w:t>
      </w:r>
      <w:r w:rsidRPr="00AA3CB2">
        <w:rPr>
          <w:i/>
          <w:iCs/>
          <w:sz w:val="28"/>
          <w:szCs w:val="28"/>
        </w:rPr>
        <w:t>Glendale Union High School Dist</w:t>
      </w:r>
      <w:r w:rsidR="00F8050C">
        <w:rPr>
          <w:i/>
          <w:iCs/>
          <w:sz w:val="28"/>
          <w:szCs w:val="28"/>
        </w:rPr>
        <w:t>.</w:t>
      </w:r>
      <w:r w:rsidRPr="00AA3CB2">
        <w:rPr>
          <w:i/>
          <w:iCs/>
          <w:sz w:val="28"/>
          <w:szCs w:val="28"/>
        </w:rPr>
        <w:t xml:space="preserve">, </w:t>
      </w:r>
      <w:r w:rsidRPr="00AA3CB2">
        <w:rPr>
          <w:sz w:val="28"/>
          <w:szCs w:val="28"/>
        </w:rPr>
        <w:t xml:space="preserve">221 Ariz. 592 (App. 2009), it is often difficult to identify “the person or persons authorized to accept service” who must receive a notice of claim when dealing with claims against public school districts. </w:t>
      </w:r>
    </w:p>
    <w:p w14:paraId="2560E53E" w14:textId="69D76882"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While Ariz. R. Civ. P. 4.1(h) was amended in 2013 to clarify how to serve certain governmental entities, identifying the “person or persons authorized to accept service” for the State, County and Municipal Corporations, it did not specifically address service upon public school districts or other governmental entities.  Instead, Rule 4.1(h)(4) provides a catchall provision for “any other governmental entity</w:t>
      </w:r>
      <w:r w:rsidR="00F8050C">
        <w:rPr>
          <w:sz w:val="28"/>
          <w:szCs w:val="28"/>
        </w:rPr>
        <w:t>,</w:t>
      </w:r>
      <w:r w:rsidRPr="00AA3CB2">
        <w:rPr>
          <w:sz w:val="28"/>
          <w:szCs w:val="28"/>
        </w:rPr>
        <w:t xml:space="preserve">” which </w:t>
      </w:r>
      <w:r w:rsidR="00F8050C">
        <w:rPr>
          <w:sz w:val="28"/>
          <w:szCs w:val="28"/>
        </w:rPr>
        <w:t xml:space="preserve">would </w:t>
      </w:r>
      <w:r w:rsidRPr="00AA3CB2">
        <w:rPr>
          <w:sz w:val="28"/>
          <w:szCs w:val="28"/>
        </w:rPr>
        <w:t xml:space="preserve">include public school districts.  The rule provides that service upon all other governmental entities is effectuated through “(A) the individual designated by the entity, as required by statute, to receive service of process; or (B) if the entity has not designated a person to receive service of process, then the entity’s chief executive officer(s), or alternatively, its official secretary, clerk or recording officer.”  </w:t>
      </w:r>
      <w:r w:rsidR="00F8050C" w:rsidRPr="00AA3CB2">
        <w:rPr>
          <w:sz w:val="28"/>
          <w:szCs w:val="28"/>
        </w:rPr>
        <w:t xml:space="preserve">Ariz. R. Civ. P. 4.1(h) </w:t>
      </w:r>
      <w:r w:rsidRPr="00AA3CB2">
        <w:rPr>
          <w:sz w:val="28"/>
          <w:szCs w:val="28"/>
        </w:rPr>
        <w:t xml:space="preserve">The catchall provision is </w:t>
      </w:r>
      <w:proofErr w:type="gramStart"/>
      <w:r w:rsidRPr="00AA3CB2">
        <w:rPr>
          <w:sz w:val="28"/>
          <w:szCs w:val="28"/>
        </w:rPr>
        <w:t>similar to</w:t>
      </w:r>
      <w:proofErr w:type="gramEnd"/>
      <w:r w:rsidRPr="00AA3CB2">
        <w:rPr>
          <w:sz w:val="28"/>
          <w:szCs w:val="28"/>
        </w:rPr>
        <w:t xml:space="preserve"> the pre-2013 Ariz. R. Civ. P. 4.1(</w:t>
      </w:r>
      <w:proofErr w:type="spellStart"/>
      <w:r w:rsidRPr="00AA3CB2">
        <w:rPr>
          <w:sz w:val="28"/>
          <w:szCs w:val="28"/>
        </w:rPr>
        <w:t>i</w:t>
      </w:r>
      <w:proofErr w:type="spellEnd"/>
      <w:r w:rsidRPr="00AA3CB2">
        <w:rPr>
          <w:sz w:val="28"/>
          <w:szCs w:val="28"/>
        </w:rPr>
        <w:t xml:space="preserve">). </w:t>
      </w:r>
    </w:p>
    <w:p w14:paraId="11473572" w14:textId="77777777"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lastRenderedPageBreak/>
        <w:t xml:space="preserve">Rule 4.1(h)(4), however, seems in conflict with case law on the matter.  Specifically, the Arizona Supreme Court in </w:t>
      </w:r>
      <w:r w:rsidRPr="00AA3CB2">
        <w:rPr>
          <w:i/>
          <w:iCs/>
          <w:sz w:val="28"/>
          <w:szCs w:val="28"/>
        </w:rPr>
        <w:t>Falcon ex rel. Sandoval v. Maricopa County</w:t>
      </w:r>
      <w:r w:rsidRPr="00AA3CB2">
        <w:rPr>
          <w:sz w:val="28"/>
          <w:szCs w:val="28"/>
        </w:rPr>
        <w:t xml:space="preserve">, 213 Ariz. 525, 527 ¶ 14 (2006) recognized that some public entities, such as school boards, did not have statutorily designated CEOs, and defined the term “executive officer” as the “individual or entity that controls, supervises and has the ultimate responsibility for ensuring the property function of a governmental entity.” </w:t>
      </w:r>
      <w:r w:rsidRPr="00AA3CB2">
        <w:rPr>
          <w:i/>
          <w:iCs/>
          <w:sz w:val="28"/>
          <w:szCs w:val="28"/>
        </w:rPr>
        <w:t>Id.</w:t>
      </w:r>
      <w:r w:rsidRPr="00AA3CB2">
        <w:rPr>
          <w:sz w:val="28"/>
          <w:szCs w:val="28"/>
        </w:rPr>
        <w:t xml:space="preserve"> The Court reviewed the statutory powers and duties of the county board of supervisors and held that the board of supervisors was the county’s CEO for purposes of Rule 4.1(h), and that delivery of a notice of claim to only one board member did not comply with the notice of claim statute or service rule.  </w:t>
      </w:r>
      <w:r w:rsidRPr="00AA3CB2">
        <w:rPr>
          <w:i/>
          <w:iCs/>
          <w:sz w:val="28"/>
          <w:szCs w:val="28"/>
        </w:rPr>
        <w:t xml:space="preserve">Id. </w:t>
      </w:r>
      <w:r w:rsidRPr="00AA3CB2">
        <w:rPr>
          <w:sz w:val="28"/>
          <w:szCs w:val="28"/>
        </w:rPr>
        <w:t xml:space="preserve">at 531, ¶ 34.  The </w:t>
      </w:r>
      <w:r w:rsidRPr="00AA3CB2">
        <w:rPr>
          <w:i/>
          <w:iCs/>
          <w:sz w:val="28"/>
          <w:szCs w:val="28"/>
        </w:rPr>
        <w:t xml:space="preserve">Batty </w:t>
      </w:r>
      <w:r w:rsidRPr="00AA3CB2">
        <w:rPr>
          <w:sz w:val="28"/>
          <w:szCs w:val="28"/>
        </w:rPr>
        <w:t xml:space="preserve">court, in reliance on </w:t>
      </w:r>
      <w:r w:rsidRPr="00AA3CB2">
        <w:rPr>
          <w:i/>
          <w:iCs/>
          <w:sz w:val="28"/>
          <w:szCs w:val="28"/>
        </w:rPr>
        <w:t xml:space="preserve">Falcon, </w:t>
      </w:r>
      <w:r w:rsidRPr="00AA3CB2">
        <w:rPr>
          <w:sz w:val="28"/>
          <w:szCs w:val="28"/>
        </w:rPr>
        <w:t xml:space="preserve">held that while a school governing board could delegate its authority to accept effective service of process to a CEO, that did not occur for the defendant school district (and potentially could never occur because the board cannot give away its ultimate authority), so that delivery to or filing of a notice of claim with the school superintendent was insufficient and did not constitute proper filing of a notice of claim. </w:t>
      </w:r>
      <w:r w:rsidRPr="00AA3CB2">
        <w:rPr>
          <w:i/>
          <w:iCs/>
          <w:sz w:val="28"/>
          <w:szCs w:val="28"/>
        </w:rPr>
        <w:t xml:space="preserve">Batty, </w:t>
      </w:r>
      <w:r w:rsidRPr="00AA3CB2">
        <w:rPr>
          <w:sz w:val="28"/>
          <w:szCs w:val="28"/>
        </w:rPr>
        <w:t xml:space="preserve">221 Ariz. at 596, ¶ 14. </w:t>
      </w:r>
    </w:p>
    <w:p w14:paraId="73DA198C" w14:textId="77777777"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Therefore, applying Rule 4.1(h) to the filing of notices of claims against school districts and other governmental entities </w:t>
      </w:r>
      <w:proofErr w:type="gramStart"/>
      <w:r w:rsidRPr="00AA3CB2">
        <w:rPr>
          <w:sz w:val="28"/>
          <w:szCs w:val="28"/>
        </w:rPr>
        <w:t>in light of</w:t>
      </w:r>
      <w:proofErr w:type="gramEnd"/>
      <w:r w:rsidRPr="00AA3CB2">
        <w:rPr>
          <w:sz w:val="28"/>
          <w:szCs w:val="28"/>
        </w:rPr>
        <w:t xml:space="preserve"> </w:t>
      </w:r>
      <w:r w:rsidRPr="00AA3CB2">
        <w:rPr>
          <w:i/>
          <w:iCs/>
          <w:sz w:val="28"/>
          <w:szCs w:val="28"/>
        </w:rPr>
        <w:t xml:space="preserve">Falcon </w:t>
      </w:r>
      <w:r w:rsidRPr="00AA3CB2">
        <w:rPr>
          <w:sz w:val="28"/>
          <w:szCs w:val="28"/>
        </w:rPr>
        <w:t xml:space="preserve">and </w:t>
      </w:r>
      <w:r w:rsidRPr="00AA3CB2">
        <w:rPr>
          <w:i/>
          <w:iCs/>
          <w:sz w:val="28"/>
          <w:szCs w:val="28"/>
        </w:rPr>
        <w:t xml:space="preserve">Batty </w:t>
      </w:r>
      <w:r w:rsidRPr="00AA3CB2">
        <w:rPr>
          <w:sz w:val="28"/>
          <w:szCs w:val="28"/>
        </w:rPr>
        <w:t xml:space="preserve">may lead to confusion and errors regarding identification of the “person or persons authorized to accept service,” that is, the persons or persons to whom filing of the </w:t>
      </w:r>
      <w:r w:rsidRPr="00AA3CB2">
        <w:rPr>
          <w:sz w:val="28"/>
          <w:szCs w:val="28"/>
        </w:rPr>
        <w:lastRenderedPageBreak/>
        <w:t xml:space="preserve">notice of claim must be directed.  A.R.S. § 12-821.01. While Rule 4.1(h)(4)(A) states that service (or as applied to notices of claims, “filing”) may be effectuated on an “individual designated by the entity. . . to receive service of process,” </w:t>
      </w:r>
      <w:r w:rsidRPr="00AA3CB2">
        <w:rPr>
          <w:i/>
          <w:iCs/>
          <w:sz w:val="28"/>
          <w:szCs w:val="28"/>
        </w:rPr>
        <w:t xml:space="preserve">Falcon </w:t>
      </w:r>
      <w:r w:rsidRPr="00AA3CB2">
        <w:rPr>
          <w:sz w:val="28"/>
          <w:szCs w:val="28"/>
        </w:rPr>
        <w:t xml:space="preserve">and </w:t>
      </w:r>
      <w:r w:rsidRPr="00AA3CB2">
        <w:rPr>
          <w:i/>
          <w:iCs/>
          <w:sz w:val="28"/>
          <w:szCs w:val="28"/>
        </w:rPr>
        <w:t xml:space="preserve">Batty </w:t>
      </w:r>
      <w:r w:rsidRPr="00AA3CB2">
        <w:rPr>
          <w:sz w:val="28"/>
          <w:szCs w:val="28"/>
        </w:rPr>
        <w:t xml:space="preserve">suggest that such designation may be ineffective because those individuals do not have “the ultimate responsibility for ensuring the proper function of a governmental entity.” </w:t>
      </w:r>
      <w:r w:rsidRPr="00AA3CB2">
        <w:rPr>
          <w:i/>
          <w:iCs/>
          <w:sz w:val="28"/>
          <w:szCs w:val="28"/>
        </w:rPr>
        <w:t>Falcon</w:t>
      </w:r>
      <w:r w:rsidRPr="00AA3CB2">
        <w:rPr>
          <w:sz w:val="28"/>
          <w:szCs w:val="28"/>
        </w:rPr>
        <w:t xml:space="preserve">, 213 Ariz. at 527, ¶ 14; </w:t>
      </w:r>
      <w:r w:rsidRPr="00AA3CB2">
        <w:rPr>
          <w:i/>
          <w:iCs/>
          <w:sz w:val="28"/>
          <w:szCs w:val="28"/>
        </w:rPr>
        <w:t>Batty</w:t>
      </w:r>
      <w:r w:rsidRPr="00AA3CB2">
        <w:rPr>
          <w:sz w:val="28"/>
          <w:szCs w:val="28"/>
        </w:rPr>
        <w:t xml:space="preserve">, 221 Ariz. at 596, ¶¶14-15, fn. 2.  </w:t>
      </w:r>
    </w:p>
    <w:p w14:paraId="11130679" w14:textId="43D23532"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Likewise, Rule 4.1(h)(4)(B) authorizes service (or as applied to notices of claims, “filing”) upon the entity’s chief executive officer(s), or alternatively, its official secretary, clerk or recording officer. However, </w:t>
      </w:r>
      <w:r w:rsidRPr="00AA3CB2">
        <w:rPr>
          <w:i/>
          <w:iCs/>
          <w:sz w:val="28"/>
          <w:szCs w:val="28"/>
        </w:rPr>
        <w:t xml:space="preserve">Falcon </w:t>
      </w:r>
      <w:r w:rsidRPr="00AA3CB2">
        <w:rPr>
          <w:sz w:val="28"/>
          <w:szCs w:val="28"/>
        </w:rPr>
        <w:t xml:space="preserve">and </w:t>
      </w:r>
      <w:r w:rsidRPr="00AA3CB2">
        <w:rPr>
          <w:i/>
          <w:iCs/>
          <w:sz w:val="28"/>
          <w:szCs w:val="28"/>
        </w:rPr>
        <w:t>Batty</w:t>
      </w:r>
      <w:r w:rsidRPr="00AA3CB2">
        <w:rPr>
          <w:sz w:val="28"/>
          <w:szCs w:val="28"/>
        </w:rPr>
        <w:t xml:space="preserve"> establish that “chief executive officer” means a person or persons who has “the ultimate responsibility for ensuring the proper function of a governmental entity.” </w:t>
      </w:r>
      <w:r w:rsidRPr="00AA3CB2">
        <w:rPr>
          <w:i/>
          <w:iCs/>
          <w:sz w:val="28"/>
          <w:szCs w:val="28"/>
        </w:rPr>
        <w:t xml:space="preserve">Id.  </w:t>
      </w:r>
      <w:r w:rsidRPr="00AA3CB2">
        <w:rPr>
          <w:sz w:val="28"/>
          <w:szCs w:val="28"/>
        </w:rPr>
        <w:t xml:space="preserve">Employees with the title “chief” </w:t>
      </w:r>
      <w:r w:rsidR="00313B00" w:rsidRPr="00AA3CB2">
        <w:rPr>
          <w:sz w:val="28"/>
          <w:szCs w:val="28"/>
        </w:rPr>
        <w:t>or part</w:t>
      </w:r>
      <w:r w:rsidRPr="00AA3CB2">
        <w:rPr>
          <w:sz w:val="28"/>
          <w:szCs w:val="28"/>
        </w:rPr>
        <w:t xml:space="preserve"> of the “executive” team of a school district or other governmental entities may not meet this requirement, so that filing a notice of claim upon them would be ineffective.  The plain language of the rule </w:t>
      </w:r>
      <w:proofErr w:type="gramStart"/>
      <w:r w:rsidRPr="00AA3CB2">
        <w:rPr>
          <w:sz w:val="28"/>
          <w:szCs w:val="28"/>
        </w:rPr>
        <w:t>in light of</w:t>
      </w:r>
      <w:proofErr w:type="gramEnd"/>
      <w:r w:rsidRPr="00AA3CB2">
        <w:rPr>
          <w:sz w:val="28"/>
          <w:szCs w:val="28"/>
        </w:rPr>
        <w:t xml:space="preserve"> the case law would likely lead to delivery of the notice of claim to the wrong person or persons, which would completely bar a claim. </w:t>
      </w:r>
    </w:p>
    <w:p w14:paraId="21EC181D" w14:textId="08EF4FE0"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Indeed, such confusion could abound with other governmental entities not specifically identified in Rule 4.1(h), and presumably the holdings in </w:t>
      </w:r>
      <w:r w:rsidRPr="00AA3CB2">
        <w:rPr>
          <w:i/>
          <w:iCs/>
          <w:sz w:val="28"/>
          <w:szCs w:val="28"/>
        </w:rPr>
        <w:t xml:space="preserve">Falcon </w:t>
      </w:r>
      <w:r w:rsidRPr="00AA3CB2">
        <w:rPr>
          <w:sz w:val="28"/>
          <w:szCs w:val="28"/>
        </w:rPr>
        <w:t xml:space="preserve">and </w:t>
      </w:r>
      <w:r w:rsidRPr="00AA3CB2">
        <w:rPr>
          <w:i/>
          <w:iCs/>
          <w:sz w:val="28"/>
          <w:szCs w:val="28"/>
        </w:rPr>
        <w:t xml:space="preserve">Batty </w:t>
      </w:r>
      <w:r w:rsidRPr="00AA3CB2">
        <w:rPr>
          <w:sz w:val="28"/>
          <w:szCs w:val="28"/>
        </w:rPr>
        <w:t xml:space="preserve">would apply.  Ultimately, a claimant would have to determine who has “the </w:t>
      </w:r>
      <w:r w:rsidRPr="00AA3CB2">
        <w:rPr>
          <w:sz w:val="28"/>
          <w:szCs w:val="28"/>
        </w:rPr>
        <w:lastRenderedPageBreak/>
        <w:t xml:space="preserve">ultimate responsibility for ensuring the proper function of [the] governmental entity,” </w:t>
      </w:r>
      <w:r w:rsidR="00313B00">
        <w:rPr>
          <w:sz w:val="28"/>
          <w:szCs w:val="28"/>
        </w:rPr>
        <w:t xml:space="preserve">and </w:t>
      </w:r>
      <w:r w:rsidR="00313B00" w:rsidRPr="00AA3CB2">
        <w:rPr>
          <w:sz w:val="28"/>
          <w:szCs w:val="28"/>
        </w:rPr>
        <w:t>delivering</w:t>
      </w:r>
      <w:r w:rsidRPr="00AA3CB2">
        <w:rPr>
          <w:sz w:val="28"/>
          <w:szCs w:val="28"/>
        </w:rPr>
        <w:t xml:space="preserve"> a notice of claim to an individual designated to receive service of process or to chief executive officer(s) as ostensibly allowed in Rule 4.1(h)(4) </w:t>
      </w:r>
      <w:r w:rsidR="00F8050C">
        <w:rPr>
          <w:sz w:val="28"/>
          <w:szCs w:val="28"/>
        </w:rPr>
        <w:t>may</w:t>
      </w:r>
      <w:r w:rsidRPr="00AA3CB2">
        <w:rPr>
          <w:sz w:val="28"/>
          <w:szCs w:val="28"/>
        </w:rPr>
        <w:t xml:space="preserve"> not satisfy the notice of claim statute.  Claimants seeking to comply with the statute do not have the ability to conduct discovery on this issue given that the statute is a prerequisite to filing suit. This, in turn, could block access to justice for many claimants.   </w:t>
      </w:r>
    </w:p>
    <w:p w14:paraId="7DB5ABDC" w14:textId="60AE5FFF" w:rsidR="00F8050C" w:rsidRPr="00AA3CB2" w:rsidRDefault="00652BE5" w:rsidP="00313B00">
      <w:pPr>
        <w:autoSpaceDE w:val="0"/>
        <w:autoSpaceDN w:val="0"/>
        <w:adjustRightInd w:val="0"/>
        <w:spacing w:line="480" w:lineRule="auto"/>
        <w:ind w:firstLine="720"/>
        <w:jc w:val="both"/>
        <w:rPr>
          <w:sz w:val="28"/>
          <w:szCs w:val="28"/>
        </w:rPr>
      </w:pPr>
      <w:r w:rsidRPr="00AA3CB2">
        <w:rPr>
          <w:sz w:val="28"/>
          <w:szCs w:val="28"/>
        </w:rPr>
        <w:t xml:space="preserve">While this confusion is not limited to filing of notices of claims and may also cause issues with service of process, the difference is that in a lawsuit, waivers or acceptance of service are encouraged and there are various rules that allow litigants to seek leave and relief from the </w:t>
      </w:r>
      <w:r w:rsidR="00F8050C">
        <w:rPr>
          <w:sz w:val="28"/>
          <w:szCs w:val="28"/>
        </w:rPr>
        <w:t>c</w:t>
      </w:r>
      <w:r w:rsidRPr="00AA3CB2">
        <w:rPr>
          <w:sz w:val="28"/>
          <w:szCs w:val="28"/>
        </w:rPr>
        <w:t>ourt to extend the time for service and, to seek alternative means of service</w:t>
      </w:r>
      <w:r w:rsidR="00F8050C">
        <w:rPr>
          <w:sz w:val="28"/>
          <w:szCs w:val="28"/>
        </w:rPr>
        <w:t>,</w:t>
      </w:r>
      <w:r w:rsidRPr="00AA3CB2">
        <w:rPr>
          <w:sz w:val="28"/>
          <w:szCs w:val="28"/>
        </w:rPr>
        <w:t xml:space="preserve"> or other relief in law or equity.  With notices of claim, there is no means to seek such relief, and the time to file the claim is only 180 days; otherwise, the claim is barred.  </w:t>
      </w:r>
    </w:p>
    <w:p w14:paraId="55675BD9" w14:textId="77777777" w:rsidR="00652BE5" w:rsidRPr="00AA3CB2" w:rsidRDefault="00652BE5" w:rsidP="00652BE5">
      <w:pPr>
        <w:pStyle w:val="ListParagraph"/>
        <w:autoSpaceDE w:val="0"/>
        <w:autoSpaceDN w:val="0"/>
        <w:adjustRightInd w:val="0"/>
        <w:spacing w:line="240" w:lineRule="auto"/>
        <w:ind w:hanging="720"/>
        <w:jc w:val="both"/>
        <w:rPr>
          <w:sz w:val="28"/>
          <w:szCs w:val="28"/>
        </w:rPr>
      </w:pPr>
      <w:r w:rsidRPr="00AA3CB2">
        <w:rPr>
          <w:b/>
          <w:bCs/>
          <w:sz w:val="28"/>
          <w:szCs w:val="28"/>
        </w:rPr>
        <w:t>III</w:t>
      </w:r>
      <w:proofErr w:type="gramStart"/>
      <w:r w:rsidRPr="00AA3CB2">
        <w:rPr>
          <w:b/>
          <w:bCs/>
          <w:sz w:val="28"/>
          <w:szCs w:val="28"/>
        </w:rPr>
        <w:t xml:space="preserve">. </w:t>
      </w:r>
      <w:r w:rsidRPr="00AA3CB2">
        <w:rPr>
          <w:b/>
          <w:bCs/>
          <w:sz w:val="28"/>
          <w:szCs w:val="28"/>
        </w:rPr>
        <w:tab/>
        <w:t>ISSUES</w:t>
      </w:r>
      <w:proofErr w:type="gramEnd"/>
      <w:r w:rsidRPr="00AA3CB2">
        <w:rPr>
          <w:b/>
          <w:bCs/>
          <w:sz w:val="28"/>
          <w:szCs w:val="28"/>
        </w:rPr>
        <w:t xml:space="preserve"> WITH FILING A NOTICE OF CLAIM AGAINST INDIVIDUAL PUBLIC EMPLOYEES. </w:t>
      </w:r>
    </w:p>
    <w:p w14:paraId="793B7CCE" w14:textId="77777777" w:rsidR="00652BE5" w:rsidRPr="00AA3CB2" w:rsidRDefault="00652BE5" w:rsidP="00652BE5">
      <w:pPr>
        <w:pStyle w:val="ListParagraph"/>
        <w:autoSpaceDE w:val="0"/>
        <w:autoSpaceDN w:val="0"/>
        <w:adjustRightInd w:val="0"/>
        <w:spacing w:line="240" w:lineRule="auto"/>
        <w:ind w:left="1080"/>
        <w:jc w:val="both"/>
        <w:rPr>
          <w:sz w:val="28"/>
          <w:szCs w:val="28"/>
        </w:rPr>
      </w:pPr>
    </w:p>
    <w:p w14:paraId="7A2FD707" w14:textId="77777777" w:rsidR="00652BE5" w:rsidRPr="00AA3CB2" w:rsidRDefault="00652BE5" w:rsidP="00652BE5">
      <w:pPr>
        <w:spacing w:line="480" w:lineRule="auto"/>
        <w:ind w:firstLine="720"/>
        <w:jc w:val="both"/>
        <w:rPr>
          <w:sz w:val="28"/>
          <w:szCs w:val="28"/>
        </w:rPr>
      </w:pPr>
      <w:r w:rsidRPr="00AA3CB2">
        <w:rPr>
          <w:sz w:val="28"/>
          <w:szCs w:val="28"/>
        </w:rPr>
        <w:t xml:space="preserve">The Petition also raises challenges with filing notices of claims against public employees individually.  As the Petition points out, the personal residences of public </w:t>
      </w:r>
      <w:r w:rsidRPr="00AA3CB2">
        <w:rPr>
          <w:sz w:val="28"/>
          <w:szCs w:val="28"/>
        </w:rPr>
        <w:lastRenderedPageBreak/>
        <w:t xml:space="preserve">employees are often redacted and protected, making it difficult to locate and individually deliver notices of claims to public employees. However, there is a strong public policy reason to protect the personal information and residences of public employees.  While the problem of locating and filing notices of claim with individual public employees also extends to service of process of lawsuits, once again the difference is that claimants have no recourse or ability to seek relief from a court in filing the notice of claim, and strict compliance to the notice of claim statute is required, otherwise the claim is barred. </w:t>
      </w:r>
    </w:p>
    <w:p w14:paraId="185932D6" w14:textId="0857C9DD" w:rsidR="00652BE5" w:rsidRPr="00AA3CB2" w:rsidRDefault="00652BE5" w:rsidP="00652BE5">
      <w:pPr>
        <w:spacing w:line="480" w:lineRule="auto"/>
        <w:ind w:firstLine="720"/>
        <w:jc w:val="both"/>
        <w:rPr>
          <w:sz w:val="28"/>
          <w:szCs w:val="28"/>
        </w:rPr>
      </w:pPr>
      <w:r w:rsidRPr="00AA3CB2">
        <w:rPr>
          <w:sz w:val="28"/>
          <w:szCs w:val="28"/>
        </w:rPr>
        <w:t xml:space="preserve">On the other hand, public employees, as individuals, have a right to delivery of a notice of claim </w:t>
      </w:r>
      <w:proofErr w:type="gramStart"/>
      <w:r w:rsidRPr="00AA3CB2">
        <w:rPr>
          <w:sz w:val="28"/>
          <w:szCs w:val="28"/>
        </w:rPr>
        <w:t>per</w:t>
      </w:r>
      <w:proofErr w:type="gramEnd"/>
      <w:r w:rsidRPr="00AA3CB2">
        <w:rPr>
          <w:sz w:val="28"/>
          <w:szCs w:val="28"/>
        </w:rPr>
        <w:t xml:space="preserve"> the notice of claim statute.  While the only consequence of not responding to a notice of claim is that the claim is deemed denied after 60 days (A.R.S. § 12-821.01(E)), the </w:t>
      </w:r>
      <w:r w:rsidR="00F8050C">
        <w:rPr>
          <w:sz w:val="28"/>
          <w:szCs w:val="28"/>
        </w:rPr>
        <w:t>L</w:t>
      </w:r>
      <w:r w:rsidRPr="00AA3CB2">
        <w:rPr>
          <w:sz w:val="28"/>
          <w:szCs w:val="28"/>
        </w:rPr>
        <w:t xml:space="preserve">egislature ostensibly believed individual public employees should receive notice of the claim prior to the denial or filing of a lawsuit.  It would be unfair to deprive public employees of the right to direct </w:t>
      </w:r>
      <w:r w:rsidR="001D6AD5">
        <w:rPr>
          <w:sz w:val="28"/>
          <w:szCs w:val="28"/>
        </w:rPr>
        <w:t xml:space="preserve">receipt of a </w:t>
      </w:r>
      <w:r w:rsidRPr="00AA3CB2">
        <w:rPr>
          <w:sz w:val="28"/>
          <w:szCs w:val="28"/>
        </w:rPr>
        <w:t xml:space="preserve">notice of a claim brought against </w:t>
      </w:r>
      <w:r w:rsidR="00313B00" w:rsidRPr="00AA3CB2">
        <w:rPr>
          <w:sz w:val="28"/>
          <w:szCs w:val="28"/>
        </w:rPr>
        <w:t>them and</w:t>
      </w:r>
      <w:r w:rsidR="001D6AD5">
        <w:rPr>
          <w:sz w:val="28"/>
          <w:szCs w:val="28"/>
        </w:rPr>
        <w:t xml:space="preserve"> </w:t>
      </w:r>
      <w:r w:rsidRPr="00AA3CB2">
        <w:rPr>
          <w:sz w:val="28"/>
          <w:szCs w:val="28"/>
        </w:rPr>
        <w:t xml:space="preserve">instead </w:t>
      </w:r>
      <w:r w:rsidR="001D6AD5">
        <w:rPr>
          <w:sz w:val="28"/>
          <w:szCs w:val="28"/>
        </w:rPr>
        <w:t xml:space="preserve">require </w:t>
      </w:r>
      <w:r w:rsidRPr="00AA3CB2">
        <w:rPr>
          <w:sz w:val="28"/>
          <w:szCs w:val="28"/>
        </w:rPr>
        <w:t>rel</w:t>
      </w:r>
      <w:r w:rsidR="001D6AD5">
        <w:rPr>
          <w:sz w:val="28"/>
          <w:szCs w:val="28"/>
        </w:rPr>
        <w:t>iance</w:t>
      </w:r>
      <w:r w:rsidRPr="00AA3CB2">
        <w:rPr>
          <w:sz w:val="28"/>
          <w:szCs w:val="28"/>
        </w:rPr>
        <w:t xml:space="preserve"> on the employer to deliver notice.</w:t>
      </w:r>
    </w:p>
    <w:p w14:paraId="310008FF" w14:textId="0ECE1BCF" w:rsidR="00652BE5" w:rsidRPr="00AA3CB2" w:rsidRDefault="00652BE5" w:rsidP="00652BE5">
      <w:pPr>
        <w:spacing w:line="480" w:lineRule="auto"/>
        <w:ind w:firstLine="720"/>
        <w:jc w:val="both"/>
        <w:rPr>
          <w:sz w:val="28"/>
          <w:szCs w:val="28"/>
        </w:rPr>
      </w:pPr>
      <w:r w:rsidRPr="00AA3CB2">
        <w:rPr>
          <w:sz w:val="28"/>
          <w:szCs w:val="28"/>
        </w:rPr>
        <w:t xml:space="preserve">Practically speaking, in tort claims, failure to provide a public employee acting in the course and scope of employment with a compliant notice of claim has no effect on the claim against the employer. This Court held in </w:t>
      </w:r>
      <w:r w:rsidRPr="00AA3CB2">
        <w:rPr>
          <w:i/>
          <w:iCs/>
          <w:sz w:val="28"/>
          <w:szCs w:val="28"/>
        </w:rPr>
        <w:t>Laurence v. Salt River Project</w:t>
      </w:r>
      <w:r w:rsidRPr="00AA3CB2">
        <w:rPr>
          <w:sz w:val="28"/>
          <w:szCs w:val="28"/>
        </w:rPr>
        <w:t xml:space="preserve">, 255 Ariz. 95, 97 ¶ 16 (2023) that dismissal of a claim against an </w:t>
      </w:r>
      <w:r w:rsidRPr="00AA3CB2">
        <w:rPr>
          <w:sz w:val="28"/>
          <w:szCs w:val="28"/>
        </w:rPr>
        <w:lastRenderedPageBreak/>
        <w:t xml:space="preserve">employee for reasons unrelated to a claim’s merits does not foreclose a respondeat superior claim against the employer. Thus, in </w:t>
      </w:r>
      <w:r w:rsidRPr="00AA3CB2">
        <w:rPr>
          <w:i/>
          <w:iCs/>
          <w:sz w:val="28"/>
          <w:szCs w:val="28"/>
        </w:rPr>
        <w:t>Laurence</w:t>
      </w:r>
      <w:r w:rsidRPr="00AA3CB2">
        <w:rPr>
          <w:sz w:val="28"/>
          <w:szCs w:val="28"/>
        </w:rPr>
        <w:t xml:space="preserve">, the dismissal of the claim against the employee due to the failure to file a timely notice of claim against him did not bar the respondeat superior claim against the employer (who timely received the notice of claim).  </w:t>
      </w:r>
      <w:r w:rsidRPr="00AA3CB2">
        <w:rPr>
          <w:i/>
          <w:iCs/>
          <w:sz w:val="28"/>
          <w:szCs w:val="28"/>
        </w:rPr>
        <w:t>See also Banner Univ. Med. Ctr. Tucson Campus, LLC v. Gordon</w:t>
      </w:r>
      <w:r w:rsidRPr="00AA3CB2">
        <w:rPr>
          <w:sz w:val="28"/>
          <w:szCs w:val="28"/>
        </w:rPr>
        <w:t xml:space="preserve">, 252 Ariz. 264 (2022) (vicarious liability claim survived against the hospital despite dismissal of individual doctors for failure to file notice of claim). Thus, even if the claim is barred against the public employee, a claimant can proceed to file against the governmental entity for vicarious liability.  Further, if a public employee was not acting within the course and scope of employment, then a notice of claim is not required.  </w:t>
      </w:r>
      <w:r w:rsidR="001D6AD5" w:rsidRPr="00313B00">
        <w:rPr>
          <w:i/>
          <w:iCs/>
          <w:sz w:val="28"/>
          <w:szCs w:val="28"/>
        </w:rPr>
        <w:t xml:space="preserve">See </w:t>
      </w:r>
      <w:r w:rsidRPr="00AA3CB2">
        <w:rPr>
          <w:i/>
          <w:iCs/>
          <w:sz w:val="28"/>
          <w:szCs w:val="28"/>
        </w:rPr>
        <w:t>Crum v. Superior Court</w:t>
      </w:r>
      <w:r w:rsidRPr="00AA3CB2">
        <w:rPr>
          <w:sz w:val="28"/>
          <w:szCs w:val="28"/>
        </w:rPr>
        <w:t>, 186 Ariz. 351 (App. 1996).  In addition, no notices of claim are required if a claim is purely for declaratory or injunctive relief.</w:t>
      </w:r>
      <w:r w:rsidR="001D6AD5">
        <w:rPr>
          <w:sz w:val="28"/>
          <w:szCs w:val="28"/>
        </w:rPr>
        <w:t xml:space="preserve">  </w:t>
      </w:r>
      <w:r w:rsidR="001D6AD5" w:rsidRPr="00313B00">
        <w:rPr>
          <w:i/>
          <w:iCs/>
          <w:color w:val="1F1F1F"/>
          <w:sz w:val="28"/>
          <w:szCs w:val="28"/>
        </w:rPr>
        <w:t>See</w:t>
      </w:r>
      <w:r w:rsidR="001D6AD5" w:rsidRPr="00313B00">
        <w:rPr>
          <w:color w:val="1F1F1F"/>
          <w:sz w:val="28"/>
          <w:szCs w:val="28"/>
        </w:rPr>
        <w:t xml:space="preserve"> </w:t>
      </w:r>
      <w:hyperlink r:id="rId9" w:anchor="co_pp_sp_4645_222" w:history="1">
        <w:r w:rsidR="001D6AD5" w:rsidRPr="00313B00">
          <w:rPr>
            <w:i/>
            <w:iCs/>
            <w:color w:val="006FC4"/>
            <w:sz w:val="28"/>
            <w:szCs w:val="28"/>
            <w:u w:val="single"/>
          </w:rPr>
          <w:t>State v. Mabery Ranch, Co.</w:t>
        </w:r>
        <w:r w:rsidR="001D6AD5" w:rsidRPr="00313B00">
          <w:rPr>
            <w:color w:val="006FC4"/>
            <w:sz w:val="28"/>
            <w:szCs w:val="28"/>
            <w:u w:val="single"/>
          </w:rPr>
          <w:t>, 216 Ariz. 233, 244–45, ¶¶ 47–53, 165 P.3d 211, 222–23 (App. 2007)</w:t>
        </w:r>
      </w:hyperlink>
      <w:r w:rsidR="001D6AD5" w:rsidRPr="00313B00">
        <w:rPr>
          <w:color w:val="1F1F1F"/>
          <w:sz w:val="28"/>
          <w:szCs w:val="28"/>
        </w:rPr>
        <w:t>.</w:t>
      </w:r>
      <w:r w:rsidRPr="00AA3CB2">
        <w:rPr>
          <w:sz w:val="28"/>
          <w:szCs w:val="28"/>
        </w:rPr>
        <w:t xml:space="preserve"> Thus, given that dismissal of the employee does not extinguish the respondeat superior claim against the employer, and that no notice is required when the employee acted outside the course and scope of employment, the claimants may still proceed on these types of claims.</w:t>
      </w:r>
    </w:p>
    <w:p w14:paraId="6965DC86" w14:textId="77777777" w:rsidR="00652BE5" w:rsidRPr="00AA3CB2" w:rsidRDefault="00652BE5" w:rsidP="00652BE5">
      <w:pPr>
        <w:spacing w:line="240" w:lineRule="auto"/>
        <w:ind w:left="720" w:hanging="720"/>
        <w:jc w:val="both"/>
        <w:rPr>
          <w:sz w:val="28"/>
          <w:szCs w:val="28"/>
        </w:rPr>
      </w:pPr>
      <w:r w:rsidRPr="00AA3CB2">
        <w:rPr>
          <w:b/>
          <w:bCs/>
          <w:sz w:val="28"/>
          <w:szCs w:val="28"/>
        </w:rPr>
        <w:t>IV</w:t>
      </w:r>
      <w:proofErr w:type="gramStart"/>
      <w:r w:rsidRPr="00AA3CB2">
        <w:rPr>
          <w:b/>
          <w:bCs/>
          <w:sz w:val="28"/>
          <w:szCs w:val="28"/>
        </w:rPr>
        <w:t xml:space="preserve">. </w:t>
      </w:r>
      <w:r w:rsidRPr="00AA3CB2">
        <w:rPr>
          <w:b/>
          <w:bCs/>
          <w:sz w:val="28"/>
          <w:szCs w:val="28"/>
        </w:rPr>
        <w:tab/>
        <w:t>THE</w:t>
      </w:r>
      <w:proofErr w:type="gramEnd"/>
      <w:r w:rsidRPr="00AA3CB2">
        <w:rPr>
          <w:b/>
          <w:bCs/>
          <w:sz w:val="28"/>
          <w:szCs w:val="28"/>
        </w:rPr>
        <w:t xml:space="preserve"> PROPOSED RULE CHANGES IN THE PETITION DO NOT RESOLVE THE ISSUES AND ARE IMPRACTICAL. </w:t>
      </w:r>
    </w:p>
    <w:p w14:paraId="03CA023C" w14:textId="77777777" w:rsidR="00652BE5" w:rsidRPr="00AA3CB2" w:rsidRDefault="00652BE5" w:rsidP="00652BE5">
      <w:pPr>
        <w:pStyle w:val="ListParagraph"/>
        <w:autoSpaceDE w:val="0"/>
        <w:autoSpaceDN w:val="0"/>
        <w:adjustRightInd w:val="0"/>
        <w:spacing w:line="240" w:lineRule="auto"/>
        <w:ind w:left="1080"/>
        <w:jc w:val="both"/>
        <w:rPr>
          <w:sz w:val="28"/>
          <w:szCs w:val="28"/>
        </w:rPr>
      </w:pPr>
    </w:p>
    <w:p w14:paraId="77C46D71" w14:textId="77777777"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lastRenderedPageBreak/>
        <w:t>The Petition proposes a new Rule 4.3 applicable to “service” of notices of claim only.  The proposals are problematic for a variety of reasons and do not necessarily resolve the issues.</w:t>
      </w:r>
    </w:p>
    <w:p w14:paraId="45A78A5A" w14:textId="77777777"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  Proposed Rule 4.3(c) allowing for service or filing of a notice of claim on a government entity to constitute service or filing on its employees ignores the legislative requirement in A.R.S. § 12-821.01 that notice must be provided to individual public employees and ignores the potential due process implications of failing to provide actual notice to individuals.  </w:t>
      </w:r>
    </w:p>
    <w:p w14:paraId="477373BD" w14:textId="77777777"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 xml:space="preserve">Proposed Rule 4.3(d) requiring public entities and public employees to self-publish instructions on how to “serve” or “file” a notice of claim would likely require legislation or mandate, which cannot be done through the Rules of Civil Procedure. </w:t>
      </w:r>
    </w:p>
    <w:p w14:paraId="332BF9B8" w14:textId="6DAEB7C6" w:rsidR="00652BE5" w:rsidRPr="00AA3CB2" w:rsidRDefault="00652BE5" w:rsidP="00652BE5">
      <w:pPr>
        <w:autoSpaceDE w:val="0"/>
        <w:autoSpaceDN w:val="0"/>
        <w:adjustRightInd w:val="0"/>
        <w:spacing w:line="480" w:lineRule="auto"/>
        <w:ind w:firstLine="720"/>
        <w:jc w:val="both"/>
        <w:rPr>
          <w:sz w:val="28"/>
          <w:szCs w:val="28"/>
        </w:rPr>
      </w:pPr>
      <w:r w:rsidRPr="00AA3CB2">
        <w:rPr>
          <w:sz w:val="28"/>
          <w:szCs w:val="28"/>
        </w:rPr>
        <w:t>Proposed Rule 4.3(</w:t>
      </w:r>
      <w:r w:rsidR="001D6AD5">
        <w:rPr>
          <w:sz w:val="28"/>
          <w:szCs w:val="28"/>
        </w:rPr>
        <w:t>e</w:t>
      </w:r>
      <w:r w:rsidRPr="00AA3CB2">
        <w:rPr>
          <w:sz w:val="28"/>
          <w:szCs w:val="28"/>
        </w:rPr>
        <w:t>) requiring the administrative director of the Arizona Supreme Court to maintain a directory will entail a significant amount of work to keep up to date and again requires public entities to provide such information.  Designating the attorney general as the default individual who can accept service or to whom the filing of a notice of claim may be directed would likely require a legislative change to the statute.  It would also put a huge burden on the Attorney General’s Office to track and disseminate thousands of notices of claim to the appropriate governmental entity.</w:t>
      </w:r>
    </w:p>
    <w:p w14:paraId="3917DC70" w14:textId="657253E1" w:rsidR="00652BE5" w:rsidRPr="00AA3CB2" w:rsidRDefault="00652BE5" w:rsidP="00652BE5">
      <w:pPr>
        <w:autoSpaceDE w:val="0"/>
        <w:autoSpaceDN w:val="0"/>
        <w:adjustRightInd w:val="0"/>
        <w:spacing w:line="480" w:lineRule="auto"/>
        <w:jc w:val="both"/>
        <w:rPr>
          <w:sz w:val="28"/>
          <w:szCs w:val="28"/>
        </w:rPr>
      </w:pPr>
      <w:r w:rsidRPr="00AA3CB2">
        <w:rPr>
          <w:sz w:val="28"/>
          <w:szCs w:val="28"/>
        </w:rPr>
        <w:lastRenderedPageBreak/>
        <w:tab/>
        <w:t xml:space="preserve">Therefore, while the Petition raises legitimate issues regarding filing notices of claim, specifically the identification of the “person or persons authorized to accept service” for governmental entities and difficulties in delivering notice of claims to individual public employees, </w:t>
      </w:r>
      <w:r w:rsidR="00313B00">
        <w:rPr>
          <w:sz w:val="28"/>
          <w:szCs w:val="28"/>
        </w:rPr>
        <w:t xml:space="preserve">Petitioner’s </w:t>
      </w:r>
      <w:r w:rsidR="00313B00" w:rsidRPr="00AA3CB2">
        <w:rPr>
          <w:sz w:val="28"/>
          <w:szCs w:val="28"/>
        </w:rPr>
        <w:t>proposals</w:t>
      </w:r>
      <w:r w:rsidRPr="00AA3CB2">
        <w:rPr>
          <w:sz w:val="28"/>
          <w:szCs w:val="28"/>
        </w:rPr>
        <w:t xml:space="preserve"> are not workable.  Thus, the State Bar opposes the Petition’s proposed amendments. However, the Bar respectfully asks the Supreme Court to create a task force to further investigate the issues and determine whether there are other possible solutions. </w:t>
      </w:r>
    </w:p>
    <w:p w14:paraId="6370914C" w14:textId="77777777" w:rsidR="00652BE5" w:rsidRPr="00AA3CB2" w:rsidRDefault="00652BE5" w:rsidP="00652BE5">
      <w:pPr>
        <w:pStyle w:val="Body"/>
        <w:widowControl w:val="0"/>
        <w:spacing w:line="480" w:lineRule="auto"/>
        <w:ind w:left="180" w:hanging="180"/>
        <w:jc w:val="both"/>
        <w:rPr>
          <w:rStyle w:val="BodyTextChar"/>
          <w:b/>
          <w:sz w:val="28"/>
          <w:szCs w:val="28"/>
        </w:rPr>
      </w:pPr>
      <w:r w:rsidRPr="00AA3CB2">
        <w:rPr>
          <w:rStyle w:val="BodyTextChar"/>
          <w:b/>
          <w:sz w:val="28"/>
          <w:szCs w:val="28"/>
        </w:rPr>
        <w:t>III.</w:t>
      </w:r>
      <w:r w:rsidRPr="00AA3CB2">
        <w:rPr>
          <w:rStyle w:val="BodyTextChar"/>
          <w:b/>
          <w:sz w:val="28"/>
          <w:szCs w:val="28"/>
        </w:rPr>
        <w:tab/>
        <w:t>CONCLUSION.</w:t>
      </w:r>
    </w:p>
    <w:p w14:paraId="7082FDED" w14:textId="39E4CDC8" w:rsidR="00652BE5" w:rsidRPr="00AA3CB2" w:rsidRDefault="00652BE5" w:rsidP="00652BE5">
      <w:pPr>
        <w:pStyle w:val="Body"/>
        <w:widowControl w:val="0"/>
        <w:tabs>
          <w:tab w:val="left" w:pos="720"/>
        </w:tabs>
        <w:spacing w:line="480" w:lineRule="auto"/>
        <w:ind w:firstLine="0"/>
        <w:jc w:val="both"/>
        <w:rPr>
          <w:sz w:val="28"/>
          <w:szCs w:val="28"/>
        </w:rPr>
      </w:pPr>
      <w:r w:rsidRPr="00AA3CB2">
        <w:rPr>
          <w:sz w:val="28"/>
          <w:szCs w:val="28"/>
        </w:rPr>
        <w:tab/>
        <w:t xml:space="preserve">The State Bar of Arizona opposes the Petition to Amend Arizona Rules of Civil Procedure 4.1, 4.2 and 5, and adding Rule 4.3 regarding filing notices of claim with the person or persons authorized to accept service pursuant to A.R.S. § 12-821.01(A).  However, the State Bar recognizes that there are legitimate issues and concerns that affect the rights and interest of public entities, public employees, and claimants. The State Bar requests that the Court form a </w:t>
      </w:r>
      <w:r w:rsidR="00E06153">
        <w:rPr>
          <w:sz w:val="28"/>
          <w:szCs w:val="28"/>
        </w:rPr>
        <w:t>T</w:t>
      </w:r>
      <w:r w:rsidRPr="00AA3CB2">
        <w:rPr>
          <w:sz w:val="28"/>
          <w:szCs w:val="28"/>
        </w:rPr>
        <w:t xml:space="preserve">ask </w:t>
      </w:r>
      <w:r w:rsidR="00E06153">
        <w:rPr>
          <w:sz w:val="28"/>
          <w:szCs w:val="28"/>
        </w:rPr>
        <w:t>F</w:t>
      </w:r>
      <w:r w:rsidRPr="00AA3CB2">
        <w:rPr>
          <w:sz w:val="28"/>
          <w:szCs w:val="28"/>
        </w:rPr>
        <w:t xml:space="preserve">orce to further investigate the issues and determine whether there are other possible solutions. </w:t>
      </w:r>
    </w:p>
    <w:p w14:paraId="5E147A20" w14:textId="77777777" w:rsidR="00D326F2" w:rsidRPr="001B0910" w:rsidRDefault="00D326F2" w:rsidP="00D326F2">
      <w:pPr>
        <w:pStyle w:val="Body"/>
        <w:widowControl w:val="0"/>
        <w:tabs>
          <w:tab w:val="left" w:pos="720"/>
        </w:tabs>
        <w:ind w:firstLine="0"/>
        <w:rPr>
          <w:sz w:val="28"/>
          <w:szCs w:val="28"/>
        </w:rPr>
      </w:pPr>
      <w:r w:rsidRPr="001B0910">
        <w:rPr>
          <w:sz w:val="28"/>
          <w:szCs w:val="28"/>
        </w:rPr>
        <w:t xml:space="preserve">       RESPECTFULLY SUBMITTED this </w:t>
      </w:r>
      <w:r w:rsidRPr="007728BD">
        <w:rPr>
          <w:sz w:val="28"/>
          <w:szCs w:val="28"/>
          <w:u w:val="single"/>
        </w:rPr>
        <w:t>1</w:t>
      </w:r>
      <w:r w:rsidRPr="007728BD">
        <w:rPr>
          <w:sz w:val="28"/>
          <w:szCs w:val="28"/>
          <w:u w:val="single"/>
          <w:vertAlign w:val="superscript"/>
        </w:rPr>
        <w:t>st</w:t>
      </w:r>
      <w:r>
        <w:rPr>
          <w:sz w:val="28"/>
          <w:szCs w:val="28"/>
        </w:rPr>
        <w:t xml:space="preserve"> </w:t>
      </w:r>
      <w:r w:rsidRPr="001B0910">
        <w:rPr>
          <w:sz w:val="28"/>
          <w:szCs w:val="28"/>
        </w:rPr>
        <w:t>day of</w:t>
      </w:r>
      <w:r>
        <w:rPr>
          <w:sz w:val="28"/>
          <w:szCs w:val="28"/>
        </w:rPr>
        <w:t xml:space="preserve"> </w:t>
      </w:r>
      <w:r w:rsidRPr="007728BD">
        <w:rPr>
          <w:sz w:val="28"/>
          <w:szCs w:val="28"/>
          <w:u w:val="single"/>
        </w:rPr>
        <w:t>May</w:t>
      </w:r>
      <w:r>
        <w:rPr>
          <w:sz w:val="28"/>
          <w:szCs w:val="28"/>
        </w:rPr>
        <w:t>,</w:t>
      </w:r>
      <w:r w:rsidRPr="001B0910">
        <w:rPr>
          <w:sz w:val="28"/>
          <w:szCs w:val="28"/>
        </w:rPr>
        <w:t xml:space="preserve"> 202</w:t>
      </w:r>
      <w:r>
        <w:rPr>
          <w:sz w:val="28"/>
          <w:szCs w:val="28"/>
        </w:rPr>
        <w:t>6</w:t>
      </w:r>
      <w:r w:rsidRPr="001B0910">
        <w:rPr>
          <w:sz w:val="28"/>
          <w:szCs w:val="28"/>
        </w:rPr>
        <w:t>.</w:t>
      </w:r>
    </w:p>
    <w:p w14:paraId="529E0447" w14:textId="77777777" w:rsidR="00D326F2" w:rsidRPr="001B0910" w:rsidRDefault="00D326F2" w:rsidP="00D326F2">
      <w:pPr>
        <w:pStyle w:val="Body"/>
        <w:widowControl w:val="0"/>
        <w:tabs>
          <w:tab w:val="left" w:pos="720"/>
        </w:tabs>
        <w:ind w:firstLine="0"/>
        <w:rPr>
          <w:sz w:val="28"/>
          <w:szCs w:val="28"/>
        </w:rPr>
      </w:pPr>
      <w:r>
        <w:rPr>
          <w:b/>
          <w:noProof/>
          <w:sz w:val="28"/>
          <w:szCs w:val="28"/>
        </w:rPr>
        <w:drawing>
          <wp:anchor distT="0" distB="0" distL="114300" distR="114300" simplePos="0" relativeHeight="251659264" behindDoc="0" locked="0" layoutInCell="1" allowOverlap="1" wp14:anchorId="649FD832" wp14:editId="6335E0EF">
            <wp:simplePos x="0" y="0"/>
            <wp:positionH relativeFrom="column">
              <wp:posOffset>3120390</wp:posOffset>
            </wp:positionH>
            <wp:positionV relativeFrom="paragraph">
              <wp:posOffset>108585</wp:posOffset>
            </wp:positionV>
            <wp:extent cx="2022475" cy="493395"/>
            <wp:effectExtent l="0" t="0" r="0" b="0"/>
            <wp:wrapSquare wrapText="bothSides"/>
            <wp:docPr id="5169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247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16EBCA" w14:textId="77777777" w:rsidR="00D326F2" w:rsidRPr="001B0910" w:rsidRDefault="00D326F2" w:rsidP="00D326F2">
      <w:pPr>
        <w:pStyle w:val="Body"/>
        <w:widowControl w:val="0"/>
        <w:tabs>
          <w:tab w:val="left" w:pos="720"/>
        </w:tabs>
        <w:ind w:firstLine="0"/>
        <w:rPr>
          <w:sz w:val="28"/>
          <w:szCs w:val="28"/>
        </w:rPr>
      </w:pPr>
    </w:p>
    <w:p w14:paraId="71606F9C" w14:textId="77777777" w:rsidR="00D326F2" w:rsidRPr="001B0910" w:rsidRDefault="00D326F2" w:rsidP="00D326F2">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1BA69B9A" w14:textId="77777777" w:rsidR="00D326F2" w:rsidRPr="001B0910" w:rsidRDefault="00D326F2" w:rsidP="00D326F2">
      <w:pPr>
        <w:pStyle w:val="PleadingSignature"/>
        <w:keepNext w:val="0"/>
        <w:keepLines w:val="0"/>
        <w:spacing w:line="240" w:lineRule="auto"/>
        <w:ind w:left="5070"/>
        <w:rPr>
          <w:sz w:val="28"/>
          <w:szCs w:val="28"/>
        </w:rPr>
      </w:pPr>
      <w:r w:rsidRPr="001B0910">
        <w:rPr>
          <w:sz w:val="28"/>
          <w:szCs w:val="28"/>
        </w:rPr>
        <w:t>General Counsel</w:t>
      </w:r>
    </w:p>
    <w:p w14:paraId="51880538" w14:textId="77777777" w:rsidR="00D326F2" w:rsidRPr="001B0910" w:rsidRDefault="00D326F2" w:rsidP="00D326F2">
      <w:pPr>
        <w:widowControl w:val="0"/>
        <w:spacing w:line="240" w:lineRule="auto"/>
        <w:ind w:right="4140"/>
        <w:rPr>
          <w:sz w:val="28"/>
          <w:szCs w:val="28"/>
        </w:rPr>
      </w:pPr>
    </w:p>
    <w:p w14:paraId="6A3D250F" w14:textId="77777777" w:rsidR="00D326F2" w:rsidRPr="001B0910" w:rsidRDefault="00D326F2" w:rsidP="00D326F2">
      <w:pPr>
        <w:widowControl w:val="0"/>
        <w:spacing w:line="240" w:lineRule="auto"/>
        <w:ind w:right="4140"/>
        <w:rPr>
          <w:sz w:val="28"/>
          <w:szCs w:val="28"/>
        </w:rPr>
      </w:pPr>
      <w:r w:rsidRPr="001B0910">
        <w:rPr>
          <w:sz w:val="28"/>
          <w:szCs w:val="28"/>
        </w:rPr>
        <w:t>Electronic copy filed with the</w:t>
      </w:r>
    </w:p>
    <w:p w14:paraId="46C3A9FC" w14:textId="77777777" w:rsidR="00D326F2" w:rsidRPr="001B0910" w:rsidRDefault="00D326F2" w:rsidP="00D326F2">
      <w:pPr>
        <w:spacing w:line="240" w:lineRule="auto"/>
        <w:ind w:right="4140"/>
        <w:rPr>
          <w:sz w:val="28"/>
          <w:szCs w:val="28"/>
        </w:rPr>
      </w:pPr>
      <w:r w:rsidRPr="001B0910">
        <w:rPr>
          <w:sz w:val="28"/>
          <w:szCs w:val="28"/>
        </w:rPr>
        <w:lastRenderedPageBreak/>
        <w:t>Clerk of the Supreme Court of Arizona</w:t>
      </w:r>
    </w:p>
    <w:p w14:paraId="5B5CF3D9" w14:textId="77777777" w:rsidR="00D326F2" w:rsidRPr="001B0910" w:rsidRDefault="00D326F2" w:rsidP="00D326F2">
      <w:pPr>
        <w:tabs>
          <w:tab w:val="left" w:pos="4836"/>
        </w:tabs>
        <w:spacing w:line="240" w:lineRule="auto"/>
        <w:ind w:right="3870"/>
        <w:rPr>
          <w:sz w:val="28"/>
          <w:szCs w:val="28"/>
        </w:rPr>
      </w:pPr>
      <w:r w:rsidRPr="001B0910">
        <w:rPr>
          <w:sz w:val="28"/>
          <w:szCs w:val="28"/>
        </w:rPr>
        <w:t xml:space="preserve">this </w:t>
      </w:r>
      <w:r w:rsidRPr="007728BD">
        <w:rPr>
          <w:sz w:val="28"/>
          <w:szCs w:val="28"/>
          <w:u w:val="single"/>
        </w:rPr>
        <w:t>1</w:t>
      </w:r>
      <w:proofErr w:type="gramStart"/>
      <w:r w:rsidRPr="007728BD">
        <w:rPr>
          <w:sz w:val="28"/>
          <w:szCs w:val="28"/>
          <w:u w:val="single"/>
          <w:vertAlign w:val="superscript"/>
        </w:rPr>
        <w:t>st</w:t>
      </w:r>
      <w:r w:rsidRPr="007728BD">
        <w:rPr>
          <w:sz w:val="28"/>
          <w:szCs w:val="28"/>
          <w:u w:val="single"/>
        </w:rPr>
        <w:t xml:space="preserve"> </w:t>
      </w:r>
      <w:r w:rsidRPr="001B0910">
        <w:rPr>
          <w:sz w:val="28"/>
          <w:szCs w:val="28"/>
        </w:rPr>
        <w:t xml:space="preserve"> day</w:t>
      </w:r>
      <w:proofErr w:type="gramEnd"/>
      <w:r w:rsidRPr="001B0910">
        <w:rPr>
          <w:sz w:val="28"/>
          <w:szCs w:val="28"/>
        </w:rPr>
        <w:t xml:space="preserve"> of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1803BABB" w14:textId="77777777" w:rsidR="00D326F2" w:rsidRPr="001B0910" w:rsidRDefault="00D326F2" w:rsidP="00D326F2">
      <w:pPr>
        <w:spacing w:line="240" w:lineRule="auto"/>
        <w:ind w:right="4572"/>
        <w:rPr>
          <w:sz w:val="28"/>
          <w:szCs w:val="28"/>
        </w:rPr>
      </w:pPr>
    </w:p>
    <w:p w14:paraId="4A07E8A6" w14:textId="01A97CD7" w:rsidR="00052372" w:rsidRPr="001B0910" w:rsidRDefault="00D326F2" w:rsidP="00D326F2">
      <w:pPr>
        <w:spacing w:line="240" w:lineRule="auto"/>
        <w:ind w:right="4572"/>
        <w:rPr>
          <w:sz w:val="28"/>
          <w:szCs w:val="28"/>
        </w:rPr>
      </w:pPr>
      <w:r w:rsidRPr="001B0910">
        <w:rPr>
          <w:sz w:val="28"/>
          <w:szCs w:val="28"/>
        </w:rPr>
        <w:t>by:</w:t>
      </w:r>
      <w:r w:rsidRPr="007728BD">
        <w:rPr>
          <w:sz w:val="28"/>
          <w:szCs w:val="28"/>
          <w:u w:val="single"/>
        </w:rPr>
        <w:t xml:space="preserve"> </w:t>
      </w:r>
      <w:proofErr w:type="spellStart"/>
      <w:r w:rsidRPr="007728BD">
        <w:rPr>
          <w:sz w:val="28"/>
          <w:szCs w:val="28"/>
          <w:u w:val="single"/>
        </w:rPr>
        <w:t>PSeguin</w:t>
      </w:r>
      <w:proofErr w:type="spellEnd"/>
    </w:p>
    <w:sectPr w:rsidR="00052372" w:rsidRPr="001B0910" w:rsidSect="0090574C">
      <w:headerReference w:type="default" r:id="rId11"/>
      <w:footerReference w:type="even" r:id="rId12"/>
      <w:footerReference w:type="defaul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88D7" w14:textId="77777777" w:rsidR="00444C0C" w:rsidRDefault="00444C0C">
      <w:r>
        <w:separator/>
      </w:r>
    </w:p>
  </w:endnote>
  <w:endnote w:type="continuationSeparator" w:id="0">
    <w:p w14:paraId="62190FF2" w14:textId="77777777" w:rsidR="00444C0C" w:rsidRDefault="0044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28B9" w14:textId="77777777" w:rsidR="00444C0C" w:rsidRDefault="00444C0C">
      <w:r>
        <w:separator/>
      </w:r>
    </w:p>
  </w:footnote>
  <w:footnote w:type="continuationSeparator" w:id="0">
    <w:p w14:paraId="28625205" w14:textId="77777777" w:rsidR="00444C0C" w:rsidRDefault="0044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2F93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3AF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8012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55A7"/>
    <w:rsid w:val="000410B3"/>
    <w:rsid w:val="00043D4D"/>
    <w:rsid w:val="00052372"/>
    <w:rsid w:val="000666D1"/>
    <w:rsid w:val="0008003D"/>
    <w:rsid w:val="000917C0"/>
    <w:rsid w:val="000A1D6B"/>
    <w:rsid w:val="000C48A9"/>
    <w:rsid w:val="000F7A7F"/>
    <w:rsid w:val="000F7C13"/>
    <w:rsid w:val="0012326F"/>
    <w:rsid w:val="00135326"/>
    <w:rsid w:val="00136236"/>
    <w:rsid w:val="0017006B"/>
    <w:rsid w:val="001A02F2"/>
    <w:rsid w:val="001A2520"/>
    <w:rsid w:val="001B0910"/>
    <w:rsid w:val="001C3759"/>
    <w:rsid w:val="001D6AD5"/>
    <w:rsid w:val="001E0F34"/>
    <w:rsid w:val="001F591C"/>
    <w:rsid w:val="00205EA8"/>
    <w:rsid w:val="00207336"/>
    <w:rsid w:val="00214C6C"/>
    <w:rsid w:val="00235756"/>
    <w:rsid w:val="00267537"/>
    <w:rsid w:val="00274D6A"/>
    <w:rsid w:val="002A0417"/>
    <w:rsid w:val="002F6EE0"/>
    <w:rsid w:val="00313B00"/>
    <w:rsid w:val="00334B42"/>
    <w:rsid w:val="00352347"/>
    <w:rsid w:val="003566D6"/>
    <w:rsid w:val="00357F4D"/>
    <w:rsid w:val="003617D1"/>
    <w:rsid w:val="00377199"/>
    <w:rsid w:val="00382333"/>
    <w:rsid w:val="003A28AC"/>
    <w:rsid w:val="003D4FF5"/>
    <w:rsid w:val="00407E2D"/>
    <w:rsid w:val="004331B2"/>
    <w:rsid w:val="00440E4C"/>
    <w:rsid w:val="00444C0C"/>
    <w:rsid w:val="004520E4"/>
    <w:rsid w:val="00463734"/>
    <w:rsid w:val="00494BDF"/>
    <w:rsid w:val="004B4A75"/>
    <w:rsid w:val="004C3AE3"/>
    <w:rsid w:val="004D29EA"/>
    <w:rsid w:val="004F1459"/>
    <w:rsid w:val="00504E1E"/>
    <w:rsid w:val="00506859"/>
    <w:rsid w:val="00520F93"/>
    <w:rsid w:val="00526E19"/>
    <w:rsid w:val="005614F7"/>
    <w:rsid w:val="00566856"/>
    <w:rsid w:val="0057403A"/>
    <w:rsid w:val="005845AE"/>
    <w:rsid w:val="005A21B0"/>
    <w:rsid w:val="005B5161"/>
    <w:rsid w:val="005D6AD4"/>
    <w:rsid w:val="00622138"/>
    <w:rsid w:val="006338C1"/>
    <w:rsid w:val="00636F5E"/>
    <w:rsid w:val="00652BE5"/>
    <w:rsid w:val="00665CCF"/>
    <w:rsid w:val="006666D1"/>
    <w:rsid w:val="006721EC"/>
    <w:rsid w:val="006766BF"/>
    <w:rsid w:val="00692391"/>
    <w:rsid w:val="006932BA"/>
    <w:rsid w:val="006A2F9E"/>
    <w:rsid w:val="006B4F9A"/>
    <w:rsid w:val="006D7DFC"/>
    <w:rsid w:val="006E4355"/>
    <w:rsid w:val="006E4770"/>
    <w:rsid w:val="006F63FD"/>
    <w:rsid w:val="00732169"/>
    <w:rsid w:val="00735659"/>
    <w:rsid w:val="007427C6"/>
    <w:rsid w:val="0077087F"/>
    <w:rsid w:val="0077110E"/>
    <w:rsid w:val="007870CB"/>
    <w:rsid w:val="00793553"/>
    <w:rsid w:val="007A3F0F"/>
    <w:rsid w:val="007D5C49"/>
    <w:rsid w:val="007D6BE6"/>
    <w:rsid w:val="007D73FF"/>
    <w:rsid w:val="007E3CCB"/>
    <w:rsid w:val="007F18AF"/>
    <w:rsid w:val="008006ED"/>
    <w:rsid w:val="00816D51"/>
    <w:rsid w:val="00822598"/>
    <w:rsid w:val="008360A1"/>
    <w:rsid w:val="00852F55"/>
    <w:rsid w:val="008541FE"/>
    <w:rsid w:val="00861563"/>
    <w:rsid w:val="0086770A"/>
    <w:rsid w:val="00871AAA"/>
    <w:rsid w:val="00876F57"/>
    <w:rsid w:val="00891AAA"/>
    <w:rsid w:val="0089339E"/>
    <w:rsid w:val="00893DC9"/>
    <w:rsid w:val="008A4EB3"/>
    <w:rsid w:val="008E1C27"/>
    <w:rsid w:val="008F6169"/>
    <w:rsid w:val="0090574C"/>
    <w:rsid w:val="00931F22"/>
    <w:rsid w:val="00933EA1"/>
    <w:rsid w:val="00951416"/>
    <w:rsid w:val="00954A5E"/>
    <w:rsid w:val="00960D21"/>
    <w:rsid w:val="00981D29"/>
    <w:rsid w:val="00981E11"/>
    <w:rsid w:val="009866B4"/>
    <w:rsid w:val="00A15221"/>
    <w:rsid w:val="00A1564B"/>
    <w:rsid w:val="00A31A78"/>
    <w:rsid w:val="00A4249C"/>
    <w:rsid w:val="00A5194F"/>
    <w:rsid w:val="00A53973"/>
    <w:rsid w:val="00A871D6"/>
    <w:rsid w:val="00A93A7C"/>
    <w:rsid w:val="00AB3AB4"/>
    <w:rsid w:val="00AC7694"/>
    <w:rsid w:val="00AF282C"/>
    <w:rsid w:val="00AF3FF7"/>
    <w:rsid w:val="00B1491D"/>
    <w:rsid w:val="00B16A00"/>
    <w:rsid w:val="00B269C2"/>
    <w:rsid w:val="00B47114"/>
    <w:rsid w:val="00B47B7D"/>
    <w:rsid w:val="00B84D15"/>
    <w:rsid w:val="00BC3B7D"/>
    <w:rsid w:val="00C03E0F"/>
    <w:rsid w:val="00C52E56"/>
    <w:rsid w:val="00C5407A"/>
    <w:rsid w:val="00C662B0"/>
    <w:rsid w:val="00C84FD4"/>
    <w:rsid w:val="00C958EE"/>
    <w:rsid w:val="00CD21FB"/>
    <w:rsid w:val="00D0315E"/>
    <w:rsid w:val="00D326F2"/>
    <w:rsid w:val="00D423FE"/>
    <w:rsid w:val="00D442E4"/>
    <w:rsid w:val="00D45D20"/>
    <w:rsid w:val="00D56CE0"/>
    <w:rsid w:val="00D60D9B"/>
    <w:rsid w:val="00D80EDC"/>
    <w:rsid w:val="00DF4F15"/>
    <w:rsid w:val="00E03FE6"/>
    <w:rsid w:val="00E047D3"/>
    <w:rsid w:val="00E06153"/>
    <w:rsid w:val="00E25307"/>
    <w:rsid w:val="00E266B7"/>
    <w:rsid w:val="00E321C5"/>
    <w:rsid w:val="00E3752E"/>
    <w:rsid w:val="00E5772B"/>
    <w:rsid w:val="00E651A9"/>
    <w:rsid w:val="00E67511"/>
    <w:rsid w:val="00E81026"/>
    <w:rsid w:val="00E82D0F"/>
    <w:rsid w:val="00E950B5"/>
    <w:rsid w:val="00EB02D5"/>
    <w:rsid w:val="00F05879"/>
    <w:rsid w:val="00F06F5B"/>
    <w:rsid w:val="00F233FE"/>
    <w:rsid w:val="00F2485D"/>
    <w:rsid w:val="00F33926"/>
    <w:rsid w:val="00F511E5"/>
    <w:rsid w:val="00F60C61"/>
    <w:rsid w:val="00F64B52"/>
    <w:rsid w:val="00F8050C"/>
    <w:rsid w:val="00F850BE"/>
    <w:rsid w:val="00FB5291"/>
    <w:rsid w:val="00FB5E84"/>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BC3B7D"/>
  </w:style>
  <w:style w:type="character" w:styleId="UnresolvedMention">
    <w:name w:val="Unresolved Mention"/>
    <w:basedOn w:val="DefaultParagraphFont"/>
    <w:uiPriority w:val="99"/>
    <w:semiHidden/>
    <w:unhideWhenUsed/>
    <w:rsid w:val="004B4A75"/>
    <w:rPr>
      <w:color w:val="605E5C"/>
      <w:shd w:val="clear" w:color="auto" w:fill="E1DFDD"/>
    </w:rPr>
  </w:style>
  <w:style w:type="paragraph" w:styleId="ListParagraph">
    <w:name w:val="List Paragraph"/>
    <w:basedOn w:val="Normal"/>
    <w:uiPriority w:val="34"/>
    <w:qFormat/>
    <w:rsid w:val="00652BE5"/>
    <w:pPr>
      <w:ind w:left="720"/>
      <w:contextualSpacing/>
    </w:pPr>
  </w:style>
  <w:style w:type="character" w:styleId="CommentReference">
    <w:name w:val="annotation reference"/>
    <w:basedOn w:val="DefaultParagraphFont"/>
    <w:rsid w:val="00B16A00"/>
    <w:rPr>
      <w:sz w:val="16"/>
      <w:szCs w:val="16"/>
    </w:rPr>
  </w:style>
  <w:style w:type="paragraph" w:styleId="CommentText">
    <w:name w:val="annotation text"/>
    <w:basedOn w:val="Normal"/>
    <w:link w:val="CommentTextChar"/>
    <w:rsid w:val="00B16A00"/>
    <w:pPr>
      <w:spacing w:line="240" w:lineRule="auto"/>
    </w:pPr>
  </w:style>
  <w:style w:type="character" w:customStyle="1" w:styleId="CommentTextChar">
    <w:name w:val="Comment Text Char"/>
    <w:basedOn w:val="DefaultParagraphFont"/>
    <w:link w:val="CommentText"/>
    <w:rsid w:val="00B16A00"/>
  </w:style>
  <w:style w:type="paragraph" w:styleId="CommentSubject">
    <w:name w:val="annotation subject"/>
    <w:basedOn w:val="CommentText"/>
    <w:next w:val="CommentText"/>
    <w:link w:val="CommentSubjectChar"/>
    <w:rsid w:val="00B16A00"/>
    <w:rPr>
      <w:b/>
      <w:bCs/>
    </w:rPr>
  </w:style>
  <w:style w:type="character" w:customStyle="1" w:styleId="CommentSubjectChar">
    <w:name w:val="Comment Subject Char"/>
    <w:basedOn w:val="CommentTextChar"/>
    <w:link w:val="CommentSubject"/>
    <w:rsid w:val="00B16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us.lexis.com/api/document/collection/cases/id/4SWC-PW50-TXFK-1225-00000-00?page=377&amp;reporter=3030&amp;cite=218%20Ariz.%20372&amp;context=15306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1.next.westlaw.com/Link/Document/FullText?findType=Y&amp;serNum=2012930964&amp;pubNum=0004645&amp;originatingDoc=Ia1cfd4708d2211ed94b0f0f6479611eb&amp;refType=RP&amp;fi=co_pp_sp_4645_222&amp;originationContext=document&amp;transitionType=DocumentItem&amp;ppcid=5b2ffdb16ef7488b9c25f06d7c47d6c8&amp;contextData=(sc.Searc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3</TotalTime>
  <Pages>11</Pages>
  <Words>2750</Words>
  <Characters>13836</Characters>
  <Application>Microsoft Office Word</Application>
  <DocSecurity>0</DocSecurity>
  <Lines>288</Lines>
  <Paragraphs>83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2026-05-01T21:06:00Z</dcterms:created>
  <dcterms:modified xsi:type="dcterms:W3CDTF">2026-05-01T21:06:00Z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