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4282" w:type="dxa"/>
        <w:tblLayout w:type="fixed"/>
        <w:tblLook w:val="0000" w:firstRow="0" w:lastRow="0" w:firstColumn="0" w:lastColumn="0" w:noHBand="0" w:noVBand="0"/>
      </w:tblPr>
      <w:tblGrid>
        <w:gridCol w:w="4282"/>
      </w:tblGrid>
      <w:tr w:rsidR="002A0417" w:rsidRPr="001B0910" w14:paraId="2DD96AE8" w14:textId="77777777" w:rsidTr="006A2F9E">
        <w:trPr>
          <w:cantSplit/>
          <w:trHeight w:val="997"/>
        </w:trPr>
        <w:tc>
          <w:tcPr>
            <w:tcW w:w="4282" w:type="dxa"/>
          </w:tcPr>
          <w:p w14:paraId="7D67E407" w14:textId="77777777" w:rsidR="002A0417" w:rsidRPr="00BC3B7D" w:rsidRDefault="002A0417" w:rsidP="002A0417">
            <w:pPr>
              <w:pStyle w:val="FirmInformation"/>
              <w:spacing w:line="240" w:lineRule="auto"/>
              <w:rPr>
                <w:sz w:val="28"/>
                <w:szCs w:val="28"/>
                <w:lang w:val="pt-BR"/>
              </w:rPr>
            </w:pPr>
            <w:bookmarkStart w:id="0" w:name="_zzmpFIXED_CounselTable"/>
            <w:r w:rsidRPr="00BC3B7D">
              <w:rPr>
                <w:sz w:val="28"/>
                <w:szCs w:val="28"/>
                <w:lang w:val="pt-BR"/>
              </w:rPr>
              <w:t>Jessica J. Fotinos, Bar No. 019777</w:t>
            </w:r>
          </w:p>
          <w:p w14:paraId="3B92AF78" w14:textId="3B0657ED" w:rsidR="002A0417" w:rsidRPr="001B0910" w:rsidRDefault="002A0417" w:rsidP="002A0417">
            <w:pPr>
              <w:pStyle w:val="FirmInformation"/>
              <w:spacing w:line="240" w:lineRule="auto"/>
              <w:rPr>
                <w:sz w:val="28"/>
                <w:szCs w:val="28"/>
              </w:rPr>
            </w:pPr>
            <w:r w:rsidRPr="001B0910">
              <w:rPr>
                <w:sz w:val="28"/>
                <w:szCs w:val="28"/>
              </w:rPr>
              <w:t>General Counsel</w:t>
            </w:r>
          </w:p>
          <w:p w14:paraId="056261EB" w14:textId="77777777" w:rsidR="002A0417" w:rsidRPr="001B0910" w:rsidRDefault="002A0417" w:rsidP="002A0417">
            <w:pPr>
              <w:pStyle w:val="FirmInformation"/>
              <w:spacing w:line="240" w:lineRule="auto"/>
              <w:rPr>
                <w:sz w:val="28"/>
                <w:szCs w:val="28"/>
              </w:rPr>
            </w:pPr>
            <w:r w:rsidRPr="001B0910">
              <w:rPr>
                <w:sz w:val="28"/>
                <w:szCs w:val="28"/>
              </w:rPr>
              <w:t>State Bar of Arizona</w:t>
            </w:r>
          </w:p>
          <w:p w14:paraId="2A532740" w14:textId="77777777" w:rsidR="002A0417" w:rsidRPr="001B0910" w:rsidRDefault="002A0417" w:rsidP="002A0417">
            <w:pPr>
              <w:pStyle w:val="FirmInformation"/>
              <w:spacing w:line="240" w:lineRule="auto"/>
              <w:rPr>
                <w:sz w:val="28"/>
                <w:szCs w:val="28"/>
              </w:rPr>
            </w:pPr>
            <w:r w:rsidRPr="001B0910">
              <w:rPr>
                <w:sz w:val="28"/>
                <w:szCs w:val="28"/>
              </w:rPr>
              <w:t>4201 N. 24th Street, Suite 100</w:t>
            </w:r>
          </w:p>
          <w:p w14:paraId="5315828A" w14:textId="77777777" w:rsidR="002A0417" w:rsidRPr="001B0910" w:rsidRDefault="002A0417" w:rsidP="002A0417">
            <w:pPr>
              <w:pStyle w:val="FirmInformation"/>
              <w:spacing w:line="240" w:lineRule="auto"/>
              <w:rPr>
                <w:sz w:val="28"/>
                <w:szCs w:val="28"/>
              </w:rPr>
            </w:pPr>
            <w:r w:rsidRPr="001B0910">
              <w:rPr>
                <w:sz w:val="28"/>
                <w:szCs w:val="28"/>
              </w:rPr>
              <w:t>Phoenix, AZ  85016-6288</w:t>
            </w:r>
          </w:p>
          <w:p w14:paraId="7B3DBC20" w14:textId="77777777" w:rsidR="002A0417" w:rsidRPr="001B0910" w:rsidRDefault="002A0417" w:rsidP="002A0417">
            <w:pPr>
              <w:pStyle w:val="FirmInformation"/>
              <w:spacing w:line="240" w:lineRule="auto"/>
              <w:rPr>
                <w:sz w:val="28"/>
                <w:szCs w:val="28"/>
              </w:rPr>
            </w:pPr>
            <w:r w:rsidRPr="001B0910">
              <w:rPr>
                <w:sz w:val="28"/>
                <w:szCs w:val="28"/>
              </w:rPr>
              <w:t>(602) 340-7236</w:t>
            </w:r>
          </w:p>
        </w:tc>
      </w:tr>
      <w:bookmarkEnd w:id="0"/>
      <w:tr w:rsidR="002A0417" w:rsidRPr="001B0910" w14:paraId="285CC1E3" w14:textId="77777777" w:rsidTr="006A2F9E">
        <w:trPr>
          <w:cantSplit/>
          <w:trHeight w:val="997"/>
        </w:trPr>
        <w:tc>
          <w:tcPr>
            <w:tcW w:w="4282" w:type="dxa"/>
          </w:tcPr>
          <w:p w14:paraId="46939F8D" w14:textId="77777777" w:rsidR="002A0417" w:rsidRPr="002A0417" w:rsidRDefault="002A0417" w:rsidP="002A0417">
            <w:pPr>
              <w:pStyle w:val="FirmInformation"/>
              <w:spacing w:line="240" w:lineRule="auto"/>
              <w:rPr>
                <w:sz w:val="28"/>
                <w:szCs w:val="28"/>
                <w:lang w:val="pt-BR"/>
              </w:rPr>
            </w:pPr>
          </w:p>
        </w:tc>
      </w:tr>
    </w:tbl>
    <w:p w14:paraId="08E71DA7" w14:textId="4518B244" w:rsidR="00357F4D" w:rsidRDefault="00357F4D" w:rsidP="00735659">
      <w:pPr>
        <w:pStyle w:val="Court"/>
        <w:spacing w:line="508" w:lineRule="exact"/>
        <w:jc w:val="left"/>
        <w:rPr>
          <w:b/>
          <w:sz w:val="28"/>
          <w:szCs w:val="28"/>
        </w:rPr>
      </w:pPr>
    </w:p>
    <w:p w14:paraId="2939F99E" w14:textId="77777777" w:rsidR="006A2F9E" w:rsidRDefault="006A2F9E" w:rsidP="00735659">
      <w:pPr>
        <w:pStyle w:val="Court"/>
        <w:spacing w:line="508" w:lineRule="exact"/>
        <w:jc w:val="left"/>
        <w:rPr>
          <w:b/>
          <w:sz w:val="28"/>
          <w:szCs w:val="28"/>
        </w:rPr>
      </w:pPr>
    </w:p>
    <w:p w14:paraId="515D7445" w14:textId="77777777" w:rsidR="006A2F9E" w:rsidRDefault="006A2F9E" w:rsidP="00735659">
      <w:pPr>
        <w:pStyle w:val="Court"/>
        <w:spacing w:line="508" w:lineRule="exact"/>
        <w:jc w:val="left"/>
        <w:rPr>
          <w:b/>
          <w:sz w:val="28"/>
          <w:szCs w:val="28"/>
        </w:rPr>
      </w:pPr>
    </w:p>
    <w:p w14:paraId="5013A1B6" w14:textId="77777777" w:rsidR="006A2F9E" w:rsidRPr="001B0910" w:rsidRDefault="006A2F9E" w:rsidP="00735659">
      <w:pPr>
        <w:pStyle w:val="Court"/>
        <w:spacing w:line="508" w:lineRule="exact"/>
        <w:jc w:val="left"/>
        <w:rPr>
          <w:b/>
          <w:sz w:val="28"/>
          <w:szCs w:val="28"/>
        </w:rPr>
      </w:pPr>
    </w:p>
    <w:p w14:paraId="25693B34" w14:textId="77777777" w:rsidR="000C48A9" w:rsidRPr="001B0910" w:rsidRDefault="000F7A7F" w:rsidP="00000C35">
      <w:pPr>
        <w:pStyle w:val="Court"/>
        <w:spacing w:line="240" w:lineRule="auto"/>
        <w:rPr>
          <w:b/>
          <w:sz w:val="28"/>
          <w:szCs w:val="28"/>
        </w:rPr>
      </w:pPr>
      <w:r w:rsidRPr="001B0910">
        <w:rPr>
          <w:b/>
          <w:sz w:val="28"/>
          <w:szCs w:val="28"/>
        </w:rPr>
        <w:t>IN THE SUPREME COURT</w:t>
      </w:r>
      <w:r w:rsidRPr="001B0910">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1B0910" w14:paraId="024B1021" w14:textId="77777777" w:rsidTr="004331B2">
        <w:tc>
          <w:tcPr>
            <w:tcW w:w="4680" w:type="dxa"/>
            <w:tcBorders>
              <w:top w:val="nil"/>
              <w:bottom w:val="single" w:sz="4" w:space="0" w:color="auto"/>
              <w:right w:val="single" w:sz="4" w:space="0" w:color="auto"/>
            </w:tcBorders>
          </w:tcPr>
          <w:p w14:paraId="511101D2" w14:textId="77777777" w:rsidR="00357F4D" w:rsidRPr="001B0910" w:rsidRDefault="00357F4D" w:rsidP="00E321C5">
            <w:pPr>
              <w:pStyle w:val="Caption"/>
              <w:spacing w:before="240" w:line="260" w:lineRule="exact"/>
              <w:rPr>
                <w:sz w:val="28"/>
                <w:szCs w:val="28"/>
              </w:rPr>
            </w:pPr>
            <w:bookmarkStart w:id="1" w:name="_zzmpFIXED_CaptionTable"/>
            <w:r w:rsidRPr="001B0910">
              <w:rPr>
                <w:sz w:val="28"/>
                <w:szCs w:val="28"/>
              </w:rPr>
              <w:t>In the Matter of:</w:t>
            </w:r>
          </w:p>
          <w:p w14:paraId="03963DD5" w14:textId="1FDE3BF6" w:rsidR="00357F4D" w:rsidRPr="001B0910" w:rsidRDefault="00E67511" w:rsidP="00F511E5">
            <w:pPr>
              <w:pStyle w:val="Caption"/>
              <w:spacing w:before="240" w:line="260" w:lineRule="exact"/>
              <w:rPr>
                <w:b/>
                <w:sz w:val="28"/>
                <w:szCs w:val="28"/>
              </w:rPr>
            </w:pPr>
            <w:r w:rsidRPr="001B0910">
              <w:rPr>
                <w:b/>
                <w:sz w:val="28"/>
                <w:szCs w:val="28"/>
              </w:rPr>
              <w:t xml:space="preserve">PETITION TO </w:t>
            </w:r>
            <w:r w:rsidR="00F511E5" w:rsidRPr="001B0910">
              <w:rPr>
                <w:b/>
                <w:sz w:val="28"/>
                <w:szCs w:val="28"/>
              </w:rPr>
              <w:t xml:space="preserve">AMEND RULE </w:t>
            </w:r>
            <w:r w:rsidR="007C5539">
              <w:rPr>
                <w:b/>
                <w:sz w:val="28"/>
                <w:szCs w:val="28"/>
              </w:rPr>
              <w:t>111</w:t>
            </w:r>
            <w:r w:rsidR="00F511E5" w:rsidRPr="001B0910">
              <w:rPr>
                <w:b/>
                <w:sz w:val="28"/>
                <w:szCs w:val="28"/>
              </w:rPr>
              <w:t xml:space="preserve"> OF THE ARIZONA RULES OF SUPREME COURT</w:t>
            </w:r>
            <w:r w:rsidR="00F511E5" w:rsidRPr="001B0910">
              <w:rPr>
                <w:b/>
                <w:sz w:val="28"/>
                <w:szCs w:val="28"/>
              </w:rPr>
              <w:br/>
            </w:r>
          </w:p>
        </w:tc>
        <w:tc>
          <w:tcPr>
            <w:tcW w:w="4524" w:type="dxa"/>
            <w:tcBorders>
              <w:top w:val="nil"/>
              <w:left w:val="single" w:sz="4" w:space="0" w:color="auto"/>
            </w:tcBorders>
          </w:tcPr>
          <w:p w14:paraId="35CED5CB" w14:textId="37165D1F" w:rsidR="00357F4D" w:rsidRPr="001B0910" w:rsidRDefault="00357F4D" w:rsidP="00E321C5">
            <w:pPr>
              <w:pStyle w:val="Caption"/>
              <w:tabs>
                <w:tab w:val="left" w:pos="1238"/>
              </w:tabs>
              <w:spacing w:before="240" w:after="240"/>
              <w:ind w:left="259" w:right="115"/>
              <w:rPr>
                <w:sz w:val="28"/>
                <w:szCs w:val="28"/>
              </w:rPr>
            </w:pPr>
            <w:r w:rsidRPr="001B0910">
              <w:rPr>
                <w:sz w:val="28"/>
                <w:szCs w:val="28"/>
              </w:rPr>
              <w:t>Supreme Court No. R-</w:t>
            </w:r>
            <w:r w:rsidR="008A4EB3" w:rsidRPr="001B0910">
              <w:rPr>
                <w:sz w:val="28"/>
                <w:szCs w:val="28"/>
              </w:rPr>
              <w:t>2</w:t>
            </w:r>
            <w:r w:rsidR="007C5539">
              <w:rPr>
                <w:sz w:val="28"/>
                <w:szCs w:val="28"/>
              </w:rPr>
              <w:t>5-0060</w:t>
            </w:r>
          </w:p>
          <w:p w14:paraId="5AEC962D" w14:textId="5404536D" w:rsidR="00357F4D" w:rsidRPr="00D326F2" w:rsidRDefault="00D326F2" w:rsidP="000F7A7F">
            <w:pPr>
              <w:pStyle w:val="Caption"/>
              <w:tabs>
                <w:tab w:val="left" w:pos="1238"/>
              </w:tabs>
              <w:spacing w:line="260" w:lineRule="exact"/>
              <w:ind w:right="115"/>
              <w:jc w:val="center"/>
              <w:rPr>
                <w:b/>
                <w:sz w:val="28"/>
                <w:szCs w:val="28"/>
              </w:rPr>
            </w:pPr>
            <w:r w:rsidRPr="00D326F2">
              <w:rPr>
                <w:b/>
                <w:sz w:val="28"/>
                <w:szCs w:val="28"/>
              </w:rPr>
              <w:t>STATE BAR OF ARIZONA COMMENT</w:t>
            </w:r>
          </w:p>
          <w:p w14:paraId="414A167D" w14:textId="77777777" w:rsidR="00357F4D" w:rsidRPr="00D326F2" w:rsidRDefault="00357F4D" w:rsidP="00E321C5">
            <w:pPr>
              <w:pStyle w:val="DocumentTitle"/>
              <w:rPr>
                <w:sz w:val="28"/>
                <w:szCs w:val="28"/>
              </w:rPr>
            </w:pPr>
          </w:p>
          <w:p w14:paraId="524D8097" w14:textId="77777777" w:rsidR="00357F4D" w:rsidRPr="001B0910" w:rsidRDefault="00357F4D" w:rsidP="00E321C5">
            <w:pPr>
              <w:pStyle w:val="Caption"/>
              <w:ind w:left="1512" w:right="115" w:hanging="1253"/>
              <w:rPr>
                <w:sz w:val="28"/>
                <w:szCs w:val="28"/>
              </w:rPr>
            </w:pPr>
          </w:p>
        </w:tc>
      </w:tr>
      <w:bookmarkEnd w:id="1"/>
    </w:tbl>
    <w:p w14:paraId="14B66B5A" w14:textId="77777777" w:rsidR="004331B2" w:rsidRPr="001B0910" w:rsidRDefault="004331B2" w:rsidP="006338C1">
      <w:pPr>
        <w:pStyle w:val="Body"/>
        <w:widowControl w:val="0"/>
        <w:ind w:firstLine="720"/>
        <w:jc w:val="both"/>
        <w:rPr>
          <w:sz w:val="28"/>
          <w:szCs w:val="28"/>
        </w:rPr>
      </w:pPr>
    </w:p>
    <w:p w14:paraId="1D01C5B0" w14:textId="57A84DED" w:rsidR="00E3752E" w:rsidRDefault="0008003D" w:rsidP="0057403A">
      <w:pPr>
        <w:pStyle w:val="Body"/>
        <w:widowControl w:val="0"/>
        <w:spacing w:line="480" w:lineRule="auto"/>
        <w:ind w:firstLine="720"/>
        <w:jc w:val="both"/>
        <w:rPr>
          <w:sz w:val="28"/>
          <w:szCs w:val="28"/>
        </w:rPr>
      </w:pPr>
      <w:r w:rsidRPr="001B0910">
        <w:rPr>
          <w:sz w:val="28"/>
          <w:szCs w:val="28"/>
        </w:rPr>
        <w:t>Pursuant to Rule 28(</w:t>
      </w:r>
      <w:r w:rsidR="00A4249C" w:rsidRPr="001B0910">
        <w:rPr>
          <w:sz w:val="28"/>
          <w:szCs w:val="28"/>
        </w:rPr>
        <w:t>e</w:t>
      </w:r>
      <w:r w:rsidRPr="001B0910">
        <w:rPr>
          <w:sz w:val="28"/>
          <w:szCs w:val="28"/>
        </w:rPr>
        <w:t xml:space="preserve">) of the Arizona Rules of Supreme Court, the State Bar of Arizona (the “State Bar”) hereby </w:t>
      </w:r>
      <w:r w:rsidR="00A4249C" w:rsidRPr="001B0910">
        <w:rPr>
          <w:sz w:val="28"/>
          <w:szCs w:val="28"/>
        </w:rPr>
        <w:t xml:space="preserve">submits the following as its </w:t>
      </w:r>
      <w:r w:rsidR="00526E19" w:rsidRPr="001B0910">
        <w:rPr>
          <w:sz w:val="28"/>
          <w:szCs w:val="28"/>
        </w:rPr>
        <w:t>C</w:t>
      </w:r>
      <w:r w:rsidR="00A4249C" w:rsidRPr="001B0910">
        <w:rPr>
          <w:sz w:val="28"/>
          <w:szCs w:val="28"/>
        </w:rPr>
        <w:t>omment to the above-captioned Petition.</w:t>
      </w:r>
      <w:r w:rsidR="0057403A" w:rsidRPr="001B0910">
        <w:rPr>
          <w:sz w:val="28"/>
          <w:szCs w:val="28"/>
        </w:rPr>
        <w:t xml:space="preserve"> </w:t>
      </w:r>
      <w:r w:rsidR="00F511E5" w:rsidRPr="001B0910">
        <w:rPr>
          <w:sz w:val="28"/>
          <w:szCs w:val="28"/>
        </w:rPr>
        <w:t xml:space="preserve">The </w:t>
      </w:r>
      <w:r w:rsidR="007C5539">
        <w:rPr>
          <w:sz w:val="28"/>
          <w:szCs w:val="28"/>
        </w:rPr>
        <w:t xml:space="preserve">State Bar supports the Petition. </w:t>
      </w:r>
      <w:r w:rsidR="00F511E5" w:rsidRPr="001B0910">
        <w:rPr>
          <w:sz w:val="28"/>
          <w:szCs w:val="28"/>
        </w:rPr>
        <w:t xml:space="preserve"> </w:t>
      </w:r>
    </w:p>
    <w:p w14:paraId="1C25BC5C" w14:textId="084641A8" w:rsidR="007C5539" w:rsidRPr="0055157E" w:rsidRDefault="007C5539" w:rsidP="007C5539">
      <w:pPr>
        <w:spacing w:line="480" w:lineRule="auto"/>
        <w:ind w:firstLine="720"/>
        <w:jc w:val="both"/>
        <w:rPr>
          <w:sz w:val="28"/>
          <w:szCs w:val="28"/>
        </w:rPr>
      </w:pPr>
      <w:r w:rsidRPr="0055157E">
        <w:rPr>
          <w:sz w:val="28"/>
          <w:szCs w:val="28"/>
        </w:rPr>
        <w:t xml:space="preserve">As the Petition explains, Supreme Court Rule 111(g) provides that the Supreme Court may order that an </w:t>
      </w:r>
      <w:r w:rsidRPr="008E177D">
        <w:rPr>
          <w:i/>
          <w:iCs/>
          <w:sz w:val="28"/>
          <w:szCs w:val="28"/>
        </w:rPr>
        <w:t>opinion certified for publication by the Court of Appeals</w:t>
      </w:r>
      <w:r w:rsidRPr="0055157E">
        <w:rPr>
          <w:sz w:val="28"/>
          <w:szCs w:val="28"/>
        </w:rPr>
        <w:t xml:space="preserve"> either not </w:t>
      </w:r>
      <w:r w:rsidR="002C46B4">
        <w:rPr>
          <w:sz w:val="28"/>
          <w:szCs w:val="28"/>
        </w:rPr>
        <w:t xml:space="preserve">be </w:t>
      </w:r>
      <w:r w:rsidRPr="0055157E">
        <w:rPr>
          <w:sz w:val="28"/>
          <w:szCs w:val="28"/>
        </w:rPr>
        <w:t xml:space="preserve">published in its entirety or that a specified portion of the opinion is not published. Rule 111(c)(1)(C) provides that the parties may not cite a depublished opinion or a depublished portion of an opinion for persuasive value. </w:t>
      </w:r>
    </w:p>
    <w:p w14:paraId="6EB7D555" w14:textId="77777777" w:rsidR="007C5539" w:rsidRPr="0055157E" w:rsidRDefault="007C5539" w:rsidP="007C5539">
      <w:pPr>
        <w:spacing w:line="480" w:lineRule="auto"/>
        <w:ind w:firstLine="720"/>
        <w:jc w:val="both"/>
        <w:rPr>
          <w:sz w:val="28"/>
          <w:szCs w:val="28"/>
        </w:rPr>
      </w:pPr>
      <w:r w:rsidRPr="0055157E">
        <w:rPr>
          <w:sz w:val="28"/>
          <w:szCs w:val="28"/>
        </w:rPr>
        <w:t xml:space="preserve">The Petition notes, however, that when the Supreme Court denies review of a petition seeking review of an </w:t>
      </w:r>
      <w:r w:rsidRPr="008E177D">
        <w:rPr>
          <w:i/>
          <w:iCs/>
          <w:sz w:val="28"/>
          <w:szCs w:val="28"/>
        </w:rPr>
        <w:t xml:space="preserve">unpublished memorandum decision of the Court of </w:t>
      </w:r>
      <w:r w:rsidRPr="008E177D">
        <w:rPr>
          <w:i/>
          <w:iCs/>
          <w:sz w:val="28"/>
          <w:szCs w:val="28"/>
        </w:rPr>
        <w:lastRenderedPageBreak/>
        <w:t>Appeals</w:t>
      </w:r>
      <w:r w:rsidRPr="0055157E">
        <w:rPr>
          <w:sz w:val="28"/>
          <w:szCs w:val="28"/>
        </w:rPr>
        <w:t xml:space="preserve">, there is no rule that permits the Supreme Court to restrict the citation of the decision for persuasive value. The Petition proposes closing that gap by amending Rule 111(g) to add a subsection to provide that if the Supreme Court denies a petition for review of a memorandum decision, it may order that the decision, or portions of that decision, may not be cited for its persuasive value. </w:t>
      </w:r>
    </w:p>
    <w:p w14:paraId="1D801BC3" w14:textId="3A609D45" w:rsidR="007C5539" w:rsidRDefault="007C5539" w:rsidP="007C5539">
      <w:pPr>
        <w:spacing w:line="480" w:lineRule="auto"/>
        <w:ind w:firstLine="720"/>
        <w:jc w:val="both"/>
        <w:rPr>
          <w:sz w:val="28"/>
          <w:szCs w:val="28"/>
        </w:rPr>
      </w:pPr>
      <w:r w:rsidRPr="0055157E">
        <w:rPr>
          <w:sz w:val="28"/>
          <w:szCs w:val="28"/>
        </w:rPr>
        <w:t>The State Bar fully agrees with closing this gap and therefore supports the Petition. To the extent that the Rules allow citation for persuasive value to Court of Appeals unpublished memorandum decisions, it makes sense to restrict or eliminate that use if the Supreme Court deems it appropriate, as is currently the case with Court of Appeals opinions certified for publication.</w:t>
      </w:r>
      <w:r w:rsidRPr="0055157E">
        <w:rPr>
          <w:rStyle w:val="FootnoteReference"/>
          <w:sz w:val="28"/>
          <w:szCs w:val="28"/>
        </w:rPr>
        <w:footnoteReference w:id="1"/>
      </w:r>
      <w:r w:rsidRPr="0055157E">
        <w:rPr>
          <w:sz w:val="28"/>
          <w:szCs w:val="28"/>
        </w:rPr>
        <w:t xml:space="preserve"> </w:t>
      </w:r>
    </w:p>
    <w:p w14:paraId="78A411D5" w14:textId="77777777" w:rsidR="007C5539" w:rsidRDefault="007C5539" w:rsidP="007C5539">
      <w:pPr>
        <w:spacing w:line="480" w:lineRule="auto"/>
        <w:ind w:firstLine="720"/>
        <w:jc w:val="both"/>
        <w:rPr>
          <w:sz w:val="28"/>
          <w:szCs w:val="28"/>
        </w:rPr>
      </w:pPr>
    </w:p>
    <w:p w14:paraId="2F38EC7E" w14:textId="77777777" w:rsidR="007C5539" w:rsidRDefault="007C5539" w:rsidP="007C5539">
      <w:pPr>
        <w:spacing w:line="480" w:lineRule="auto"/>
        <w:ind w:firstLine="720"/>
        <w:jc w:val="both"/>
        <w:rPr>
          <w:sz w:val="28"/>
          <w:szCs w:val="28"/>
        </w:rPr>
      </w:pPr>
    </w:p>
    <w:p w14:paraId="587D3DAA" w14:textId="77777777" w:rsidR="007C5539" w:rsidRPr="0055157E" w:rsidRDefault="007C5539" w:rsidP="007C5539">
      <w:pPr>
        <w:spacing w:line="480" w:lineRule="auto"/>
        <w:ind w:firstLine="720"/>
        <w:jc w:val="both"/>
        <w:rPr>
          <w:sz w:val="28"/>
          <w:szCs w:val="28"/>
        </w:rPr>
      </w:pPr>
    </w:p>
    <w:p w14:paraId="1AEF4B6B" w14:textId="4629BFE3" w:rsidR="008541FE" w:rsidRPr="006D7DFC" w:rsidRDefault="007A3F0F" w:rsidP="006D7DFC">
      <w:pPr>
        <w:pStyle w:val="Body"/>
        <w:widowControl w:val="0"/>
        <w:spacing w:line="480" w:lineRule="auto"/>
        <w:ind w:firstLine="0"/>
        <w:jc w:val="center"/>
        <w:rPr>
          <w:b/>
          <w:sz w:val="28"/>
          <w:szCs w:val="28"/>
        </w:rPr>
      </w:pPr>
      <w:r w:rsidRPr="001B0910">
        <w:rPr>
          <w:rStyle w:val="BodyTextChar"/>
          <w:b/>
          <w:sz w:val="28"/>
          <w:szCs w:val="28"/>
        </w:rPr>
        <w:lastRenderedPageBreak/>
        <w:t>CONCLUSION</w:t>
      </w:r>
    </w:p>
    <w:p w14:paraId="7E80547D" w14:textId="7B40EF47" w:rsidR="002A0417" w:rsidRDefault="00AB3AB4" w:rsidP="002A0417">
      <w:pPr>
        <w:pStyle w:val="Body"/>
        <w:widowControl w:val="0"/>
        <w:spacing w:line="480" w:lineRule="auto"/>
        <w:ind w:firstLine="720"/>
        <w:jc w:val="both"/>
        <w:rPr>
          <w:sz w:val="28"/>
          <w:szCs w:val="28"/>
        </w:rPr>
      </w:pPr>
      <w:r w:rsidRPr="001B0910">
        <w:rPr>
          <w:sz w:val="28"/>
          <w:szCs w:val="28"/>
        </w:rPr>
        <w:t>For the reasons stated above, t</w:t>
      </w:r>
      <w:r w:rsidR="000F7C13" w:rsidRPr="001B0910">
        <w:rPr>
          <w:sz w:val="28"/>
          <w:szCs w:val="28"/>
        </w:rPr>
        <w:t>he State Bar</w:t>
      </w:r>
      <w:r w:rsidR="00735659" w:rsidRPr="001B0910">
        <w:rPr>
          <w:sz w:val="28"/>
          <w:szCs w:val="28"/>
        </w:rPr>
        <w:t xml:space="preserve"> </w:t>
      </w:r>
      <w:r w:rsidR="000F7C13" w:rsidRPr="001B0910">
        <w:rPr>
          <w:sz w:val="28"/>
          <w:szCs w:val="28"/>
        </w:rPr>
        <w:t xml:space="preserve">respectfully requests that </w:t>
      </w:r>
      <w:r w:rsidR="00F511E5" w:rsidRPr="001B0910">
        <w:rPr>
          <w:sz w:val="28"/>
          <w:szCs w:val="28"/>
        </w:rPr>
        <w:t xml:space="preserve">the Court </w:t>
      </w:r>
      <w:r w:rsidR="007C5539">
        <w:rPr>
          <w:sz w:val="28"/>
          <w:szCs w:val="28"/>
        </w:rPr>
        <w:t>amend Rule 111 as set forth</w:t>
      </w:r>
      <w:r w:rsidRPr="001B0910">
        <w:rPr>
          <w:sz w:val="28"/>
          <w:szCs w:val="28"/>
        </w:rPr>
        <w:t xml:space="preserve"> in the Petition</w:t>
      </w:r>
      <w:r w:rsidR="00793553">
        <w:rPr>
          <w:sz w:val="28"/>
          <w:szCs w:val="28"/>
        </w:rPr>
        <w:t xml:space="preserve">. </w:t>
      </w:r>
    </w:p>
    <w:p w14:paraId="5E147A20" w14:textId="77777777" w:rsidR="00D326F2" w:rsidRPr="001B0910" w:rsidRDefault="00D326F2" w:rsidP="00D326F2">
      <w:pPr>
        <w:pStyle w:val="Body"/>
        <w:widowControl w:val="0"/>
        <w:tabs>
          <w:tab w:val="left" w:pos="720"/>
        </w:tabs>
        <w:ind w:firstLine="0"/>
        <w:rPr>
          <w:sz w:val="28"/>
          <w:szCs w:val="28"/>
        </w:rPr>
      </w:pPr>
      <w:r w:rsidRPr="001B0910">
        <w:rPr>
          <w:sz w:val="28"/>
          <w:szCs w:val="28"/>
        </w:rPr>
        <w:t xml:space="preserve">       RESPECTFULLY SUBMITTED this </w:t>
      </w:r>
      <w:r w:rsidRPr="007728BD">
        <w:rPr>
          <w:sz w:val="28"/>
          <w:szCs w:val="28"/>
          <w:u w:val="single"/>
        </w:rPr>
        <w:t>1</w:t>
      </w:r>
      <w:r w:rsidRPr="007728BD">
        <w:rPr>
          <w:sz w:val="28"/>
          <w:szCs w:val="28"/>
          <w:u w:val="single"/>
          <w:vertAlign w:val="superscript"/>
        </w:rPr>
        <w:t>st</w:t>
      </w:r>
      <w:r>
        <w:rPr>
          <w:sz w:val="28"/>
          <w:szCs w:val="28"/>
        </w:rPr>
        <w:t xml:space="preserve"> </w:t>
      </w:r>
      <w:r w:rsidRPr="001B0910">
        <w:rPr>
          <w:sz w:val="28"/>
          <w:szCs w:val="28"/>
        </w:rPr>
        <w:t>day of</w:t>
      </w:r>
      <w:r>
        <w:rPr>
          <w:sz w:val="28"/>
          <w:szCs w:val="28"/>
        </w:rPr>
        <w:t xml:space="preserve"> </w:t>
      </w:r>
      <w:proofErr w:type="gramStart"/>
      <w:r w:rsidRPr="007728BD">
        <w:rPr>
          <w:sz w:val="28"/>
          <w:szCs w:val="28"/>
          <w:u w:val="single"/>
        </w:rPr>
        <w:t>May</w:t>
      </w:r>
      <w:r>
        <w:rPr>
          <w:sz w:val="28"/>
          <w:szCs w:val="28"/>
        </w:rPr>
        <w:t>,</w:t>
      </w:r>
      <w:proofErr w:type="gramEnd"/>
      <w:r w:rsidRPr="001B0910">
        <w:rPr>
          <w:sz w:val="28"/>
          <w:szCs w:val="28"/>
        </w:rPr>
        <w:t xml:space="preserve"> 202</w:t>
      </w:r>
      <w:r>
        <w:rPr>
          <w:sz w:val="28"/>
          <w:szCs w:val="28"/>
        </w:rPr>
        <w:t>6</w:t>
      </w:r>
      <w:r w:rsidRPr="001B0910">
        <w:rPr>
          <w:sz w:val="28"/>
          <w:szCs w:val="28"/>
        </w:rPr>
        <w:t>.</w:t>
      </w:r>
    </w:p>
    <w:p w14:paraId="529E0447" w14:textId="77777777" w:rsidR="00D326F2" w:rsidRPr="001B0910" w:rsidRDefault="00D326F2" w:rsidP="00D326F2">
      <w:pPr>
        <w:pStyle w:val="Body"/>
        <w:widowControl w:val="0"/>
        <w:tabs>
          <w:tab w:val="left" w:pos="720"/>
        </w:tabs>
        <w:ind w:firstLine="0"/>
        <w:rPr>
          <w:sz w:val="28"/>
          <w:szCs w:val="28"/>
        </w:rPr>
      </w:pPr>
      <w:r>
        <w:rPr>
          <w:b/>
          <w:noProof/>
          <w:sz w:val="28"/>
          <w:szCs w:val="28"/>
        </w:rPr>
        <w:drawing>
          <wp:anchor distT="0" distB="0" distL="114300" distR="114300" simplePos="0" relativeHeight="251659264" behindDoc="0" locked="0" layoutInCell="1" allowOverlap="1" wp14:anchorId="649FD832" wp14:editId="6335E0EF">
            <wp:simplePos x="0" y="0"/>
            <wp:positionH relativeFrom="column">
              <wp:posOffset>3120390</wp:posOffset>
            </wp:positionH>
            <wp:positionV relativeFrom="paragraph">
              <wp:posOffset>108585</wp:posOffset>
            </wp:positionV>
            <wp:extent cx="2022475" cy="493395"/>
            <wp:effectExtent l="0" t="0" r="0" b="0"/>
            <wp:wrapSquare wrapText="bothSides"/>
            <wp:docPr id="51691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2475" cy="493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16EBCA" w14:textId="77777777" w:rsidR="00D326F2" w:rsidRPr="001B0910" w:rsidRDefault="00D326F2" w:rsidP="00D326F2">
      <w:pPr>
        <w:pStyle w:val="Body"/>
        <w:widowControl w:val="0"/>
        <w:tabs>
          <w:tab w:val="left" w:pos="720"/>
        </w:tabs>
        <w:ind w:firstLine="0"/>
        <w:rPr>
          <w:sz w:val="28"/>
          <w:szCs w:val="28"/>
        </w:rPr>
      </w:pPr>
    </w:p>
    <w:p w14:paraId="71606F9C" w14:textId="77777777" w:rsidR="00D326F2" w:rsidRPr="001B0910" w:rsidRDefault="00D326F2" w:rsidP="00D326F2">
      <w:pPr>
        <w:pStyle w:val="PleadingSignature"/>
        <w:keepNext w:val="0"/>
        <w:keepLines w:val="0"/>
        <w:pBdr>
          <w:top w:val="single" w:sz="4" w:space="1" w:color="auto"/>
        </w:pBdr>
        <w:spacing w:line="240" w:lineRule="auto"/>
        <w:ind w:left="5070"/>
        <w:rPr>
          <w:sz w:val="28"/>
          <w:szCs w:val="28"/>
        </w:rPr>
      </w:pPr>
      <w:r>
        <w:rPr>
          <w:sz w:val="28"/>
          <w:szCs w:val="28"/>
        </w:rPr>
        <w:t>Jessica J. Fotinos</w:t>
      </w:r>
    </w:p>
    <w:p w14:paraId="1BA69B9A" w14:textId="77777777" w:rsidR="00D326F2" w:rsidRPr="001B0910" w:rsidRDefault="00D326F2" w:rsidP="00D326F2">
      <w:pPr>
        <w:pStyle w:val="PleadingSignature"/>
        <w:keepNext w:val="0"/>
        <w:keepLines w:val="0"/>
        <w:spacing w:line="240" w:lineRule="auto"/>
        <w:ind w:left="5070"/>
        <w:rPr>
          <w:sz w:val="28"/>
          <w:szCs w:val="28"/>
        </w:rPr>
      </w:pPr>
      <w:r w:rsidRPr="001B0910">
        <w:rPr>
          <w:sz w:val="28"/>
          <w:szCs w:val="28"/>
        </w:rPr>
        <w:t>General Counsel</w:t>
      </w:r>
    </w:p>
    <w:p w14:paraId="51880538" w14:textId="77777777" w:rsidR="00D326F2" w:rsidRPr="001B0910" w:rsidRDefault="00D326F2" w:rsidP="00D326F2">
      <w:pPr>
        <w:widowControl w:val="0"/>
        <w:spacing w:line="240" w:lineRule="auto"/>
        <w:ind w:right="4140"/>
        <w:rPr>
          <w:sz w:val="28"/>
          <w:szCs w:val="28"/>
        </w:rPr>
      </w:pPr>
    </w:p>
    <w:p w14:paraId="6A3D250F" w14:textId="77777777" w:rsidR="00D326F2" w:rsidRPr="001B0910" w:rsidRDefault="00D326F2" w:rsidP="00D326F2">
      <w:pPr>
        <w:widowControl w:val="0"/>
        <w:spacing w:line="240" w:lineRule="auto"/>
        <w:ind w:right="4140"/>
        <w:rPr>
          <w:sz w:val="28"/>
          <w:szCs w:val="28"/>
        </w:rPr>
      </w:pPr>
      <w:r w:rsidRPr="001B0910">
        <w:rPr>
          <w:sz w:val="28"/>
          <w:szCs w:val="28"/>
        </w:rPr>
        <w:t>Electronic copy filed with the</w:t>
      </w:r>
    </w:p>
    <w:p w14:paraId="46C3A9FC" w14:textId="77777777" w:rsidR="00D326F2" w:rsidRPr="001B0910" w:rsidRDefault="00D326F2" w:rsidP="00D326F2">
      <w:pPr>
        <w:spacing w:line="240" w:lineRule="auto"/>
        <w:ind w:right="4140"/>
        <w:rPr>
          <w:sz w:val="28"/>
          <w:szCs w:val="28"/>
        </w:rPr>
      </w:pPr>
      <w:r w:rsidRPr="001B0910">
        <w:rPr>
          <w:sz w:val="28"/>
          <w:szCs w:val="28"/>
        </w:rPr>
        <w:t>Clerk of the Supreme Court of Arizona</w:t>
      </w:r>
    </w:p>
    <w:p w14:paraId="5B5CF3D9" w14:textId="77777777" w:rsidR="00D326F2" w:rsidRPr="001B0910" w:rsidRDefault="00D326F2" w:rsidP="00D326F2">
      <w:pPr>
        <w:tabs>
          <w:tab w:val="left" w:pos="4836"/>
        </w:tabs>
        <w:spacing w:line="240" w:lineRule="auto"/>
        <w:ind w:right="3870"/>
        <w:rPr>
          <w:sz w:val="28"/>
          <w:szCs w:val="28"/>
        </w:rPr>
      </w:pPr>
      <w:r w:rsidRPr="001B0910">
        <w:rPr>
          <w:sz w:val="28"/>
          <w:szCs w:val="28"/>
        </w:rPr>
        <w:t xml:space="preserve">this </w:t>
      </w:r>
      <w:r w:rsidRPr="007728BD">
        <w:rPr>
          <w:sz w:val="28"/>
          <w:szCs w:val="28"/>
          <w:u w:val="single"/>
        </w:rPr>
        <w:t>1</w:t>
      </w:r>
      <w:proofErr w:type="gramStart"/>
      <w:r w:rsidRPr="007728BD">
        <w:rPr>
          <w:sz w:val="28"/>
          <w:szCs w:val="28"/>
          <w:u w:val="single"/>
          <w:vertAlign w:val="superscript"/>
        </w:rPr>
        <w:t>st</w:t>
      </w:r>
      <w:r w:rsidRPr="007728BD">
        <w:rPr>
          <w:sz w:val="28"/>
          <w:szCs w:val="28"/>
          <w:u w:val="single"/>
        </w:rPr>
        <w:t xml:space="preserve"> </w:t>
      </w:r>
      <w:r w:rsidRPr="001B0910">
        <w:rPr>
          <w:sz w:val="28"/>
          <w:szCs w:val="28"/>
        </w:rPr>
        <w:t xml:space="preserve"> day</w:t>
      </w:r>
      <w:proofErr w:type="gramEnd"/>
      <w:r w:rsidRPr="001B0910">
        <w:rPr>
          <w:sz w:val="28"/>
          <w:szCs w:val="28"/>
        </w:rPr>
        <w:t xml:space="preserve"> of </w:t>
      </w:r>
      <w:proofErr w:type="gramStart"/>
      <w:r w:rsidRPr="007728BD">
        <w:rPr>
          <w:sz w:val="28"/>
          <w:szCs w:val="28"/>
          <w:u w:val="single"/>
        </w:rPr>
        <w:t>May</w:t>
      </w:r>
      <w:r>
        <w:rPr>
          <w:sz w:val="28"/>
          <w:szCs w:val="28"/>
        </w:rPr>
        <w:t>,</w:t>
      </w:r>
      <w:proofErr w:type="gramEnd"/>
      <w:r w:rsidRPr="001B0910">
        <w:rPr>
          <w:sz w:val="28"/>
          <w:szCs w:val="28"/>
        </w:rPr>
        <w:t xml:space="preserve"> 202</w:t>
      </w:r>
      <w:r>
        <w:rPr>
          <w:sz w:val="28"/>
          <w:szCs w:val="28"/>
        </w:rPr>
        <w:t>6</w:t>
      </w:r>
      <w:r w:rsidRPr="001B0910">
        <w:rPr>
          <w:sz w:val="28"/>
          <w:szCs w:val="28"/>
        </w:rPr>
        <w:t>.</w:t>
      </w:r>
    </w:p>
    <w:p w14:paraId="1803BABB" w14:textId="77777777" w:rsidR="00D326F2" w:rsidRPr="001B0910" w:rsidRDefault="00D326F2" w:rsidP="00D326F2">
      <w:pPr>
        <w:spacing w:line="240" w:lineRule="auto"/>
        <w:ind w:right="4572"/>
        <w:rPr>
          <w:sz w:val="28"/>
          <w:szCs w:val="28"/>
        </w:rPr>
      </w:pPr>
    </w:p>
    <w:p w14:paraId="4A07E8A6" w14:textId="01A97CD7" w:rsidR="00052372" w:rsidRPr="001B0910" w:rsidRDefault="00D326F2" w:rsidP="00D326F2">
      <w:pPr>
        <w:spacing w:line="240" w:lineRule="auto"/>
        <w:ind w:right="4572"/>
        <w:rPr>
          <w:sz w:val="28"/>
          <w:szCs w:val="28"/>
        </w:rPr>
      </w:pPr>
      <w:r w:rsidRPr="001B0910">
        <w:rPr>
          <w:sz w:val="28"/>
          <w:szCs w:val="28"/>
        </w:rPr>
        <w:t>by:</w:t>
      </w:r>
      <w:r w:rsidRPr="007728BD">
        <w:rPr>
          <w:sz w:val="28"/>
          <w:szCs w:val="28"/>
          <w:u w:val="single"/>
        </w:rPr>
        <w:t xml:space="preserve"> </w:t>
      </w:r>
      <w:proofErr w:type="spellStart"/>
      <w:r w:rsidRPr="007728BD">
        <w:rPr>
          <w:sz w:val="28"/>
          <w:szCs w:val="28"/>
          <w:u w:val="single"/>
        </w:rPr>
        <w:t>PSeguin</w:t>
      </w:r>
      <w:proofErr w:type="spellEnd"/>
    </w:p>
    <w:sectPr w:rsidR="00052372" w:rsidRPr="001B0910" w:rsidSect="0090574C">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88D7" w14:textId="77777777" w:rsidR="00444C0C" w:rsidRDefault="00444C0C">
      <w:r>
        <w:separator/>
      </w:r>
    </w:p>
  </w:endnote>
  <w:endnote w:type="continuationSeparator" w:id="0">
    <w:p w14:paraId="62190FF2" w14:textId="77777777" w:rsidR="00444C0C" w:rsidRDefault="0044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28B9" w14:textId="77777777" w:rsidR="00444C0C" w:rsidRDefault="00444C0C">
      <w:r>
        <w:separator/>
      </w:r>
    </w:p>
  </w:footnote>
  <w:footnote w:type="continuationSeparator" w:id="0">
    <w:p w14:paraId="28625205" w14:textId="77777777" w:rsidR="00444C0C" w:rsidRDefault="00444C0C">
      <w:r>
        <w:continuationSeparator/>
      </w:r>
    </w:p>
  </w:footnote>
  <w:footnote w:id="1">
    <w:p w14:paraId="15C5D9C1" w14:textId="3BB1961B" w:rsidR="007C5539" w:rsidRPr="007C5539" w:rsidRDefault="007C5539" w:rsidP="007C5539">
      <w:pPr>
        <w:pStyle w:val="FootnoteText"/>
        <w:jc w:val="both"/>
        <w:rPr>
          <w:sz w:val="28"/>
          <w:szCs w:val="28"/>
        </w:rPr>
      </w:pPr>
      <w:r w:rsidRPr="007C5539">
        <w:rPr>
          <w:rStyle w:val="FootnoteReference"/>
          <w:sz w:val="28"/>
          <w:szCs w:val="28"/>
        </w:rPr>
        <w:footnoteRef/>
      </w:r>
      <w:r w:rsidRPr="007C5539">
        <w:rPr>
          <w:sz w:val="28"/>
          <w:szCs w:val="28"/>
        </w:rPr>
        <w:t xml:space="preserve"> Under the Rules, there are Court of Appeals written dispositions other than opinions certified for publication and unpublished memorandum decisions. ARCAP Rule 28 identifies “Decision Orders” and “Orders,” to which Rule 111(c) does not assign any precedential or persuasive value, at least per the current version of Rule 111. Because these dispositions have no precedential or persuasive value, it is not necessary to authorize the Supreme Court to restrict or eliminate their use. The State Bar is aware that the Task Force on the</w:t>
      </w:r>
      <w:r w:rsidR="002C46B4">
        <w:rPr>
          <w:sz w:val="28"/>
          <w:szCs w:val="28"/>
        </w:rPr>
        <w:t xml:space="preserve"> Rules of the Arizona</w:t>
      </w:r>
      <w:r w:rsidR="008620E2">
        <w:rPr>
          <w:sz w:val="28"/>
          <w:szCs w:val="28"/>
        </w:rPr>
        <w:t xml:space="preserve"> </w:t>
      </w:r>
      <w:r w:rsidRPr="007C5539">
        <w:rPr>
          <w:sz w:val="28"/>
          <w:szCs w:val="28"/>
        </w:rPr>
        <w:t xml:space="preserve">Supreme Court is considering other </w:t>
      </w:r>
      <w:r w:rsidR="002C46B4">
        <w:rPr>
          <w:sz w:val="28"/>
          <w:szCs w:val="28"/>
        </w:rPr>
        <w:t xml:space="preserve">Supreme Court </w:t>
      </w:r>
      <w:r w:rsidRPr="007C5539">
        <w:rPr>
          <w:sz w:val="28"/>
          <w:szCs w:val="28"/>
        </w:rPr>
        <w:t>rules changes</w:t>
      </w:r>
      <w:r w:rsidR="002C46B4">
        <w:rPr>
          <w:sz w:val="28"/>
          <w:szCs w:val="28"/>
        </w:rPr>
        <w:t>, which may include proposed modifications to Rule 111</w:t>
      </w:r>
      <w:r w:rsidRPr="007C5539">
        <w:rPr>
          <w:sz w:val="28"/>
          <w:szCs w:val="28"/>
        </w:rPr>
        <w:t xml:space="preserve">. If the Task Force files a petition to modify Rule 111 which designates precedential or persuasive value to Decision Orders or Orders, the State Bar will comment on that </w:t>
      </w:r>
      <w:r w:rsidR="002C46B4">
        <w:rPr>
          <w:sz w:val="28"/>
          <w:szCs w:val="28"/>
        </w:rPr>
        <w:t>p</w:t>
      </w:r>
      <w:r w:rsidRPr="007C5539">
        <w:rPr>
          <w:sz w:val="28"/>
          <w:szCs w:val="28"/>
        </w:rPr>
        <w:t xml:space="preserve">etition.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2F931"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3AFB"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80128"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355A7"/>
    <w:rsid w:val="000410B3"/>
    <w:rsid w:val="00043D4D"/>
    <w:rsid w:val="00052372"/>
    <w:rsid w:val="000666D1"/>
    <w:rsid w:val="0008003D"/>
    <w:rsid w:val="000917C0"/>
    <w:rsid w:val="000A1D6B"/>
    <w:rsid w:val="000C48A9"/>
    <w:rsid w:val="000F7A7F"/>
    <w:rsid w:val="000F7C13"/>
    <w:rsid w:val="0012326F"/>
    <w:rsid w:val="00135326"/>
    <w:rsid w:val="00136236"/>
    <w:rsid w:val="0017006B"/>
    <w:rsid w:val="001A02F2"/>
    <w:rsid w:val="001A2520"/>
    <w:rsid w:val="001B0910"/>
    <w:rsid w:val="001C3759"/>
    <w:rsid w:val="001E0F34"/>
    <w:rsid w:val="001F591C"/>
    <w:rsid w:val="00205EA8"/>
    <w:rsid w:val="00207336"/>
    <w:rsid w:val="00214C6C"/>
    <w:rsid w:val="00235756"/>
    <w:rsid w:val="00267537"/>
    <w:rsid w:val="00274D6A"/>
    <w:rsid w:val="002A0417"/>
    <w:rsid w:val="002C46B4"/>
    <w:rsid w:val="002F6EE0"/>
    <w:rsid w:val="00334B42"/>
    <w:rsid w:val="00352347"/>
    <w:rsid w:val="003566D6"/>
    <w:rsid w:val="00357F4D"/>
    <w:rsid w:val="003617D1"/>
    <w:rsid w:val="00377199"/>
    <w:rsid w:val="00382333"/>
    <w:rsid w:val="003A28AC"/>
    <w:rsid w:val="003D4FF5"/>
    <w:rsid w:val="004035B3"/>
    <w:rsid w:val="00407E2D"/>
    <w:rsid w:val="004331B2"/>
    <w:rsid w:val="00440E4C"/>
    <w:rsid w:val="00444C0C"/>
    <w:rsid w:val="004520E4"/>
    <w:rsid w:val="00463734"/>
    <w:rsid w:val="00494BDF"/>
    <w:rsid w:val="004B4A75"/>
    <w:rsid w:val="004C3AE3"/>
    <w:rsid w:val="004F1459"/>
    <w:rsid w:val="00504E1E"/>
    <w:rsid w:val="00506859"/>
    <w:rsid w:val="00520F93"/>
    <w:rsid w:val="00526E19"/>
    <w:rsid w:val="005614F7"/>
    <w:rsid w:val="00566856"/>
    <w:rsid w:val="0057403A"/>
    <w:rsid w:val="005845AE"/>
    <w:rsid w:val="005A21B0"/>
    <w:rsid w:val="005B5161"/>
    <w:rsid w:val="005D6AD4"/>
    <w:rsid w:val="00622138"/>
    <w:rsid w:val="006338C1"/>
    <w:rsid w:val="00636F5E"/>
    <w:rsid w:val="00665CCF"/>
    <w:rsid w:val="006666D1"/>
    <w:rsid w:val="006721EC"/>
    <w:rsid w:val="006766BF"/>
    <w:rsid w:val="00692391"/>
    <w:rsid w:val="006932BA"/>
    <w:rsid w:val="006A2F9E"/>
    <w:rsid w:val="006B4F9A"/>
    <w:rsid w:val="006D7DFC"/>
    <w:rsid w:val="006E4355"/>
    <w:rsid w:val="006E4770"/>
    <w:rsid w:val="006F63FD"/>
    <w:rsid w:val="00732169"/>
    <w:rsid w:val="00735659"/>
    <w:rsid w:val="007427C6"/>
    <w:rsid w:val="0077087F"/>
    <w:rsid w:val="0077110E"/>
    <w:rsid w:val="007870CB"/>
    <w:rsid w:val="00793553"/>
    <w:rsid w:val="007A3F0F"/>
    <w:rsid w:val="007C5539"/>
    <w:rsid w:val="007D5C49"/>
    <w:rsid w:val="007D6BE6"/>
    <w:rsid w:val="007D73FF"/>
    <w:rsid w:val="007E3CCB"/>
    <w:rsid w:val="007F18AF"/>
    <w:rsid w:val="008006ED"/>
    <w:rsid w:val="00816D51"/>
    <w:rsid w:val="00822598"/>
    <w:rsid w:val="008360A1"/>
    <w:rsid w:val="00852F55"/>
    <w:rsid w:val="008541FE"/>
    <w:rsid w:val="00861563"/>
    <w:rsid w:val="008620E2"/>
    <w:rsid w:val="0086770A"/>
    <w:rsid w:val="00871AAA"/>
    <w:rsid w:val="00876F57"/>
    <w:rsid w:val="00891AAA"/>
    <w:rsid w:val="0089339E"/>
    <w:rsid w:val="008A4EB3"/>
    <w:rsid w:val="008E1C27"/>
    <w:rsid w:val="008F6169"/>
    <w:rsid w:val="0090574C"/>
    <w:rsid w:val="00931F22"/>
    <w:rsid w:val="00933EA1"/>
    <w:rsid w:val="0095077F"/>
    <w:rsid w:val="00951416"/>
    <w:rsid w:val="00954A5E"/>
    <w:rsid w:val="00960D21"/>
    <w:rsid w:val="00981D29"/>
    <w:rsid w:val="00981E11"/>
    <w:rsid w:val="009866B4"/>
    <w:rsid w:val="00A15221"/>
    <w:rsid w:val="00A1564B"/>
    <w:rsid w:val="00A4249C"/>
    <w:rsid w:val="00A5194F"/>
    <w:rsid w:val="00A53973"/>
    <w:rsid w:val="00A871D6"/>
    <w:rsid w:val="00A93A7C"/>
    <w:rsid w:val="00AB3AB4"/>
    <w:rsid w:val="00AC7694"/>
    <w:rsid w:val="00AF282C"/>
    <w:rsid w:val="00AF3FF7"/>
    <w:rsid w:val="00B1491D"/>
    <w:rsid w:val="00B269C2"/>
    <w:rsid w:val="00B47114"/>
    <w:rsid w:val="00B47B7D"/>
    <w:rsid w:val="00B84D15"/>
    <w:rsid w:val="00BC3B7D"/>
    <w:rsid w:val="00C03E0F"/>
    <w:rsid w:val="00C52E56"/>
    <w:rsid w:val="00C5407A"/>
    <w:rsid w:val="00C662B0"/>
    <w:rsid w:val="00C84FD4"/>
    <w:rsid w:val="00C958EE"/>
    <w:rsid w:val="00CD21FB"/>
    <w:rsid w:val="00D0315E"/>
    <w:rsid w:val="00D326F2"/>
    <w:rsid w:val="00D423FE"/>
    <w:rsid w:val="00D442E4"/>
    <w:rsid w:val="00D45D20"/>
    <w:rsid w:val="00D56CE0"/>
    <w:rsid w:val="00D60D9B"/>
    <w:rsid w:val="00D80EDC"/>
    <w:rsid w:val="00DF4F15"/>
    <w:rsid w:val="00E03FE6"/>
    <w:rsid w:val="00E047D3"/>
    <w:rsid w:val="00E25307"/>
    <w:rsid w:val="00E266B7"/>
    <w:rsid w:val="00E321C5"/>
    <w:rsid w:val="00E3752E"/>
    <w:rsid w:val="00E5772B"/>
    <w:rsid w:val="00E651A9"/>
    <w:rsid w:val="00E67511"/>
    <w:rsid w:val="00E81026"/>
    <w:rsid w:val="00E82D0F"/>
    <w:rsid w:val="00E950B5"/>
    <w:rsid w:val="00EB02D5"/>
    <w:rsid w:val="00F05879"/>
    <w:rsid w:val="00F06F5B"/>
    <w:rsid w:val="00F233FE"/>
    <w:rsid w:val="00F2485D"/>
    <w:rsid w:val="00F33926"/>
    <w:rsid w:val="00F511E5"/>
    <w:rsid w:val="00F60C61"/>
    <w:rsid w:val="00F64B52"/>
    <w:rsid w:val="00F850BE"/>
    <w:rsid w:val="00FB5291"/>
    <w:rsid w:val="00FB5E84"/>
    <w:rsid w:val="00FF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Revision">
    <w:name w:val="Revision"/>
    <w:hidden/>
    <w:uiPriority w:val="99"/>
    <w:semiHidden/>
    <w:rsid w:val="00BC3B7D"/>
  </w:style>
  <w:style w:type="character" w:styleId="UnresolvedMention">
    <w:name w:val="Unresolved Mention"/>
    <w:basedOn w:val="DefaultParagraphFont"/>
    <w:uiPriority w:val="99"/>
    <w:semiHidden/>
    <w:unhideWhenUsed/>
    <w:rsid w:val="004B4A75"/>
    <w:rPr>
      <w:color w:val="605E5C"/>
      <w:shd w:val="clear" w:color="auto" w:fill="E1DFDD"/>
    </w:rPr>
  </w:style>
  <w:style w:type="paragraph" w:customStyle="1" w:styleId="Pleading">
    <w:name w:val="Pleading"/>
    <w:basedOn w:val="Normal"/>
    <w:link w:val="PleadingChar"/>
    <w:qFormat/>
    <w:rsid w:val="007C5539"/>
    <w:pPr>
      <w:spacing w:line="480" w:lineRule="auto"/>
      <w:ind w:firstLine="720"/>
    </w:pPr>
    <w:rPr>
      <w:sz w:val="28"/>
    </w:rPr>
  </w:style>
  <w:style w:type="character" w:customStyle="1" w:styleId="PleadingChar">
    <w:name w:val="Pleading Char"/>
    <w:basedOn w:val="DefaultParagraphFont"/>
    <w:link w:val="Pleading"/>
    <w:rsid w:val="007C5539"/>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1</TotalTime>
  <Pages>3</Pages>
  <Words>347</Words>
  <Characters>1892</Characters>
  <Application>Microsoft Office Word</Application>
  <DocSecurity>0</DocSecurity>
  <Lines>57</Lines>
  <Paragraphs>23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2026-05-01T20:48:00Z</dcterms:created>
  <dcterms:modified xsi:type="dcterms:W3CDTF">2026-05-01T20:48:00Z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