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42280E0B" w14:textId="77777777" w:rsidR="00F216D4" w:rsidRPr="00BC3B7D" w:rsidRDefault="00F216D4" w:rsidP="00F216D4">
            <w:pPr>
              <w:pStyle w:val="FirmInformation"/>
              <w:spacing w:line="240" w:lineRule="auto"/>
              <w:rPr>
                <w:sz w:val="28"/>
                <w:szCs w:val="28"/>
                <w:lang w:val="pt-BR"/>
              </w:rPr>
            </w:pPr>
            <w:bookmarkStart w:id="0" w:name="_zzmpFIXED_CounselTable"/>
            <w:r w:rsidRPr="00BC3B7D">
              <w:rPr>
                <w:sz w:val="28"/>
                <w:szCs w:val="28"/>
                <w:lang w:val="pt-BR"/>
              </w:rPr>
              <w:t>Jessica J. Fotinos, Bar No. 019777</w:t>
            </w:r>
          </w:p>
          <w:p w14:paraId="15AF99BC" w14:textId="77777777" w:rsidR="00F216D4" w:rsidRPr="001B0910" w:rsidRDefault="00F216D4" w:rsidP="00F216D4">
            <w:pPr>
              <w:pStyle w:val="FirmInformation"/>
              <w:spacing w:line="240" w:lineRule="auto"/>
              <w:rPr>
                <w:sz w:val="28"/>
                <w:szCs w:val="28"/>
              </w:rPr>
            </w:pPr>
            <w:r w:rsidRPr="001B0910">
              <w:rPr>
                <w:sz w:val="28"/>
                <w:szCs w:val="28"/>
              </w:rPr>
              <w:t>General Counsel</w:t>
            </w:r>
          </w:p>
          <w:p w14:paraId="0CA97DB1" w14:textId="77777777" w:rsidR="00F216D4" w:rsidRPr="001B0910" w:rsidRDefault="00F216D4" w:rsidP="00F216D4">
            <w:pPr>
              <w:pStyle w:val="FirmInformation"/>
              <w:spacing w:line="240" w:lineRule="auto"/>
              <w:rPr>
                <w:sz w:val="28"/>
                <w:szCs w:val="28"/>
              </w:rPr>
            </w:pPr>
            <w:r w:rsidRPr="001B0910">
              <w:rPr>
                <w:sz w:val="28"/>
                <w:szCs w:val="28"/>
              </w:rPr>
              <w:t>State Bar of Arizona</w:t>
            </w:r>
          </w:p>
          <w:p w14:paraId="5D47B236" w14:textId="77777777" w:rsidR="00F216D4" w:rsidRPr="001B0910" w:rsidRDefault="00F216D4" w:rsidP="00F216D4">
            <w:pPr>
              <w:pStyle w:val="FirmInformation"/>
              <w:spacing w:line="240" w:lineRule="auto"/>
              <w:rPr>
                <w:sz w:val="28"/>
                <w:szCs w:val="28"/>
              </w:rPr>
            </w:pPr>
            <w:r w:rsidRPr="001B0910">
              <w:rPr>
                <w:sz w:val="28"/>
                <w:szCs w:val="28"/>
              </w:rPr>
              <w:t>4201 N. 24th Street, Suite 100</w:t>
            </w:r>
          </w:p>
          <w:p w14:paraId="228CA353" w14:textId="77777777" w:rsidR="00F216D4" w:rsidRPr="001B0910" w:rsidRDefault="00F216D4" w:rsidP="00F216D4">
            <w:pPr>
              <w:pStyle w:val="FirmInformation"/>
              <w:spacing w:line="240" w:lineRule="auto"/>
              <w:rPr>
                <w:sz w:val="28"/>
                <w:szCs w:val="28"/>
              </w:rPr>
            </w:pPr>
            <w:r w:rsidRPr="001B0910">
              <w:rPr>
                <w:sz w:val="28"/>
                <w:szCs w:val="28"/>
              </w:rPr>
              <w:t>Phoenix, AZ  85016-6288</w:t>
            </w:r>
          </w:p>
          <w:p w14:paraId="7B3DBC20" w14:textId="08627B9A" w:rsidR="006F63FD" w:rsidRPr="00735659" w:rsidRDefault="00F216D4" w:rsidP="00F216D4">
            <w:pPr>
              <w:pStyle w:val="FirmInformation"/>
              <w:spacing w:line="240" w:lineRule="auto"/>
              <w:rPr>
                <w:sz w:val="28"/>
                <w:szCs w:val="28"/>
              </w:rPr>
            </w:pPr>
            <w:r w:rsidRPr="001B0910">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8C6B1B" w:rsidRPr="000F7A7F" w14:paraId="08D4119C" w14:textId="77777777" w:rsidTr="009C46DD">
        <w:tc>
          <w:tcPr>
            <w:tcW w:w="4680" w:type="dxa"/>
            <w:tcBorders>
              <w:top w:val="nil"/>
              <w:bottom w:val="single" w:sz="4" w:space="0" w:color="auto"/>
              <w:right w:val="single" w:sz="4" w:space="0" w:color="auto"/>
            </w:tcBorders>
          </w:tcPr>
          <w:p w14:paraId="3C4493D3" w14:textId="773CA959" w:rsidR="008C6B1B" w:rsidRPr="00B116BA" w:rsidRDefault="00F216D4" w:rsidP="009C46DD">
            <w:pPr>
              <w:pStyle w:val="Caption"/>
              <w:spacing w:before="240" w:line="260" w:lineRule="exact"/>
              <w:rPr>
                <w:sz w:val="28"/>
                <w:szCs w:val="28"/>
              </w:rPr>
            </w:pPr>
            <w:r>
              <w:rPr>
                <w:b/>
                <w:bCs w:val="0"/>
                <w:sz w:val="28"/>
                <w:szCs w:val="28"/>
              </w:rPr>
              <w:t>PETITION TO AMEND RULE 3 OF THE ARIZONA RULES OF PROCEDURE FOR SPECIAL ACTIONS</w:t>
            </w:r>
          </w:p>
        </w:tc>
        <w:tc>
          <w:tcPr>
            <w:tcW w:w="4524" w:type="dxa"/>
            <w:tcBorders>
              <w:top w:val="nil"/>
              <w:left w:val="single" w:sz="4" w:space="0" w:color="auto"/>
            </w:tcBorders>
          </w:tcPr>
          <w:p w14:paraId="2DE7EB7B" w14:textId="0420AFAA" w:rsidR="008C6B1B" w:rsidRPr="006F63FD" w:rsidRDefault="008C6B1B" w:rsidP="009C46DD">
            <w:pPr>
              <w:pStyle w:val="Caption"/>
              <w:tabs>
                <w:tab w:val="left" w:pos="1238"/>
              </w:tabs>
              <w:spacing w:before="240" w:after="240"/>
              <w:ind w:left="259" w:right="115"/>
              <w:rPr>
                <w:sz w:val="28"/>
                <w:szCs w:val="28"/>
              </w:rPr>
            </w:pPr>
            <w:r w:rsidRPr="006F63FD">
              <w:rPr>
                <w:sz w:val="28"/>
                <w:szCs w:val="28"/>
              </w:rPr>
              <w:t>Supreme Court No. R</w:t>
            </w:r>
            <w:r>
              <w:rPr>
                <w:sz w:val="28"/>
                <w:szCs w:val="28"/>
              </w:rPr>
              <w:t>-</w:t>
            </w:r>
            <w:r w:rsidR="00B116BA">
              <w:rPr>
                <w:sz w:val="28"/>
                <w:szCs w:val="28"/>
              </w:rPr>
              <w:t>26</w:t>
            </w:r>
            <w:r>
              <w:rPr>
                <w:sz w:val="28"/>
                <w:szCs w:val="28"/>
              </w:rPr>
              <w:t>-00</w:t>
            </w:r>
            <w:r w:rsidR="00B116BA">
              <w:rPr>
                <w:sz w:val="28"/>
                <w:szCs w:val="28"/>
              </w:rPr>
              <w:t>11</w:t>
            </w:r>
          </w:p>
          <w:p w14:paraId="3541A1C1" w14:textId="77777777" w:rsidR="008C6B1B" w:rsidRPr="00405DAC" w:rsidRDefault="008C6B1B" w:rsidP="009C46DD">
            <w:pPr>
              <w:pStyle w:val="Caption"/>
              <w:tabs>
                <w:tab w:val="left" w:pos="1238"/>
              </w:tabs>
              <w:spacing w:line="260" w:lineRule="exact"/>
              <w:ind w:right="115"/>
              <w:jc w:val="center"/>
              <w:rPr>
                <w:b/>
                <w:sz w:val="28"/>
                <w:szCs w:val="28"/>
              </w:rPr>
            </w:pPr>
            <w:r w:rsidRPr="00405DAC">
              <w:rPr>
                <w:b/>
                <w:sz w:val="28"/>
                <w:szCs w:val="28"/>
              </w:rPr>
              <w:t>STATE BAR OF ARIZONA COMMENT</w:t>
            </w:r>
          </w:p>
          <w:p w14:paraId="31E73B50" w14:textId="77777777" w:rsidR="008C6B1B" w:rsidRPr="000F7A7F" w:rsidRDefault="008C6B1B" w:rsidP="009C46DD">
            <w:pPr>
              <w:pStyle w:val="DocumentTitle"/>
              <w:rPr>
                <w:szCs w:val="26"/>
              </w:rPr>
            </w:pPr>
          </w:p>
          <w:p w14:paraId="0EDB2982" w14:textId="77777777" w:rsidR="008C6B1B" w:rsidRPr="000F7A7F" w:rsidRDefault="008C6B1B" w:rsidP="009C46DD">
            <w:pPr>
              <w:pStyle w:val="Caption"/>
              <w:ind w:left="1512" w:right="115" w:hanging="1253"/>
              <w:rPr>
                <w:szCs w:val="26"/>
              </w:rPr>
            </w:pPr>
          </w:p>
        </w:tc>
      </w:tr>
    </w:tbl>
    <w:p w14:paraId="6A2021E7" w14:textId="77777777" w:rsidR="008C6B1B" w:rsidRDefault="008C6B1B" w:rsidP="009356AC">
      <w:pPr>
        <w:pStyle w:val="Body"/>
        <w:widowControl w:val="0"/>
        <w:spacing w:line="480" w:lineRule="auto"/>
        <w:ind w:firstLine="720"/>
        <w:jc w:val="both"/>
        <w:rPr>
          <w:sz w:val="28"/>
          <w:szCs w:val="28"/>
        </w:rPr>
      </w:pPr>
    </w:p>
    <w:p w14:paraId="30A2EFA3" w14:textId="504D51F6" w:rsidR="00A97B3C" w:rsidRDefault="00A97B3C" w:rsidP="008C6B1B">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w:t>
      </w:r>
      <w:r w:rsidR="00F216D4">
        <w:rPr>
          <w:sz w:val="28"/>
          <w:szCs w:val="28"/>
        </w:rPr>
        <w:t xml:space="preserve">(“State Bar”) </w:t>
      </w:r>
      <w:r w:rsidRPr="007B7449">
        <w:rPr>
          <w:sz w:val="28"/>
          <w:szCs w:val="28"/>
        </w:rPr>
        <w:t xml:space="preserve">hereby </w:t>
      </w:r>
      <w:r>
        <w:rPr>
          <w:sz w:val="28"/>
          <w:szCs w:val="28"/>
        </w:rPr>
        <w:t xml:space="preserve">submits the following comment </w:t>
      </w:r>
      <w:r w:rsidR="006769A0">
        <w:rPr>
          <w:sz w:val="28"/>
          <w:szCs w:val="28"/>
        </w:rPr>
        <w:t xml:space="preserve">in opposition </w:t>
      </w:r>
      <w:r>
        <w:rPr>
          <w:sz w:val="28"/>
          <w:szCs w:val="28"/>
        </w:rPr>
        <w:t xml:space="preserve">to the above-captioned Petition. </w:t>
      </w:r>
    </w:p>
    <w:p w14:paraId="227C59EA" w14:textId="77777777" w:rsidR="00EE2C29" w:rsidRDefault="00A43B3D" w:rsidP="00EE2C29">
      <w:pPr>
        <w:pStyle w:val="Body"/>
        <w:widowControl w:val="0"/>
        <w:spacing w:line="480" w:lineRule="auto"/>
        <w:ind w:firstLine="720"/>
        <w:jc w:val="both"/>
        <w:rPr>
          <w:sz w:val="28"/>
          <w:szCs w:val="28"/>
        </w:rPr>
      </w:pPr>
      <w:r>
        <w:rPr>
          <w:sz w:val="28"/>
          <w:szCs w:val="28"/>
        </w:rPr>
        <w:t xml:space="preserve">The Petition seeks to amend </w:t>
      </w:r>
      <w:r w:rsidR="00BF40AC">
        <w:rPr>
          <w:sz w:val="28"/>
          <w:szCs w:val="28"/>
        </w:rPr>
        <w:t xml:space="preserve">Rule 3 of the </w:t>
      </w:r>
      <w:bookmarkStart w:id="1" w:name="_Hlk220412461"/>
      <w:r w:rsidR="00BF40AC">
        <w:rPr>
          <w:sz w:val="28"/>
          <w:szCs w:val="28"/>
        </w:rPr>
        <w:t>Rules of Procedure for Special Actions</w:t>
      </w:r>
      <w:bookmarkEnd w:id="1"/>
      <w:r w:rsidR="00BF40AC">
        <w:rPr>
          <w:rStyle w:val="FootnoteReference"/>
          <w:sz w:val="28"/>
          <w:szCs w:val="28"/>
        </w:rPr>
        <w:footnoteReference w:id="1"/>
      </w:r>
      <w:r>
        <w:rPr>
          <w:sz w:val="28"/>
          <w:szCs w:val="28"/>
        </w:rPr>
        <w:t xml:space="preserve"> to </w:t>
      </w:r>
      <w:r w:rsidR="0028148F">
        <w:rPr>
          <w:sz w:val="28"/>
          <w:szCs w:val="28"/>
        </w:rPr>
        <w:t xml:space="preserve">further clarify </w:t>
      </w:r>
      <w:r>
        <w:rPr>
          <w:sz w:val="28"/>
          <w:szCs w:val="28"/>
        </w:rPr>
        <w:t>“</w:t>
      </w:r>
      <w:r w:rsidRPr="00A43B3D">
        <w:rPr>
          <w:sz w:val="28"/>
          <w:szCs w:val="28"/>
        </w:rPr>
        <w:t>that the questions that may be raised in statutory special actions are</w:t>
      </w:r>
      <w:r>
        <w:rPr>
          <w:sz w:val="28"/>
          <w:szCs w:val="28"/>
        </w:rPr>
        <w:t xml:space="preserve"> </w:t>
      </w:r>
      <w:r w:rsidRPr="00A43B3D">
        <w:rPr>
          <w:sz w:val="28"/>
          <w:szCs w:val="28"/>
        </w:rPr>
        <w:t>not limited to those specified in the rules for other special actions derived from</w:t>
      </w:r>
      <w:r>
        <w:rPr>
          <w:sz w:val="28"/>
          <w:szCs w:val="28"/>
        </w:rPr>
        <w:t xml:space="preserve"> </w:t>
      </w:r>
      <w:r w:rsidRPr="00A43B3D">
        <w:rPr>
          <w:sz w:val="28"/>
          <w:szCs w:val="28"/>
        </w:rPr>
        <w:t>common law writs.</w:t>
      </w:r>
      <w:r>
        <w:rPr>
          <w:sz w:val="28"/>
          <w:szCs w:val="28"/>
        </w:rPr>
        <w:t>”</w:t>
      </w:r>
    </w:p>
    <w:p w14:paraId="4E34C3C2" w14:textId="4347545D" w:rsidR="00BF40AC" w:rsidRDefault="00A43B3D" w:rsidP="00EE2C29">
      <w:pPr>
        <w:pStyle w:val="Body"/>
        <w:widowControl w:val="0"/>
        <w:spacing w:line="480" w:lineRule="auto"/>
        <w:ind w:firstLine="720"/>
        <w:jc w:val="both"/>
        <w:rPr>
          <w:sz w:val="28"/>
          <w:szCs w:val="28"/>
        </w:rPr>
      </w:pPr>
      <w:r>
        <w:rPr>
          <w:sz w:val="28"/>
          <w:szCs w:val="28"/>
        </w:rPr>
        <w:t>S</w:t>
      </w:r>
      <w:r w:rsidR="00856A58">
        <w:rPr>
          <w:sz w:val="28"/>
          <w:szCs w:val="28"/>
        </w:rPr>
        <w:t xml:space="preserve">everal Arizona statutes allow an aggrieved party to file a special action to </w:t>
      </w:r>
      <w:r w:rsidR="00856A58">
        <w:rPr>
          <w:sz w:val="28"/>
          <w:szCs w:val="28"/>
        </w:rPr>
        <w:lastRenderedPageBreak/>
        <w:t xml:space="preserve">seek judicial review of </w:t>
      </w:r>
      <w:r w:rsidR="00643127">
        <w:rPr>
          <w:sz w:val="28"/>
          <w:szCs w:val="28"/>
        </w:rPr>
        <w:t xml:space="preserve">a </w:t>
      </w:r>
      <w:r w:rsidR="00856A58">
        <w:rPr>
          <w:sz w:val="28"/>
          <w:szCs w:val="28"/>
        </w:rPr>
        <w:t xml:space="preserve">decision by a public body, officer, or person.  The comment to Rule 3 contains a </w:t>
      </w:r>
      <w:r w:rsidR="00BF40AC">
        <w:rPr>
          <w:sz w:val="28"/>
          <w:szCs w:val="28"/>
        </w:rPr>
        <w:t xml:space="preserve">non-exclusive </w:t>
      </w:r>
      <w:r w:rsidR="00856A58">
        <w:rPr>
          <w:sz w:val="28"/>
          <w:szCs w:val="28"/>
        </w:rPr>
        <w:t xml:space="preserve">list of those statutes.  </w:t>
      </w:r>
      <w:r w:rsidR="002F5EDA">
        <w:rPr>
          <w:sz w:val="28"/>
          <w:szCs w:val="28"/>
        </w:rPr>
        <w:t xml:space="preserve">These are known as </w:t>
      </w:r>
      <w:r w:rsidR="00856A58">
        <w:rPr>
          <w:sz w:val="28"/>
          <w:szCs w:val="28"/>
        </w:rPr>
        <w:t xml:space="preserve">“statutory special actions.” </w:t>
      </w:r>
      <w:r w:rsidR="002F5EDA">
        <w:rPr>
          <w:sz w:val="28"/>
          <w:szCs w:val="28"/>
        </w:rPr>
        <w:t xml:space="preserve"> </w:t>
      </w:r>
      <w:r w:rsidR="002F5EDA">
        <w:rPr>
          <w:i/>
          <w:iCs/>
          <w:sz w:val="28"/>
          <w:szCs w:val="28"/>
        </w:rPr>
        <w:t>See</w:t>
      </w:r>
      <w:r w:rsidR="002F5EDA">
        <w:rPr>
          <w:sz w:val="28"/>
          <w:szCs w:val="28"/>
        </w:rPr>
        <w:t xml:space="preserve"> Rule 3.</w:t>
      </w:r>
      <w:r w:rsidR="00856A58">
        <w:rPr>
          <w:sz w:val="28"/>
          <w:szCs w:val="28"/>
        </w:rPr>
        <w:t xml:space="preserve"> The </w:t>
      </w:r>
      <w:r w:rsidR="002F5EDA">
        <w:rPr>
          <w:sz w:val="28"/>
          <w:szCs w:val="28"/>
        </w:rPr>
        <w:t xml:space="preserve">same </w:t>
      </w:r>
      <w:r w:rsidR="00856A58">
        <w:rPr>
          <w:sz w:val="28"/>
          <w:szCs w:val="28"/>
        </w:rPr>
        <w:t xml:space="preserve">Rules </w:t>
      </w:r>
      <w:r w:rsidR="002F5EDA">
        <w:rPr>
          <w:sz w:val="28"/>
          <w:szCs w:val="28"/>
        </w:rPr>
        <w:t xml:space="preserve">also </w:t>
      </w:r>
      <w:r w:rsidR="00BF40AC">
        <w:rPr>
          <w:sz w:val="28"/>
          <w:szCs w:val="28"/>
        </w:rPr>
        <w:t xml:space="preserve">govern suits seeking relief by certiorari, mandamus, or prohibition.  </w:t>
      </w:r>
      <w:r w:rsidR="00BF40AC">
        <w:rPr>
          <w:i/>
          <w:iCs/>
          <w:sz w:val="28"/>
          <w:szCs w:val="28"/>
        </w:rPr>
        <w:t xml:space="preserve">See </w:t>
      </w:r>
      <w:r w:rsidR="00BF40AC">
        <w:rPr>
          <w:sz w:val="28"/>
          <w:szCs w:val="28"/>
        </w:rPr>
        <w:t xml:space="preserve">Rule 2(c).  While the Rules do not give </w:t>
      </w:r>
      <w:r w:rsidR="00426D85">
        <w:rPr>
          <w:sz w:val="28"/>
          <w:szCs w:val="28"/>
        </w:rPr>
        <w:t>this second type of s</w:t>
      </w:r>
      <w:r w:rsidR="00643127">
        <w:rPr>
          <w:sz w:val="28"/>
          <w:szCs w:val="28"/>
        </w:rPr>
        <w:t xml:space="preserve">pecial action </w:t>
      </w:r>
      <w:r w:rsidR="00BF40AC">
        <w:rPr>
          <w:sz w:val="28"/>
          <w:szCs w:val="28"/>
        </w:rPr>
        <w:t>a name, they are generally known as common law special actions or special actions seeking an extraordinary writ</w:t>
      </w:r>
      <w:r w:rsidR="002B222B">
        <w:rPr>
          <w:sz w:val="28"/>
          <w:szCs w:val="28"/>
        </w:rPr>
        <w:t xml:space="preserve"> (together with common law special action</w:t>
      </w:r>
      <w:r w:rsidR="00133FEE">
        <w:rPr>
          <w:sz w:val="28"/>
          <w:szCs w:val="28"/>
        </w:rPr>
        <w:t>s</w:t>
      </w:r>
      <w:r w:rsidR="002B222B">
        <w:rPr>
          <w:sz w:val="28"/>
          <w:szCs w:val="28"/>
        </w:rPr>
        <w:t>, the “Old Writs”)</w:t>
      </w:r>
      <w:r w:rsidR="00BF40AC">
        <w:rPr>
          <w:sz w:val="28"/>
          <w:szCs w:val="28"/>
        </w:rPr>
        <w:t>.</w:t>
      </w:r>
    </w:p>
    <w:p w14:paraId="4AAA1D08" w14:textId="440B2F02" w:rsidR="00A43B3D" w:rsidRDefault="00BF40AC" w:rsidP="00A43B3D">
      <w:pPr>
        <w:pStyle w:val="Body"/>
        <w:widowControl w:val="0"/>
        <w:spacing w:line="480" w:lineRule="auto"/>
        <w:ind w:firstLine="720"/>
        <w:jc w:val="both"/>
        <w:rPr>
          <w:sz w:val="28"/>
          <w:szCs w:val="28"/>
        </w:rPr>
      </w:pPr>
      <w:r>
        <w:rPr>
          <w:sz w:val="28"/>
          <w:szCs w:val="28"/>
        </w:rPr>
        <w:t>Rule 4</w:t>
      </w:r>
      <w:r w:rsidR="004632B2">
        <w:rPr>
          <w:sz w:val="28"/>
          <w:szCs w:val="28"/>
        </w:rPr>
        <w:t>, which</w:t>
      </w:r>
      <w:r w:rsidR="004632B2" w:rsidRPr="004632B2">
        <w:rPr>
          <w:sz w:val="28"/>
          <w:szCs w:val="28"/>
        </w:rPr>
        <w:t xml:space="preserve"> applies to both statutory special actions and </w:t>
      </w:r>
      <w:r w:rsidR="002B222B">
        <w:rPr>
          <w:sz w:val="28"/>
          <w:szCs w:val="28"/>
        </w:rPr>
        <w:t>the Old Writs</w:t>
      </w:r>
      <w:r w:rsidR="004632B2">
        <w:rPr>
          <w:sz w:val="28"/>
          <w:szCs w:val="28"/>
        </w:rPr>
        <w:t>,</w:t>
      </w:r>
      <w:r>
        <w:rPr>
          <w:sz w:val="28"/>
          <w:szCs w:val="28"/>
        </w:rPr>
        <w:t xml:space="preserve"> limits the </w:t>
      </w:r>
      <w:r w:rsidR="000B39E6">
        <w:rPr>
          <w:sz w:val="28"/>
          <w:szCs w:val="28"/>
        </w:rPr>
        <w:t>court’s scope of review</w:t>
      </w:r>
      <w:r w:rsidR="00A62C1F">
        <w:rPr>
          <w:rStyle w:val="FootnoteReference"/>
          <w:sz w:val="28"/>
          <w:szCs w:val="28"/>
        </w:rPr>
        <w:footnoteReference w:id="2"/>
      </w:r>
      <w:r w:rsidR="000B39E6">
        <w:rPr>
          <w:sz w:val="28"/>
          <w:szCs w:val="28"/>
        </w:rPr>
        <w:t xml:space="preserve"> </w:t>
      </w:r>
      <w:r w:rsidR="006769A0">
        <w:rPr>
          <w:sz w:val="28"/>
          <w:szCs w:val="28"/>
        </w:rPr>
        <w:t>in a special action as follows:</w:t>
      </w:r>
      <w:r>
        <w:rPr>
          <w:sz w:val="28"/>
          <w:szCs w:val="28"/>
        </w:rPr>
        <w:t xml:space="preserve">  </w:t>
      </w:r>
    </w:p>
    <w:p w14:paraId="1951BBB9" w14:textId="77777777" w:rsidR="006769A0" w:rsidRDefault="006769A0" w:rsidP="006769A0">
      <w:pPr>
        <w:pStyle w:val="Body"/>
        <w:widowControl w:val="0"/>
        <w:spacing w:line="240" w:lineRule="auto"/>
        <w:ind w:left="720" w:right="720" w:firstLine="0"/>
        <w:jc w:val="both"/>
        <w:rPr>
          <w:sz w:val="28"/>
          <w:szCs w:val="28"/>
        </w:rPr>
      </w:pPr>
      <w:r w:rsidRPr="006769A0">
        <w:rPr>
          <w:sz w:val="28"/>
          <w:szCs w:val="28"/>
        </w:rPr>
        <w:t>A special action may be brought only if a lower court or a body, officer, or person:</w:t>
      </w:r>
    </w:p>
    <w:p w14:paraId="06236BDD" w14:textId="77777777" w:rsidR="006769A0" w:rsidRPr="006769A0" w:rsidRDefault="006769A0" w:rsidP="006769A0">
      <w:pPr>
        <w:pStyle w:val="Body"/>
        <w:widowControl w:val="0"/>
        <w:spacing w:line="240" w:lineRule="auto"/>
        <w:ind w:left="720" w:right="720" w:firstLine="0"/>
        <w:jc w:val="both"/>
        <w:rPr>
          <w:sz w:val="28"/>
          <w:szCs w:val="28"/>
        </w:rPr>
      </w:pPr>
    </w:p>
    <w:p w14:paraId="6F9B5516" w14:textId="77777777" w:rsidR="006769A0" w:rsidRPr="006769A0" w:rsidRDefault="006769A0" w:rsidP="006769A0">
      <w:pPr>
        <w:pStyle w:val="Body"/>
        <w:widowControl w:val="0"/>
        <w:spacing w:line="240" w:lineRule="auto"/>
        <w:ind w:left="720" w:right="720" w:firstLine="360"/>
        <w:jc w:val="both"/>
        <w:rPr>
          <w:sz w:val="28"/>
          <w:szCs w:val="28"/>
        </w:rPr>
      </w:pPr>
      <w:r w:rsidRPr="006769A0">
        <w:rPr>
          <w:sz w:val="28"/>
          <w:szCs w:val="28"/>
        </w:rPr>
        <w:t>(a) failed to exercise discretion that they have a duty to exercise; or failed to perform a duty required by law for which they have no discretion;</w:t>
      </w:r>
    </w:p>
    <w:p w14:paraId="16F5FFBE" w14:textId="77777777" w:rsidR="006769A0" w:rsidRPr="006769A0" w:rsidRDefault="006769A0" w:rsidP="006769A0">
      <w:pPr>
        <w:pStyle w:val="Body"/>
        <w:widowControl w:val="0"/>
        <w:spacing w:line="240" w:lineRule="auto"/>
        <w:ind w:left="720" w:right="720" w:firstLine="360"/>
        <w:jc w:val="both"/>
        <w:rPr>
          <w:sz w:val="28"/>
          <w:szCs w:val="28"/>
        </w:rPr>
      </w:pPr>
    </w:p>
    <w:p w14:paraId="351C25A1" w14:textId="17EDC046" w:rsidR="006769A0" w:rsidRPr="006769A0" w:rsidRDefault="006769A0" w:rsidP="006769A0">
      <w:pPr>
        <w:pStyle w:val="Body"/>
        <w:widowControl w:val="0"/>
        <w:spacing w:line="240" w:lineRule="auto"/>
        <w:ind w:left="720" w:right="720" w:firstLine="360"/>
        <w:jc w:val="both"/>
        <w:rPr>
          <w:sz w:val="28"/>
          <w:szCs w:val="28"/>
        </w:rPr>
      </w:pPr>
      <w:r w:rsidRPr="006769A0">
        <w:rPr>
          <w:sz w:val="28"/>
          <w:szCs w:val="28"/>
        </w:rPr>
        <w:t xml:space="preserve">(b) proceeded, or threatened to proceed, without, or </w:t>
      </w:r>
      <w:proofErr w:type="gramStart"/>
      <w:r w:rsidRPr="006769A0">
        <w:rPr>
          <w:sz w:val="28"/>
          <w:szCs w:val="28"/>
        </w:rPr>
        <w:t>in excess of</w:t>
      </w:r>
      <w:proofErr w:type="gramEnd"/>
      <w:r w:rsidRPr="006769A0">
        <w:rPr>
          <w:sz w:val="28"/>
          <w:szCs w:val="28"/>
        </w:rPr>
        <w:t>, jurisdiction or legal authority; or</w:t>
      </w:r>
    </w:p>
    <w:p w14:paraId="0E185406" w14:textId="77777777" w:rsidR="006769A0" w:rsidRPr="006769A0" w:rsidRDefault="006769A0" w:rsidP="006769A0">
      <w:pPr>
        <w:pStyle w:val="Body"/>
        <w:widowControl w:val="0"/>
        <w:spacing w:line="240" w:lineRule="auto"/>
        <w:ind w:left="720" w:right="720" w:firstLine="360"/>
        <w:jc w:val="both"/>
        <w:rPr>
          <w:sz w:val="28"/>
          <w:szCs w:val="28"/>
        </w:rPr>
      </w:pPr>
    </w:p>
    <w:p w14:paraId="13DC560D" w14:textId="4083747A" w:rsidR="006769A0" w:rsidRPr="006769A0" w:rsidRDefault="006769A0" w:rsidP="006769A0">
      <w:pPr>
        <w:pStyle w:val="Body"/>
        <w:widowControl w:val="0"/>
        <w:spacing w:after="240" w:line="240" w:lineRule="auto"/>
        <w:ind w:left="720" w:right="720" w:firstLine="360"/>
        <w:jc w:val="both"/>
        <w:rPr>
          <w:sz w:val="28"/>
          <w:szCs w:val="28"/>
        </w:rPr>
      </w:pPr>
      <w:r w:rsidRPr="006769A0">
        <w:rPr>
          <w:sz w:val="28"/>
          <w:szCs w:val="28"/>
        </w:rPr>
        <w:t xml:space="preserve">(c) made a decision that was arbitrary and capricious or an abuse of discretion, which </w:t>
      </w:r>
      <w:proofErr w:type="gramStart"/>
      <w:r w:rsidRPr="006769A0">
        <w:rPr>
          <w:sz w:val="28"/>
          <w:szCs w:val="28"/>
        </w:rPr>
        <w:t>can</w:t>
      </w:r>
      <w:proofErr w:type="gramEnd"/>
      <w:r w:rsidRPr="006769A0">
        <w:rPr>
          <w:sz w:val="28"/>
          <w:szCs w:val="28"/>
        </w:rPr>
        <w:t xml:space="preserve"> include a legal error.</w:t>
      </w:r>
    </w:p>
    <w:p w14:paraId="7D69F660" w14:textId="51A20625" w:rsidR="00D0271B" w:rsidRDefault="00D0271B" w:rsidP="00EE2C29">
      <w:pPr>
        <w:pStyle w:val="Body"/>
        <w:keepNext/>
        <w:keepLines/>
        <w:spacing w:line="480" w:lineRule="auto"/>
        <w:ind w:firstLine="720"/>
        <w:jc w:val="both"/>
        <w:rPr>
          <w:sz w:val="28"/>
          <w:szCs w:val="28"/>
        </w:rPr>
      </w:pPr>
      <w:bookmarkStart w:id="2" w:name="_Hlk193702315"/>
      <w:r>
        <w:rPr>
          <w:sz w:val="28"/>
          <w:szCs w:val="28"/>
        </w:rPr>
        <w:lastRenderedPageBreak/>
        <w:t xml:space="preserve">Petitioners </w:t>
      </w:r>
      <w:r w:rsidR="00CF6E27">
        <w:rPr>
          <w:sz w:val="28"/>
          <w:szCs w:val="28"/>
        </w:rPr>
        <w:t>posit</w:t>
      </w:r>
      <w:r>
        <w:rPr>
          <w:sz w:val="28"/>
          <w:szCs w:val="28"/>
        </w:rPr>
        <w:t xml:space="preserve"> that the </w:t>
      </w:r>
      <w:r w:rsidR="000B39E6">
        <w:rPr>
          <w:sz w:val="28"/>
          <w:szCs w:val="28"/>
        </w:rPr>
        <w:t xml:space="preserve">scope </w:t>
      </w:r>
      <w:r>
        <w:rPr>
          <w:sz w:val="28"/>
          <w:szCs w:val="28"/>
        </w:rPr>
        <w:t>of review in Rule 4 could be inconsistent with the s</w:t>
      </w:r>
      <w:r w:rsidR="000B39E6">
        <w:rPr>
          <w:sz w:val="28"/>
          <w:szCs w:val="28"/>
        </w:rPr>
        <w:t>cope</w:t>
      </w:r>
      <w:r>
        <w:rPr>
          <w:sz w:val="28"/>
          <w:szCs w:val="28"/>
        </w:rPr>
        <w:t xml:space="preserve"> of review in </w:t>
      </w:r>
      <w:r w:rsidR="000B39E6">
        <w:rPr>
          <w:sz w:val="28"/>
          <w:szCs w:val="28"/>
        </w:rPr>
        <w:t xml:space="preserve">a </w:t>
      </w:r>
      <w:r>
        <w:rPr>
          <w:sz w:val="28"/>
          <w:szCs w:val="28"/>
        </w:rPr>
        <w:t>statutory special action</w:t>
      </w:r>
      <w:r w:rsidR="00E9042B">
        <w:rPr>
          <w:sz w:val="28"/>
          <w:szCs w:val="28"/>
        </w:rPr>
        <w:t xml:space="preserve"> – </w:t>
      </w:r>
      <w:r>
        <w:rPr>
          <w:sz w:val="28"/>
          <w:szCs w:val="28"/>
        </w:rPr>
        <w:t xml:space="preserve">as the latter </w:t>
      </w:r>
      <w:r w:rsidR="000B39E6">
        <w:rPr>
          <w:sz w:val="28"/>
          <w:szCs w:val="28"/>
        </w:rPr>
        <w:t>is</w:t>
      </w:r>
      <w:r>
        <w:rPr>
          <w:sz w:val="28"/>
          <w:szCs w:val="28"/>
        </w:rPr>
        <w:t xml:space="preserve"> based on statutes that may </w:t>
      </w:r>
      <w:r w:rsidR="00A62C1F">
        <w:rPr>
          <w:sz w:val="28"/>
          <w:szCs w:val="28"/>
        </w:rPr>
        <w:t xml:space="preserve">include </w:t>
      </w:r>
      <w:r>
        <w:rPr>
          <w:sz w:val="28"/>
          <w:szCs w:val="28"/>
        </w:rPr>
        <w:t>their own statutory s</w:t>
      </w:r>
      <w:r w:rsidR="000B39E6">
        <w:rPr>
          <w:sz w:val="28"/>
          <w:szCs w:val="28"/>
        </w:rPr>
        <w:t>cope</w:t>
      </w:r>
      <w:r>
        <w:rPr>
          <w:sz w:val="28"/>
          <w:szCs w:val="28"/>
        </w:rPr>
        <w:t xml:space="preserve"> of review</w:t>
      </w:r>
      <w:r w:rsidR="00E9042B">
        <w:rPr>
          <w:sz w:val="28"/>
          <w:szCs w:val="28"/>
        </w:rPr>
        <w:t xml:space="preserve"> – </w:t>
      </w:r>
      <w:r w:rsidR="00643127">
        <w:rPr>
          <w:sz w:val="28"/>
          <w:szCs w:val="28"/>
        </w:rPr>
        <w:t>but offer no example of such an inconsistency</w:t>
      </w:r>
      <w:r>
        <w:rPr>
          <w:sz w:val="28"/>
          <w:szCs w:val="28"/>
        </w:rPr>
        <w:t xml:space="preserve">.  </w:t>
      </w:r>
      <w:r w:rsidR="00651810">
        <w:rPr>
          <w:sz w:val="28"/>
          <w:szCs w:val="28"/>
        </w:rPr>
        <w:t xml:space="preserve">Petitioners further argue that the Rules, prior to their amendment in 2025 (R-25-0002), </w:t>
      </w:r>
      <w:r w:rsidR="00A62C1F">
        <w:rPr>
          <w:sz w:val="28"/>
          <w:szCs w:val="28"/>
        </w:rPr>
        <w:t>carved out statutory special actions from the scope of review provided for in Rules</w:t>
      </w:r>
      <w:r w:rsidR="00651810">
        <w:rPr>
          <w:sz w:val="28"/>
          <w:szCs w:val="28"/>
        </w:rPr>
        <w:t>.</w:t>
      </w:r>
      <w:r w:rsidR="000B39E6">
        <w:rPr>
          <w:rStyle w:val="FootnoteReference"/>
          <w:sz w:val="28"/>
          <w:szCs w:val="28"/>
        </w:rPr>
        <w:footnoteReference w:id="3"/>
      </w:r>
      <w:r w:rsidR="00651810">
        <w:rPr>
          <w:sz w:val="28"/>
          <w:szCs w:val="28"/>
        </w:rPr>
        <w:t xml:space="preserve">  </w:t>
      </w:r>
      <w:r>
        <w:rPr>
          <w:sz w:val="28"/>
          <w:szCs w:val="28"/>
        </w:rPr>
        <w:t xml:space="preserve">To remedy this perceived </w:t>
      </w:r>
      <w:r w:rsidR="00643127">
        <w:rPr>
          <w:sz w:val="28"/>
          <w:szCs w:val="28"/>
        </w:rPr>
        <w:t xml:space="preserve">or potential </w:t>
      </w:r>
      <w:r>
        <w:rPr>
          <w:sz w:val="28"/>
          <w:szCs w:val="28"/>
        </w:rPr>
        <w:t>problem, Petitioners recommend amending Rule 3 as follows</w:t>
      </w:r>
      <w:r w:rsidR="00651810">
        <w:rPr>
          <w:sz w:val="28"/>
          <w:szCs w:val="28"/>
        </w:rPr>
        <w:t xml:space="preserve"> (</w:t>
      </w:r>
      <w:r w:rsidR="00651810" w:rsidRPr="004A3CFA">
        <w:rPr>
          <w:dstrike/>
          <w:sz w:val="28"/>
          <w:szCs w:val="28"/>
        </w:rPr>
        <w:t>strike throughs</w:t>
      </w:r>
      <w:r w:rsidR="00651810">
        <w:rPr>
          <w:sz w:val="28"/>
          <w:szCs w:val="28"/>
        </w:rPr>
        <w:t xml:space="preserve"> are deletions, </w:t>
      </w:r>
      <w:r w:rsidR="00651810" w:rsidRPr="004A3CFA">
        <w:rPr>
          <w:sz w:val="28"/>
          <w:szCs w:val="28"/>
          <w:u w:val="thick"/>
        </w:rPr>
        <w:t>underlines</w:t>
      </w:r>
      <w:r w:rsidR="00651810">
        <w:rPr>
          <w:sz w:val="28"/>
          <w:szCs w:val="28"/>
        </w:rPr>
        <w:t xml:space="preserve"> are additions)</w:t>
      </w:r>
      <w:r>
        <w:rPr>
          <w:sz w:val="28"/>
          <w:szCs w:val="28"/>
        </w:rPr>
        <w:t xml:space="preserve">:  </w:t>
      </w:r>
    </w:p>
    <w:p w14:paraId="0123A43C" w14:textId="77777777" w:rsidR="00D0271B" w:rsidRPr="00D0271B" w:rsidRDefault="00D0271B" w:rsidP="00651810">
      <w:pPr>
        <w:pStyle w:val="Body"/>
        <w:widowControl w:val="0"/>
        <w:spacing w:line="480" w:lineRule="auto"/>
        <w:ind w:left="720" w:right="720" w:firstLine="0"/>
        <w:jc w:val="both"/>
        <w:rPr>
          <w:b/>
          <w:bCs/>
          <w:sz w:val="28"/>
          <w:szCs w:val="28"/>
        </w:rPr>
      </w:pPr>
      <w:r w:rsidRPr="00D0271B">
        <w:rPr>
          <w:b/>
          <w:bCs/>
          <w:sz w:val="28"/>
          <w:szCs w:val="28"/>
        </w:rPr>
        <w:t xml:space="preserve">Rule 3. Statutory </w:t>
      </w:r>
      <w:r w:rsidRPr="00D0271B">
        <w:rPr>
          <w:b/>
          <w:bCs/>
          <w:dstrike/>
          <w:sz w:val="28"/>
          <w:szCs w:val="28"/>
        </w:rPr>
        <w:t>Authority for Certain</w:t>
      </w:r>
      <w:r w:rsidRPr="00D0271B">
        <w:rPr>
          <w:b/>
          <w:bCs/>
          <w:sz w:val="28"/>
          <w:szCs w:val="28"/>
        </w:rPr>
        <w:t xml:space="preserve"> Special Actions</w:t>
      </w:r>
    </w:p>
    <w:p w14:paraId="43313AAB" w14:textId="3C15FD11" w:rsidR="00D0271B" w:rsidRDefault="00D0271B" w:rsidP="00651810">
      <w:pPr>
        <w:pStyle w:val="Body"/>
        <w:widowControl w:val="0"/>
        <w:spacing w:after="240" w:line="240" w:lineRule="auto"/>
        <w:ind w:left="720" w:right="720" w:firstLine="0"/>
        <w:jc w:val="both"/>
        <w:rPr>
          <w:sz w:val="28"/>
          <w:szCs w:val="28"/>
        </w:rPr>
      </w:pPr>
      <w:r w:rsidRPr="00D0271B">
        <w:rPr>
          <w:sz w:val="28"/>
          <w:szCs w:val="28"/>
        </w:rPr>
        <w:t>If any statute, other than those listed in Rule 2(c), authorizes filing a</w:t>
      </w:r>
      <w:r>
        <w:rPr>
          <w:sz w:val="28"/>
          <w:szCs w:val="28"/>
        </w:rPr>
        <w:t xml:space="preserve"> </w:t>
      </w:r>
      <w:r w:rsidRPr="00D0271B">
        <w:rPr>
          <w:sz w:val="28"/>
          <w:szCs w:val="28"/>
        </w:rPr>
        <w:t>special action, or an action for a writ of certiorari, mandamus, or</w:t>
      </w:r>
      <w:r>
        <w:rPr>
          <w:sz w:val="28"/>
          <w:szCs w:val="28"/>
        </w:rPr>
        <w:t xml:space="preserve"> </w:t>
      </w:r>
      <w:r w:rsidRPr="00D0271B">
        <w:rPr>
          <w:sz w:val="28"/>
          <w:szCs w:val="28"/>
        </w:rPr>
        <w:t>prohibition, that action is a special action. These special actions, known</w:t>
      </w:r>
      <w:r>
        <w:rPr>
          <w:sz w:val="28"/>
          <w:szCs w:val="28"/>
        </w:rPr>
        <w:t xml:space="preserve"> </w:t>
      </w:r>
      <w:r w:rsidRPr="00D0271B">
        <w:rPr>
          <w:sz w:val="28"/>
          <w:szCs w:val="28"/>
        </w:rPr>
        <w:t>as statutory special actions, may be either original or appellate special</w:t>
      </w:r>
      <w:r>
        <w:rPr>
          <w:sz w:val="28"/>
          <w:szCs w:val="28"/>
        </w:rPr>
        <w:t xml:space="preserve"> </w:t>
      </w:r>
      <w:r w:rsidRPr="00D0271B">
        <w:rPr>
          <w:sz w:val="28"/>
          <w:szCs w:val="28"/>
        </w:rPr>
        <w:t xml:space="preserve">actions. </w:t>
      </w:r>
      <w:r w:rsidRPr="00D0271B">
        <w:rPr>
          <w:sz w:val="28"/>
          <w:szCs w:val="28"/>
          <w:u w:val="thick"/>
        </w:rPr>
        <w:t>The questions that may be raised and considered in a statutory</w:t>
      </w:r>
      <w:r w:rsidRPr="004A3CFA">
        <w:rPr>
          <w:sz w:val="28"/>
          <w:szCs w:val="28"/>
          <w:u w:val="thick"/>
        </w:rPr>
        <w:t xml:space="preserve"> </w:t>
      </w:r>
      <w:r w:rsidRPr="00D0271B">
        <w:rPr>
          <w:sz w:val="28"/>
          <w:szCs w:val="28"/>
          <w:u w:val="thick"/>
        </w:rPr>
        <w:t>special action are not limited to the grounds specified in Rule 4</w:t>
      </w:r>
      <w:r w:rsidRPr="00D0271B">
        <w:rPr>
          <w:sz w:val="28"/>
          <w:szCs w:val="28"/>
        </w:rPr>
        <w:t xml:space="preserve">. </w:t>
      </w:r>
      <w:r w:rsidRPr="00D0271B">
        <w:rPr>
          <w:dstrike/>
          <w:sz w:val="28"/>
          <w:szCs w:val="28"/>
        </w:rPr>
        <w:t>They</w:t>
      </w:r>
      <w:r>
        <w:rPr>
          <w:sz w:val="28"/>
          <w:szCs w:val="28"/>
        </w:rPr>
        <w:t xml:space="preserve"> </w:t>
      </w:r>
      <w:r w:rsidRPr="00D0271B">
        <w:rPr>
          <w:sz w:val="28"/>
          <w:szCs w:val="28"/>
          <w:u w:val="thick"/>
        </w:rPr>
        <w:t>Statutory special actions</w:t>
      </w:r>
      <w:r w:rsidRPr="00D0271B">
        <w:rPr>
          <w:sz w:val="28"/>
          <w:szCs w:val="28"/>
        </w:rPr>
        <w:t xml:space="preserve"> are </w:t>
      </w:r>
      <w:r w:rsidRPr="00D0271B">
        <w:rPr>
          <w:sz w:val="28"/>
          <w:szCs w:val="28"/>
          <w:u w:val="thick"/>
        </w:rPr>
        <w:t>otherwise</w:t>
      </w:r>
      <w:r w:rsidRPr="00D0271B">
        <w:rPr>
          <w:sz w:val="28"/>
          <w:szCs w:val="28"/>
        </w:rPr>
        <w:t xml:space="preserve"> governed by these rules unless</w:t>
      </w:r>
      <w:r>
        <w:rPr>
          <w:sz w:val="28"/>
          <w:szCs w:val="28"/>
        </w:rPr>
        <w:t xml:space="preserve"> </w:t>
      </w:r>
      <w:r w:rsidRPr="00D0271B">
        <w:rPr>
          <w:sz w:val="28"/>
          <w:szCs w:val="28"/>
        </w:rPr>
        <w:t>the statute authorizing a particular special action contains specific</w:t>
      </w:r>
      <w:r>
        <w:rPr>
          <w:sz w:val="28"/>
          <w:szCs w:val="28"/>
        </w:rPr>
        <w:t xml:space="preserve"> </w:t>
      </w:r>
      <w:r w:rsidRPr="00D0271B">
        <w:rPr>
          <w:sz w:val="28"/>
          <w:szCs w:val="28"/>
        </w:rPr>
        <w:t>procedures supplementing or contradicting these rules.</w:t>
      </w:r>
    </w:p>
    <w:p w14:paraId="0D804F35" w14:textId="78E63A43" w:rsidR="00D0271B" w:rsidRDefault="004A3CFA" w:rsidP="002C26D0">
      <w:pPr>
        <w:pStyle w:val="Body"/>
        <w:widowControl w:val="0"/>
        <w:spacing w:line="480" w:lineRule="auto"/>
        <w:ind w:firstLine="720"/>
        <w:jc w:val="both"/>
        <w:rPr>
          <w:sz w:val="28"/>
          <w:szCs w:val="28"/>
        </w:rPr>
      </w:pPr>
      <w:r>
        <w:rPr>
          <w:sz w:val="28"/>
          <w:szCs w:val="28"/>
        </w:rPr>
        <w:t>Petitioners attempt to illustrate the conflict between the s</w:t>
      </w:r>
      <w:r w:rsidR="00310F39">
        <w:rPr>
          <w:sz w:val="28"/>
          <w:szCs w:val="28"/>
        </w:rPr>
        <w:t xml:space="preserve">cope </w:t>
      </w:r>
      <w:r>
        <w:rPr>
          <w:sz w:val="28"/>
          <w:szCs w:val="28"/>
        </w:rPr>
        <w:t xml:space="preserve">of review in the current rule and </w:t>
      </w:r>
      <w:r w:rsidR="004632B2">
        <w:rPr>
          <w:sz w:val="28"/>
          <w:szCs w:val="28"/>
        </w:rPr>
        <w:t xml:space="preserve">the </w:t>
      </w:r>
      <w:r w:rsidR="00310F39">
        <w:rPr>
          <w:sz w:val="28"/>
          <w:szCs w:val="28"/>
        </w:rPr>
        <w:t>scope</w:t>
      </w:r>
      <w:r>
        <w:rPr>
          <w:sz w:val="28"/>
          <w:szCs w:val="28"/>
        </w:rPr>
        <w:t xml:space="preserve"> of review in a statutory special action using the public </w:t>
      </w:r>
      <w:r>
        <w:rPr>
          <w:sz w:val="28"/>
          <w:szCs w:val="28"/>
        </w:rPr>
        <w:lastRenderedPageBreak/>
        <w:t>records statute</w:t>
      </w:r>
      <w:r w:rsidR="00310F39">
        <w:rPr>
          <w:sz w:val="28"/>
          <w:szCs w:val="28"/>
        </w:rPr>
        <w:t>,</w:t>
      </w:r>
      <w:r>
        <w:rPr>
          <w:sz w:val="28"/>
          <w:szCs w:val="28"/>
        </w:rPr>
        <w:t xml:space="preserve"> A.R.S. § 39-121.02(A)</w:t>
      </w:r>
      <w:r w:rsidR="00310F39">
        <w:rPr>
          <w:sz w:val="28"/>
          <w:szCs w:val="28"/>
        </w:rPr>
        <w:t>,</w:t>
      </w:r>
      <w:r>
        <w:rPr>
          <w:sz w:val="28"/>
          <w:szCs w:val="28"/>
        </w:rPr>
        <w:t xml:space="preserve"> as an example.</w:t>
      </w:r>
    </w:p>
    <w:p w14:paraId="32300882" w14:textId="12DB790F" w:rsidR="00643127" w:rsidRDefault="00310F39" w:rsidP="00643127">
      <w:pPr>
        <w:pStyle w:val="Body"/>
        <w:widowControl w:val="0"/>
        <w:spacing w:line="480" w:lineRule="auto"/>
        <w:ind w:firstLine="720"/>
        <w:jc w:val="both"/>
        <w:rPr>
          <w:sz w:val="28"/>
          <w:szCs w:val="28"/>
        </w:rPr>
      </w:pPr>
      <w:r>
        <w:rPr>
          <w:sz w:val="28"/>
          <w:szCs w:val="28"/>
        </w:rPr>
        <w:t>The</w:t>
      </w:r>
      <w:r w:rsidR="00643127">
        <w:rPr>
          <w:sz w:val="28"/>
          <w:szCs w:val="28"/>
        </w:rPr>
        <w:t>re are several flaws</w:t>
      </w:r>
      <w:r>
        <w:rPr>
          <w:sz w:val="28"/>
          <w:szCs w:val="28"/>
        </w:rPr>
        <w:t xml:space="preserve"> with using the public records statute as an example</w:t>
      </w:r>
      <w:r w:rsidR="00643127">
        <w:rPr>
          <w:sz w:val="28"/>
          <w:szCs w:val="28"/>
        </w:rPr>
        <w:t xml:space="preserve">.  To start, the public records statute </w:t>
      </w:r>
      <w:r>
        <w:rPr>
          <w:sz w:val="28"/>
          <w:szCs w:val="28"/>
        </w:rPr>
        <w:t>incorporates the scope of review from the Rules</w:t>
      </w:r>
      <w:r w:rsidR="002F5EDA">
        <w:rPr>
          <w:sz w:val="28"/>
          <w:szCs w:val="28"/>
        </w:rPr>
        <w:t xml:space="preserve">.  Specifically, the public records statute </w:t>
      </w:r>
      <w:r w:rsidR="004632B2">
        <w:rPr>
          <w:sz w:val="28"/>
          <w:szCs w:val="28"/>
        </w:rPr>
        <w:t>states</w:t>
      </w:r>
      <w:r>
        <w:rPr>
          <w:sz w:val="28"/>
          <w:szCs w:val="28"/>
        </w:rPr>
        <w:t>:  “</w:t>
      </w:r>
      <w:r w:rsidRPr="00310F39">
        <w:rPr>
          <w:sz w:val="28"/>
          <w:szCs w:val="28"/>
        </w:rPr>
        <w:t xml:space="preserve">Any person who has requested to examine or copy public records pursuant to this article and who has been denied access to or the right to copy such records </w:t>
      </w:r>
      <w:r w:rsidRPr="00C3216A">
        <w:rPr>
          <w:sz w:val="28"/>
          <w:szCs w:val="28"/>
          <w:u w:val="thick"/>
        </w:rPr>
        <w:t>may appeal the denial through a special action in the superior court pursuant to the rules of procedure for special actions</w:t>
      </w:r>
      <w:r>
        <w:rPr>
          <w:sz w:val="28"/>
          <w:szCs w:val="28"/>
        </w:rPr>
        <w:t xml:space="preserve">….” </w:t>
      </w:r>
      <w:r w:rsidRPr="00310F39">
        <w:rPr>
          <w:sz w:val="28"/>
          <w:szCs w:val="28"/>
        </w:rPr>
        <w:t>A.R.S. § 39-121.02</w:t>
      </w:r>
      <w:r>
        <w:rPr>
          <w:sz w:val="28"/>
          <w:szCs w:val="28"/>
        </w:rPr>
        <w:t>(A)</w:t>
      </w:r>
      <w:r w:rsidR="00A62C1F">
        <w:rPr>
          <w:sz w:val="28"/>
          <w:szCs w:val="28"/>
        </w:rPr>
        <w:t xml:space="preserve"> (emphasis added)</w:t>
      </w:r>
      <w:r>
        <w:rPr>
          <w:sz w:val="28"/>
          <w:szCs w:val="28"/>
        </w:rPr>
        <w:t>.  In other words, the scope of review in a statutory public records special action is the scope of review in Rule 4.</w:t>
      </w:r>
      <w:r w:rsidR="00023D59">
        <w:rPr>
          <w:sz w:val="28"/>
          <w:szCs w:val="28"/>
        </w:rPr>
        <w:t xml:space="preserve">  There is no difference</w:t>
      </w:r>
      <w:r w:rsidR="00A62C1F">
        <w:rPr>
          <w:sz w:val="28"/>
          <w:szCs w:val="28"/>
        </w:rPr>
        <w:t xml:space="preserve"> or conflict to resolve.</w:t>
      </w:r>
    </w:p>
    <w:p w14:paraId="692A44D6" w14:textId="44833EF4" w:rsidR="00F05707" w:rsidRDefault="002D21ED" w:rsidP="00845428">
      <w:pPr>
        <w:pStyle w:val="Body"/>
        <w:widowControl w:val="0"/>
        <w:spacing w:line="480" w:lineRule="auto"/>
        <w:ind w:firstLine="720"/>
        <w:jc w:val="both"/>
        <w:rPr>
          <w:sz w:val="28"/>
          <w:szCs w:val="28"/>
        </w:rPr>
      </w:pPr>
      <w:r>
        <w:rPr>
          <w:sz w:val="28"/>
          <w:szCs w:val="28"/>
        </w:rPr>
        <w:t xml:space="preserve">Most importantly, Petitioners’ key premise – that there are statutory special actions that demonstrably fall outside the scope of Rule 4 – is </w:t>
      </w:r>
      <w:r w:rsidR="009B6897">
        <w:rPr>
          <w:sz w:val="28"/>
          <w:szCs w:val="28"/>
        </w:rPr>
        <w:t>incorrect</w:t>
      </w:r>
      <w:r>
        <w:rPr>
          <w:sz w:val="28"/>
          <w:szCs w:val="28"/>
        </w:rPr>
        <w:t>.  They</w:t>
      </w:r>
      <w:r w:rsidR="002E0C55">
        <w:rPr>
          <w:sz w:val="28"/>
          <w:szCs w:val="28"/>
        </w:rPr>
        <w:t xml:space="preserve"> </w:t>
      </w:r>
      <w:r w:rsidR="00643127" w:rsidRPr="00643127">
        <w:rPr>
          <w:sz w:val="28"/>
          <w:szCs w:val="28"/>
        </w:rPr>
        <w:t xml:space="preserve">claim several issues that “might arise in public records special actions” do not fit within Rule 4’s parameters, but </w:t>
      </w:r>
      <w:r>
        <w:rPr>
          <w:sz w:val="28"/>
          <w:szCs w:val="28"/>
        </w:rPr>
        <w:t>the issue</w:t>
      </w:r>
      <w:r w:rsidR="00CF6E27">
        <w:rPr>
          <w:sz w:val="28"/>
          <w:szCs w:val="28"/>
        </w:rPr>
        <w:t>s</w:t>
      </w:r>
      <w:r>
        <w:rPr>
          <w:sz w:val="28"/>
          <w:szCs w:val="28"/>
        </w:rPr>
        <w:t xml:space="preserve"> track those</w:t>
      </w:r>
      <w:r w:rsidR="00643127" w:rsidRPr="00643127">
        <w:rPr>
          <w:sz w:val="28"/>
          <w:szCs w:val="28"/>
        </w:rPr>
        <w:t xml:space="preserve"> listed in the Rule.</w:t>
      </w:r>
      <w:r>
        <w:rPr>
          <w:sz w:val="28"/>
          <w:szCs w:val="28"/>
        </w:rPr>
        <w:t xml:space="preserve">  If a public official is under a legal duty to provide a public record and does</w:t>
      </w:r>
      <w:r w:rsidR="00CF6E27">
        <w:rPr>
          <w:sz w:val="28"/>
          <w:szCs w:val="28"/>
        </w:rPr>
        <w:t xml:space="preserve"> no</w:t>
      </w:r>
      <w:r>
        <w:rPr>
          <w:sz w:val="28"/>
          <w:szCs w:val="28"/>
        </w:rPr>
        <w:t xml:space="preserve">t, then the official “failed to perform a duty required by law for which they have no discretion.”  </w:t>
      </w:r>
      <w:r w:rsidR="002B222B">
        <w:rPr>
          <w:sz w:val="28"/>
          <w:szCs w:val="28"/>
        </w:rPr>
        <w:t>Rule</w:t>
      </w:r>
      <w:r>
        <w:rPr>
          <w:sz w:val="28"/>
          <w:szCs w:val="28"/>
        </w:rPr>
        <w:t xml:space="preserve"> 4(a).  Likewise, if a judicial decision or pre-judicial decision on this subject was in any respect legally incorrect, then the decision “was arbitrary and capricious or an abuse of discretion, which can include a legal error.”  </w:t>
      </w:r>
      <w:r w:rsidR="002B222B">
        <w:rPr>
          <w:sz w:val="28"/>
          <w:szCs w:val="28"/>
        </w:rPr>
        <w:t>Rule</w:t>
      </w:r>
      <w:r>
        <w:rPr>
          <w:sz w:val="28"/>
          <w:szCs w:val="28"/>
        </w:rPr>
        <w:t xml:space="preserve"> 4(c).  Petitioner</w:t>
      </w:r>
      <w:r w:rsidR="00CF6E27">
        <w:rPr>
          <w:sz w:val="28"/>
          <w:szCs w:val="28"/>
        </w:rPr>
        <w:t>s</w:t>
      </w:r>
      <w:r>
        <w:rPr>
          <w:sz w:val="28"/>
          <w:szCs w:val="28"/>
        </w:rPr>
        <w:t xml:space="preserve"> </w:t>
      </w:r>
      <w:r w:rsidR="009B6897">
        <w:rPr>
          <w:sz w:val="28"/>
          <w:szCs w:val="28"/>
        </w:rPr>
        <w:t xml:space="preserve">appear </w:t>
      </w:r>
      <w:r>
        <w:rPr>
          <w:sz w:val="28"/>
          <w:szCs w:val="28"/>
        </w:rPr>
        <w:t xml:space="preserve">to </w:t>
      </w:r>
      <w:r w:rsidR="00CF6E27">
        <w:rPr>
          <w:sz w:val="28"/>
          <w:szCs w:val="28"/>
        </w:rPr>
        <w:t>a</w:t>
      </w:r>
      <w:r w:rsidR="009B6897">
        <w:rPr>
          <w:sz w:val="28"/>
          <w:szCs w:val="28"/>
        </w:rPr>
        <w:t>gree</w:t>
      </w:r>
      <w:r>
        <w:rPr>
          <w:sz w:val="28"/>
          <w:szCs w:val="28"/>
        </w:rPr>
        <w:t xml:space="preserve"> </w:t>
      </w:r>
      <w:r w:rsidR="009B6897">
        <w:rPr>
          <w:sz w:val="28"/>
          <w:szCs w:val="28"/>
        </w:rPr>
        <w:t>—</w:t>
      </w:r>
      <w:r>
        <w:rPr>
          <w:sz w:val="28"/>
          <w:szCs w:val="28"/>
        </w:rPr>
        <w:t xml:space="preserve"> they </w:t>
      </w:r>
      <w:r w:rsidR="009B6897">
        <w:rPr>
          <w:sz w:val="28"/>
          <w:szCs w:val="28"/>
        </w:rPr>
        <w:t>concede</w:t>
      </w:r>
      <w:r>
        <w:rPr>
          <w:sz w:val="28"/>
          <w:szCs w:val="28"/>
        </w:rPr>
        <w:t xml:space="preserve"> that public records issues “could implicate more than one” of the </w:t>
      </w:r>
      <w:r>
        <w:rPr>
          <w:sz w:val="28"/>
          <w:szCs w:val="28"/>
        </w:rPr>
        <w:lastRenderedPageBreak/>
        <w:t xml:space="preserve">subparts of Rule 4, “or maybe even all three.” </w:t>
      </w:r>
    </w:p>
    <w:p w14:paraId="4AE65211" w14:textId="39AC7CDF" w:rsidR="002D21ED" w:rsidRDefault="002D21ED" w:rsidP="00845428">
      <w:pPr>
        <w:pStyle w:val="Body"/>
        <w:widowControl w:val="0"/>
        <w:spacing w:line="480" w:lineRule="auto"/>
        <w:ind w:firstLine="720"/>
        <w:jc w:val="both"/>
        <w:rPr>
          <w:sz w:val="28"/>
          <w:szCs w:val="28"/>
        </w:rPr>
      </w:pPr>
      <w:r>
        <w:rPr>
          <w:sz w:val="28"/>
          <w:szCs w:val="28"/>
        </w:rPr>
        <w:t xml:space="preserve">Given that </w:t>
      </w:r>
      <w:r w:rsidR="009B6897">
        <w:rPr>
          <w:sz w:val="28"/>
          <w:szCs w:val="28"/>
        </w:rPr>
        <w:t>the Petition would</w:t>
      </w:r>
      <w:r>
        <w:rPr>
          <w:sz w:val="28"/>
          <w:szCs w:val="28"/>
        </w:rPr>
        <w:t xml:space="preserve"> </w:t>
      </w:r>
      <w:r w:rsidR="009B6897">
        <w:rPr>
          <w:sz w:val="28"/>
          <w:szCs w:val="28"/>
        </w:rPr>
        <w:t>authorize</w:t>
      </w:r>
      <w:r>
        <w:rPr>
          <w:sz w:val="28"/>
          <w:szCs w:val="28"/>
        </w:rPr>
        <w:t xml:space="preserve"> special actions that do not fit within one of the categories of special action used since the </w:t>
      </w:r>
      <w:r w:rsidR="0050777D">
        <w:rPr>
          <w:sz w:val="28"/>
          <w:szCs w:val="28"/>
        </w:rPr>
        <w:t>Old Writs</w:t>
      </w:r>
      <w:r>
        <w:rPr>
          <w:sz w:val="28"/>
          <w:szCs w:val="28"/>
        </w:rPr>
        <w:t xml:space="preserve">, </w:t>
      </w:r>
      <w:r w:rsidR="009B6897">
        <w:rPr>
          <w:sz w:val="28"/>
          <w:szCs w:val="28"/>
        </w:rPr>
        <w:t>it should provide</w:t>
      </w:r>
      <w:r>
        <w:rPr>
          <w:sz w:val="28"/>
          <w:szCs w:val="28"/>
        </w:rPr>
        <w:t xml:space="preserve"> examples of where the rules are limiting.  </w:t>
      </w:r>
      <w:r w:rsidR="009B6897">
        <w:rPr>
          <w:sz w:val="28"/>
          <w:szCs w:val="28"/>
        </w:rPr>
        <w:t>Yet the Petition’s</w:t>
      </w:r>
      <w:r>
        <w:rPr>
          <w:sz w:val="28"/>
          <w:szCs w:val="28"/>
        </w:rPr>
        <w:t xml:space="preserve"> core example is </w:t>
      </w:r>
      <w:r w:rsidR="00B531D2">
        <w:rPr>
          <w:sz w:val="28"/>
          <w:szCs w:val="28"/>
        </w:rPr>
        <w:t>incorrect,</w:t>
      </w:r>
      <w:r>
        <w:rPr>
          <w:sz w:val="28"/>
          <w:szCs w:val="28"/>
        </w:rPr>
        <w:t xml:space="preserve"> and</w:t>
      </w:r>
      <w:r w:rsidR="009B6897">
        <w:rPr>
          <w:sz w:val="28"/>
          <w:szCs w:val="28"/>
        </w:rPr>
        <w:t xml:space="preserve"> its Reply is not the time to raise others, to which the public cannot respond.</w:t>
      </w:r>
      <w:r>
        <w:rPr>
          <w:sz w:val="28"/>
          <w:szCs w:val="28"/>
        </w:rPr>
        <w:t xml:space="preserve"> </w:t>
      </w:r>
      <w:r w:rsidR="009B6897">
        <w:rPr>
          <w:sz w:val="28"/>
          <w:szCs w:val="28"/>
        </w:rPr>
        <w:t>This</w:t>
      </w:r>
      <w:r>
        <w:rPr>
          <w:sz w:val="28"/>
          <w:szCs w:val="28"/>
        </w:rPr>
        <w:t xml:space="preserve"> Court should not take the</w:t>
      </w:r>
      <w:r w:rsidR="009B6897">
        <w:rPr>
          <w:sz w:val="28"/>
          <w:szCs w:val="28"/>
        </w:rPr>
        <w:t xml:space="preserve"> Petition’s</w:t>
      </w:r>
      <w:r>
        <w:rPr>
          <w:sz w:val="28"/>
          <w:szCs w:val="28"/>
        </w:rPr>
        <w:t xml:space="preserve"> invitation to </w:t>
      </w:r>
      <w:r w:rsidR="009B6897">
        <w:rPr>
          <w:sz w:val="28"/>
          <w:szCs w:val="28"/>
        </w:rPr>
        <w:t>address what has not been shown to be a</w:t>
      </w:r>
      <w:r w:rsidR="002B222B">
        <w:rPr>
          <w:sz w:val="28"/>
          <w:szCs w:val="28"/>
        </w:rPr>
        <w:t xml:space="preserve"> </w:t>
      </w:r>
      <w:r>
        <w:rPr>
          <w:sz w:val="28"/>
          <w:szCs w:val="28"/>
        </w:rPr>
        <w:t xml:space="preserve">problem by </w:t>
      </w:r>
      <w:r w:rsidR="009B6897">
        <w:rPr>
          <w:sz w:val="28"/>
          <w:szCs w:val="28"/>
        </w:rPr>
        <w:t>authorizing</w:t>
      </w:r>
      <w:r>
        <w:rPr>
          <w:sz w:val="28"/>
          <w:szCs w:val="28"/>
        </w:rPr>
        <w:t xml:space="preserve"> new special actions that do not fit within the time-tested and </w:t>
      </w:r>
      <w:r w:rsidR="00B531D2">
        <w:rPr>
          <w:sz w:val="28"/>
          <w:szCs w:val="28"/>
        </w:rPr>
        <w:t>statutorily derived</w:t>
      </w:r>
      <w:r>
        <w:rPr>
          <w:sz w:val="28"/>
          <w:szCs w:val="28"/>
        </w:rPr>
        <w:t xml:space="preserve"> subparts of Rule 4. </w:t>
      </w:r>
      <w:r w:rsidR="00643127" w:rsidRPr="00643127">
        <w:rPr>
          <w:sz w:val="28"/>
          <w:szCs w:val="28"/>
        </w:rPr>
        <w:t xml:space="preserve"> </w:t>
      </w:r>
      <w:r w:rsidR="00845428" w:rsidRPr="002E0C55">
        <w:rPr>
          <w:i/>
          <w:iCs/>
          <w:sz w:val="28"/>
          <w:szCs w:val="28"/>
        </w:rPr>
        <w:t>See</w:t>
      </w:r>
      <w:r w:rsidR="00845428">
        <w:rPr>
          <w:sz w:val="28"/>
          <w:szCs w:val="28"/>
        </w:rPr>
        <w:t xml:space="preserve"> A.R.S. §</w:t>
      </w:r>
      <w:r w:rsidR="0036231D">
        <w:rPr>
          <w:sz w:val="28"/>
          <w:szCs w:val="28"/>
        </w:rPr>
        <w:t xml:space="preserve"> </w:t>
      </w:r>
      <w:r w:rsidR="00845428" w:rsidRPr="00845428">
        <w:rPr>
          <w:sz w:val="28"/>
          <w:szCs w:val="28"/>
        </w:rPr>
        <w:t>12-2021</w:t>
      </w:r>
      <w:r w:rsidR="00845428">
        <w:rPr>
          <w:sz w:val="28"/>
          <w:szCs w:val="28"/>
        </w:rPr>
        <w:t xml:space="preserve"> (authorizing issuance of writ of mandamus “</w:t>
      </w:r>
      <w:r w:rsidR="00845428" w:rsidRPr="00845428">
        <w:rPr>
          <w:sz w:val="28"/>
          <w:szCs w:val="28"/>
        </w:rPr>
        <w:t>to any person</w:t>
      </w:r>
      <w:r w:rsidR="00845428">
        <w:rPr>
          <w:sz w:val="28"/>
          <w:szCs w:val="28"/>
        </w:rPr>
        <w:t xml:space="preserve"> . . . </w:t>
      </w:r>
      <w:r w:rsidR="00845428" w:rsidRPr="00845428">
        <w:rPr>
          <w:sz w:val="28"/>
          <w:szCs w:val="28"/>
        </w:rPr>
        <w:t>to compel, when there is not a plain, adequate and speedy remedy at law, performance of an act which the law specially imposes as a duty resulting from an office, trust or station</w:t>
      </w:r>
      <w:r w:rsidR="00845428">
        <w:rPr>
          <w:sz w:val="28"/>
          <w:szCs w:val="28"/>
        </w:rPr>
        <w:t>”)</w:t>
      </w:r>
      <w:r w:rsidR="00845428" w:rsidRPr="00845428">
        <w:rPr>
          <w:sz w:val="28"/>
          <w:szCs w:val="28"/>
        </w:rPr>
        <w:t>.</w:t>
      </w:r>
      <w:r w:rsidR="009B6897">
        <w:rPr>
          <w:sz w:val="28"/>
          <w:szCs w:val="28"/>
        </w:rPr>
        <w:t xml:space="preserve">  Indeed, because the special action rules are to give procedural expression to the </w:t>
      </w:r>
      <w:r w:rsidR="0050777D">
        <w:rPr>
          <w:sz w:val="28"/>
          <w:szCs w:val="28"/>
        </w:rPr>
        <w:t>Old Writs</w:t>
      </w:r>
      <w:r w:rsidR="009B6897">
        <w:rPr>
          <w:sz w:val="28"/>
          <w:szCs w:val="28"/>
        </w:rPr>
        <w:t xml:space="preserve">, authorizing new special actions beyond their scope would fundamentally alter what the </w:t>
      </w:r>
      <w:r w:rsidR="00770697">
        <w:rPr>
          <w:sz w:val="28"/>
          <w:szCs w:val="28"/>
        </w:rPr>
        <w:t>R</w:t>
      </w:r>
      <w:r w:rsidR="009B6897">
        <w:rPr>
          <w:sz w:val="28"/>
          <w:szCs w:val="28"/>
        </w:rPr>
        <w:t xml:space="preserve">ules do, and would </w:t>
      </w:r>
      <w:proofErr w:type="gramStart"/>
      <w:r w:rsidR="009B6897">
        <w:rPr>
          <w:sz w:val="28"/>
          <w:szCs w:val="28"/>
        </w:rPr>
        <w:t>effect</w:t>
      </w:r>
      <w:proofErr w:type="gramEnd"/>
      <w:r w:rsidR="009B6897">
        <w:rPr>
          <w:sz w:val="28"/>
          <w:szCs w:val="28"/>
        </w:rPr>
        <w:t xml:space="preserve"> a rules-based expansion of important bedrock statutes.</w:t>
      </w:r>
    </w:p>
    <w:p w14:paraId="3C9AD690" w14:textId="09410736" w:rsidR="00643127" w:rsidRPr="00643127" w:rsidRDefault="002D21ED" w:rsidP="00643127">
      <w:pPr>
        <w:pStyle w:val="Body"/>
        <w:widowControl w:val="0"/>
        <w:spacing w:line="480" w:lineRule="auto"/>
        <w:ind w:firstLine="720"/>
        <w:jc w:val="both"/>
        <w:rPr>
          <w:sz w:val="28"/>
          <w:szCs w:val="28"/>
        </w:rPr>
      </w:pPr>
      <w:r>
        <w:rPr>
          <w:sz w:val="28"/>
          <w:szCs w:val="28"/>
        </w:rPr>
        <w:t xml:space="preserve">Public records case law confirms this analysis.  </w:t>
      </w:r>
      <w:r w:rsidR="00643127" w:rsidRPr="00643127">
        <w:rPr>
          <w:sz w:val="28"/>
          <w:szCs w:val="28"/>
        </w:rPr>
        <w:t>Whether “requested records are public records at all” is a legal question</w:t>
      </w:r>
      <w:r w:rsidR="004632B2">
        <w:rPr>
          <w:sz w:val="28"/>
          <w:szCs w:val="28"/>
        </w:rPr>
        <w:t>, which is currently covered in Rule 4</w:t>
      </w:r>
      <w:r w:rsidR="00643127" w:rsidRPr="00643127">
        <w:rPr>
          <w:sz w:val="28"/>
          <w:szCs w:val="28"/>
        </w:rPr>
        <w:t xml:space="preserve">, and “the courts, rather than government officials, are the final arbiter of what qualifies as a public record.” </w:t>
      </w:r>
      <w:r w:rsidR="00643127" w:rsidRPr="00643127">
        <w:rPr>
          <w:i/>
          <w:iCs/>
          <w:sz w:val="28"/>
          <w:szCs w:val="28"/>
        </w:rPr>
        <w:t>Griffis v. Pinal County</w:t>
      </w:r>
      <w:r w:rsidR="00643127" w:rsidRPr="00643127">
        <w:rPr>
          <w:sz w:val="28"/>
          <w:szCs w:val="28"/>
        </w:rPr>
        <w:t xml:space="preserve">, 215 Ariz. 1, 5 ¶ 15 (2007). And </w:t>
      </w:r>
      <w:r w:rsidR="007274F5">
        <w:rPr>
          <w:sz w:val="28"/>
          <w:szCs w:val="28"/>
        </w:rPr>
        <w:t>if</w:t>
      </w:r>
      <w:r w:rsidR="00643127" w:rsidRPr="00643127">
        <w:rPr>
          <w:sz w:val="28"/>
          <w:szCs w:val="28"/>
        </w:rPr>
        <w:t xml:space="preserve"> “denial of access is wrongful,” </w:t>
      </w:r>
      <w:r w:rsidR="007274F5">
        <w:rPr>
          <w:sz w:val="28"/>
          <w:szCs w:val="28"/>
        </w:rPr>
        <w:t xml:space="preserve">that </w:t>
      </w:r>
      <w:r w:rsidR="00643127" w:rsidRPr="00643127">
        <w:rPr>
          <w:sz w:val="28"/>
          <w:szCs w:val="28"/>
        </w:rPr>
        <w:t xml:space="preserve">means “that the person denied records was, in </w:t>
      </w:r>
      <w:r w:rsidR="00643127" w:rsidRPr="00643127">
        <w:rPr>
          <w:sz w:val="28"/>
          <w:szCs w:val="28"/>
        </w:rPr>
        <w:lastRenderedPageBreak/>
        <w:t xml:space="preserve">fact, entitled to them.” </w:t>
      </w:r>
      <w:r w:rsidR="00643127" w:rsidRPr="00643127">
        <w:rPr>
          <w:i/>
          <w:iCs/>
          <w:sz w:val="28"/>
          <w:szCs w:val="28"/>
        </w:rPr>
        <w:t xml:space="preserve">Cox Ariz. </w:t>
      </w:r>
      <w:proofErr w:type="spellStart"/>
      <w:r w:rsidR="00643127" w:rsidRPr="00643127">
        <w:rPr>
          <w:i/>
          <w:iCs/>
          <w:sz w:val="28"/>
          <w:szCs w:val="28"/>
        </w:rPr>
        <w:t>Publ’ns</w:t>
      </w:r>
      <w:proofErr w:type="spellEnd"/>
      <w:r w:rsidR="00643127" w:rsidRPr="00643127">
        <w:rPr>
          <w:i/>
          <w:iCs/>
          <w:sz w:val="28"/>
          <w:szCs w:val="28"/>
        </w:rPr>
        <w:t>, Inc. v. Collins</w:t>
      </w:r>
      <w:r w:rsidR="00643127" w:rsidRPr="00643127">
        <w:rPr>
          <w:sz w:val="28"/>
          <w:szCs w:val="28"/>
        </w:rPr>
        <w:t>, 175 Ariz. 11, 14 (1993). So</w:t>
      </w:r>
      <w:r w:rsidR="00840034">
        <w:rPr>
          <w:sz w:val="28"/>
          <w:szCs w:val="28"/>
        </w:rPr>
        <w:t>,</w:t>
      </w:r>
      <w:r w:rsidR="00643127" w:rsidRPr="00643127">
        <w:rPr>
          <w:sz w:val="28"/>
          <w:szCs w:val="28"/>
        </w:rPr>
        <w:t xml:space="preserve"> if a government official wrongly determined that a record was not </w:t>
      </w:r>
      <w:r w:rsidR="007274F5">
        <w:rPr>
          <w:sz w:val="28"/>
          <w:szCs w:val="28"/>
        </w:rPr>
        <w:t xml:space="preserve">a </w:t>
      </w:r>
      <w:r w:rsidR="00643127" w:rsidRPr="00643127">
        <w:rPr>
          <w:sz w:val="28"/>
          <w:szCs w:val="28"/>
        </w:rPr>
        <w:t>public</w:t>
      </w:r>
      <w:r w:rsidR="007274F5">
        <w:rPr>
          <w:sz w:val="28"/>
          <w:szCs w:val="28"/>
        </w:rPr>
        <w:t xml:space="preserve"> record</w:t>
      </w:r>
      <w:r w:rsidR="00643127" w:rsidRPr="00643127">
        <w:rPr>
          <w:sz w:val="28"/>
          <w:szCs w:val="28"/>
        </w:rPr>
        <w:t>, or that the requestor was not otherwise entitled to the record, that official’s de</w:t>
      </w:r>
      <w:r w:rsidR="00A16EAC">
        <w:rPr>
          <w:sz w:val="28"/>
          <w:szCs w:val="28"/>
        </w:rPr>
        <w:t>termination</w:t>
      </w:r>
      <w:r w:rsidR="00643127" w:rsidRPr="00643127">
        <w:rPr>
          <w:sz w:val="28"/>
          <w:szCs w:val="28"/>
        </w:rPr>
        <w:t xml:space="preserve"> is subject to review for “an abuse of discretion, which can include a legal error</w:t>
      </w:r>
      <w:r w:rsidR="007E03AC">
        <w:rPr>
          <w:sz w:val="28"/>
          <w:szCs w:val="28"/>
        </w:rPr>
        <w:t>,</w:t>
      </w:r>
      <w:r w:rsidR="00643127" w:rsidRPr="00643127">
        <w:rPr>
          <w:sz w:val="28"/>
          <w:szCs w:val="28"/>
        </w:rPr>
        <w:t xml:space="preserve">” under Rule 4(c). </w:t>
      </w:r>
      <w:r w:rsidR="00643127" w:rsidRPr="00643127">
        <w:rPr>
          <w:i/>
          <w:iCs/>
          <w:sz w:val="28"/>
          <w:szCs w:val="28"/>
        </w:rPr>
        <w:t>See Abraham</w:t>
      </w:r>
      <w:r w:rsidR="00643127" w:rsidRPr="00643127">
        <w:rPr>
          <w:sz w:val="28"/>
          <w:szCs w:val="28"/>
        </w:rPr>
        <w:t>, 259 Ariz. at 168 ¶ 40 (“This procedure is not at odds with the existing or new special-action rules’ requirement for abuse-of-discretion review, because an error of law is an abuse of discretion.”).</w:t>
      </w:r>
    </w:p>
    <w:p w14:paraId="2A228D56" w14:textId="41B6114C" w:rsidR="00643127" w:rsidRDefault="00023D59" w:rsidP="00310F39">
      <w:pPr>
        <w:pStyle w:val="Body"/>
        <w:widowControl w:val="0"/>
        <w:spacing w:line="480" w:lineRule="auto"/>
        <w:ind w:firstLine="720"/>
        <w:jc w:val="both"/>
        <w:rPr>
          <w:sz w:val="28"/>
          <w:szCs w:val="28"/>
        </w:rPr>
      </w:pPr>
      <w:r>
        <w:rPr>
          <w:sz w:val="28"/>
          <w:szCs w:val="28"/>
        </w:rPr>
        <w:t xml:space="preserve">Petitioners </w:t>
      </w:r>
      <w:r w:rsidR="00A62C1F">
        <w:rPr>
          <w:sz w:val="28"/>
          <w:szCs w:val="28"/>
        </w:rPr>
        <w:t xml:space="preserve">fail to </w:t>
      </w:r>
      <w:r w:rsidR="000B39E6">
        <w:rPr>
          <w:sz w:val="28"/>
          <w:szCs w:val="28"/>
        </w:rPr>
        <w:t>cite</w:t>
      </w:r>
      <w:r>
        <w:rPr>
          <w:sz w:val="28"/>
          <w:szCs w:val="28"/>
        </w:rPr>
        <w:t xml:space="preserve"> any statutory special actions where the scope of review is different from the scope of review in Rule 4.  </w:t>
      </w:r>
      <w:r w:rsidR="00643127" w:rsidRPr="00643127">
        <w:rPr>
          <w:sz w:val="28"/>
          <w:szCs w:val="28"/>
        </w:rPr>
        <w:t>The Rule 4 grounds are broad by design</w:t>
      </w:r>
      <w:r w:rsidR="002D21ED">
        <w:rPr>
          <w:sz w:val="28"/>
          <w:szCs w:val="28"/>
        </w:rPr>
        <w:t xml:space="preserve"> and derive from </w:t>
      </w:r>
      <w:r w:rsidR="00845428">
        <w:rPr>
          <w:sz w:val="28"/>
          <w:szCs w:val="28"/>
        </w:rPr>
        <w:t>the statutes that created the</w:t>
      </w:r>
      <w:r w:rsidR="0050777D">
        <w:rPr>
          <w:sz w:val="28"/>
          <w:szCs w:val="28"/>
        </w:rPr>
        <w:t xml:space="preserve"> Old Writs</w:t>
      </w:r>
      <w:r w:rsidR="00643127" w:rsidRPr="00643127">
        <w:rPr>
          <w:sz w:val="28"/>
          <w:szCs w:val="28"/>
        </w:rPr>
        <w:t>. They do not preclude a court from hearing the case-specific issues that might arise in a statutory special action simply because the</w:t>
      </w:r>
      <w:r w:rsidR="002F5EDA">
        <w:rPr>
          <w:sz w:val="28"/>
          <w:szCs w:val="28"/>
        </w:rPr>
        <w:t xml:space="preserve">re </w:t>
      </w:r>
      <w:r w:rsidR="00643127" w:rsidRPr="00643127">
        <w:rPr>
          <w:sz w:val="28"/>
          <w:szCs w:val="28"/>
        </w:rPr>
        <w:t xml:space="preserve">may not be a word-to-word match. Petitioners’ proposal </w:t>
      </w:r>
      <w:r w:rsidR="004E6DFA">
        <w:rPr>
          <w:sz w:val="28"/>
          <w:szCs w:val="28"/>
        </w:rPr>
        <w:t>seems to be</w:t>
      </w:r>
      <w:r w:rsidR="00643127" w:rsidRPr="00643127">
        <w:rPr>
          <w:sz w:val="28"/>
          <w:szCs w:val="28"/>
        </w:rPr>
        <w:t xml:space="preserve"> a solution in search of a problem.</w:t>
      </w:r>
    </w:p>
    <w:p w14:paraId="5A6A0A4D" w14:textId="3D794D60" w:rsidR="00643127" w:rsidRPr="00643127" w:rsidRDefault="00643127" w:rsidP="00643127">
      <w:pPr>
        <w:pStyle w:val="Body"/>
        <w:widowControl w:val="0"/>
        <w:spacing w:line="480" w:lineRule="auto"/>
        <w:ind w:firstLine="720"/>
        <w:jc w:val="both"/>
        <w:rPr>
          <w:sz w:val="28"/>
          <w:szCs w:val="28"/>
        </w:rPr>
      </w:pPr>
      <w:r w:rsidRPr="00643127">
        <w:rPr>
          <w:sz w:val="28"/>
          <w:szCs w:val="28"/>
        </w:rPr>
        <w:t xml:space="preserve">The </w:t>
      </w:r>
      <w:r w:rsidR="00770697">
        <w:rPr>
          <w:sz w:val="28"/>
          <w:szCs w:val="28"/>
        </w:rPr>
        <w:t xml:space="preserve">State </w:t>
      </w:r>
      <w:r w:rsidR="00CF6E27">
        <w:rPr>
          <w:sz w:val="28"/>
          <w:szCs w:val="28"/>
        </w:rPr>
        <w:t>B</w:t>
      </w:r>
      <w:r w:rsidRPr="00643127">
        <w:rPr>
          <w:sz w:val="28"/>
          <w:szCs w:val="28"/>
        </w:rPr>
        <w:t xml:space="preserve">ar is concerned that </w:t>
      </w:r>
      <w:r w:rsidR="00770697">
        <w:rPr>
          <w:sz w:val="28"/>
          <w:szCs w:val="28"/>
        </w:rPr>
        <w:t xml:space="preserve">the Court’s adoption of </w:t>
      </w:r>
      <w:r w:rsidRPr="00643127">
        <w:rPr>
          <w:sz w:val="28"/>
          <w:szCs w:val="28"/>
        </w:rPr>
        <w:t xml:space="preserve">Petitioners’ proposal will result in confusion. By specifying that Rule 4 does not limit the scope of review in statutory special actions, the proposed amendment may create uncertainty about whether the Rule 4 grounds apply at all or are somehow superseded by statute. As explained above, that result is not contemplated by the public records statute, A.R.S. § 39-121.02(A), which incorporates the scope of review </w:t>
      </w:r>
      <w:r w:rsidR="00770697">
        <w:rPr>
          <w:sz w:val="28"/>
          <w:szCs w:val="28"/>
        </w:rPr>
        <w:t xml:space="preserve">set forth in </w:t>
      </w:r>
      <w:r w:rsidRPr="00643127">
        <w:rPr>
          <w:sz w:val="28"/>
          <w:szCs w:val="28"/>
        </w:rPr>
        <w:t xml:space="preserve">the Rules. And it also raises the specter of unnecessary litigation over whether any statute </w:t>
      </w:r>
      <w:r w:rsidRPr="00643127">
        <w:rPr>
          <w:sz w:val="28"/>
          <w:szCs w:val="28"/>
        </w:rPr>
        <w:lastRenderedPageBreak/>
        <w:t xml:space="preserve">authorizing a special action “conflicts with or tends to engulf,” the Court’s “constitutionally vested rulemaking authority.” </w:t>
      </w:r>
      <w:r w:rsidRPr="00643127">
        <w:rPr>
          <w:i/>
          <w:iCs/>
          <w:sz w:val="28"/>
          <w:szCs w:val="28"/>
        </w:rPr>
        <w:t>State ex rel. Napolitano v. Brown</w:t>
      </w:r>
      <w:r w:rsidRPr="00643127">
        <w:rPr>
          <w:sz w:val="28"/>
          <w:szCs w:val="28"/>
        </w:rPr>
        <w:t>, 194 Ariz. 340, 342 ¶ 6 (1999) (citation modified)</w:t>
      </w:r>
      <w:r w:rsidR="00660FDE">
        <w:rPr>
          <w:sz w:val="28"/>
          <w:szCs w:val="28"/>
        </w:rPr>
        <w:t xml:space="preserve"> (itself a special action</w:t>
      </w:r>
      <w:r w:rsidR="00195171">
        <w:rPr>
          <w:sz w:val="28"/>
          <w:szCs w:val="28"/>
        </w:rPr>
        <w:t>)</w:t>
      </w:r>
      <w:r w:rsidRPr="00643127">
        <w:rPr>
          <w:sz w:val="28"/>
          <w:szCs w:val="28"/>
        </w:rPr>
        <w:t>.</w:t>
      </w:r>
    </w:p>
    <w:bookmarkEnd w:id="2"/>
    <w:p w14:paraId="1B2D4DCF" w14:textId="4E611608" w:rsidR="008C6B1B" w:rsidRDefault="008427E5" w:rsidP="0089500B">
      <w:pPr>
        <w:pStyle w:val="Body"/>
        <w:keepNext/>
        <w:keepLines/>
        <w:tabs>
          <w:tab w:val="left" w:pos="720"/>
        </w:tabs>
        <w:spacing w:line="480" w:lineRule="auto"/>
        <w:ind w:firstLine="0"/>
        <w:jc w:val="center"/>
        <w:rPr>
          <w:sz w:val="28"/>
          <w:szCs w:val="28"/>
        </w:rPr>
      </w:pPr>
      <w:r w:rsidRPr="008427E5">
        <w:rPr>
          <w:b/>
          <w:bCs/>
          <w:sz w:val="28"/>
          <w:szCs w:val="28"/>
          <w:u w:val="single"/>
        </w:rPr>
        <w:t>Conclusion</w:t>
      </w:r>
    </w:p>
    <w:p w14:paraId="5D02FE20" w14:textId="411A6109" w:rsidR="000F7A7F" w:rsidRDefault="008C6B1B" w:rsidP="0089500B">
      <w:pPr>
        <w:pStyle w:val="Body"/>
        <w:keepNext/>
        <w:keepLines/>
        <w:tabs>
          <w:tab w:val="left" w:pos="720"/>
        </w:tabs>
        <w:spacing w:line="480" w:lineRule="auto"/>
        <w:ind w:firstLine="0"/>
        <w:jc w:val="both"/>
        <w:rPr>
          <w:sz w:val="28"/>
          <w:szCs w:val="28"/>
        </w:rPr>
      </w:pPr>
      <w:r>
        <w:rPr>
          <w:sz w:val="28"/>
          <w:szCs w:val="28"/>
        </w:rPr>
        <w:tab/>
      </w:r>
      <w:r w:rsidR="00303F92">
        <w:rPr>
          <w:sz w:val="28"/>
          <w:szCs w:val="28"/>
        </w:rPr>
        <w:t xml:space="preserve">Based on the </w:t>
      </w:r>
      <w:r w:rsidR="000B39E6">
        <w:rPr>
          <w:sz w:val="28"/>
          <w:szCs w:val="28"/>
        </w:rPr>
        <w:t>foregoing</w:t>
      </w:r>
      <w:r w:rsidR="00303F92">
        <w:rPr>
          <w:sz w:val="28"/>
          <w:szCs w:val="28"/>
        </w:rPr>
        <w:t>, t</w:t>
      </w:r>
      <w:r w:rsidR="00A97B3C" w:rsidRPr="006F63FD">
        <w:rPr>
          <w:sz w:val="28"/>
          <w:szCs w:val="28"/>
        </w:rPr>
        <w:t>he State Bar</w:t>
      </w:r>
      <w:r w:rsidR="00A97B3C">
        <w:rPr>
          <w:sz w:val="28"/>
          <w:szCs w:val="28"/>
        </w:rPr>
        <w:t xml:space="preserve"> </w:t>
      </w:r>
      <w:r w:rsidR="00A97B3C" w:rsidRPr="006F63FD">
        <w:rPr>
          <w:sz w:val="28"/>
          <w:szCs w:val="28"/>
        </w:rPr>
        <w:t xml:space="preserve">respectfully requests that </w:t>
      </w:r>
      <w:r w:rsidR="00A97B3C">
        <w:rPr>
          <w:sz w:val="28"/>
          <w:szCs w:val="28"/>
        </w:rPr>
        <w:t xml:space="preserve">the Court </w:t>
      </w:r>
      <w:r w:rsidR="006769A0">
        <w:rPr>
          <w:sz w:val="28"/>
          <w:szCs w:val="28"/>
        </w:rPr>
        <w:t xml:space="preserve">deny </w:t>
      </w:r>
      <w:r w:rsidR="00A97B3C">
        <w:rPr>
          <w:sz w:val="28"/>
          <w:szCs w:val="28"/>
        </w:rPr>
        <w:t>th</w:t>
      </w:r>
      <w:r w:rsidR="00303F92">
        <w:rPr>
          <w:sz w:val="28"/>
          <w:szCs w:val="28"/>
        </w:rPr>
        <w:t>e</w:t>
      </w:r>
      <w:r w:rsidR="00A97B3C">
        <w:rPr>
          <w:sz w:val="28"/>
          <w:szCs w:val="28"/>
        </w:rPr>
        <w:t xml:space="preserve"> Petition</w:t>
      </w:r>
      <w:r w:rsidR="006769A0">
        <w:rPr>
          <w:sz w:val="28"/>
          <w:szCs w:val="28"/>
        </w:rPr>
        <w:t>.</w:t>
      </w:r>
    </w:p>
    <w:p w14:paraId="3ACEF0FC" w14:textId="77777777" w:rsidR="00F216D4" w:rsidRPr="001B0910" w:rsidRDefault="00F216D4" w:rsidP="00F216D4">
      <w:pPr>
        <w:pStyle w:val="Body"/>
        <w:widowControl w:val="0"/>
        <w:tabs>
          <w:tab w:val="left" w:pos="720"/>
        </w:tabs>
        <w:ind w:firstLine="0"/>
        <w:rPr>
          <w:sz w:val="28"/>
          <w:szCs w:val="28"/>
        </w:rPr>
      </w:pPr>
      <w:r w:rsidRPr="001B0910">
        <w:rPr>
          <w:sz w:val="28"/>
          <w:szCs w:val="28"/>
        </w:rPr>
        <w:t xml:space="preserve">       RESPECTFULLY SUBMITTED this </w:t>
      </w:r>
      <w:r w:rsidRPr="007728BD">
        <w:rPr>
          <w:sz w:val="28"/>
          <w:szCs w:val="28"/>
          <w:u w:val="single"/>
        </w:rPr>
        <w:t>1</w:t>
      </w:r>
      <w:r w:rsidRPr="007728BD">
        <w:rPr>
          <w:sz w:val="28"/>
          <w:szCs w:val="28"/>
          <w:u w:val="single"/>
          <w:vertAlign w:val="superscript"/>
        </w:rPr>
        <w:t>st</w:t>
      </w:r>
      <w:r>
        <w:rPr>
          <w:sz w:val="28"/>
          <w:szCs w:val="28"/>
        </w:rPr>
        <w:t xml:space="preserve"> </w:t>
      </w:r>
      <w:r w:rsidRPr="001B0910">
        <w:rPr>
          <w:sz w:val="28"/>
          <w:szCs w:val="28"/>
        </w:rPr>
        <w:t>day of</w:t>
      </w:r>
      <w:r>
        <w:rPr>
          <w:sz w:val="28"/>
          <w:szCs w:val="28"/>
        </w:rPr>
        <w:t xml:space="preserve">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2FFFB5B6" w14:textId="77777777" w:rsidR="00F216D4" w:rsidRPr="001B0910" w:rsidRDefault="00F216D4" w:rsidP="00F216D4">
      <w:pPr>
        <w:pStyle w:val="Body"/>
        <w:widowControl w:val="0"/>
        <w:tabs>
          <w:tab w:val="left" w:pos="720"/>
        </w:tabs>
        <w:ind w:firstLine="0"/>
        <w:rPr>
          <w:sz w:val="28"/>
          <w:szCs w:val="28"/>
        </w:rPr>
      </w:pPr>
      <w:r>
        <w:rPr>
          <w:b/>
          <w:noProof/>
          <w:sz w:val="28"/>
          <w:szCs w:val="28"/>
        </w:rPr>
        <w:drawing>
          <wp:anchor distT="0" distB="0" distL="114300" distR="114300" simplePos="0" relativeHeight="251659264" behindDoc="0" locked="0" layoutInCell="1" allowOverlap="1" wp14:anchorId="46A92702" wp14:editId="624A577C">
            <wp:simplePos x="0" y="0"/>
            <wp:positionH relativeFrom="column">
              <wp:posOffset>3120390</wp:posOffset>
            </wp:positionH>
            <wp:positionV relativeFrom="paragraph">
              <wp:posOffset>108585</wp:posOffset>
            </wp:positionV>
            <wp:extent cx="2022475" cy="493395"/>
            <wp:effectExtent l="0" t="0" r="0" b="0"/>
            <wp:wrapSquare wrapText="bothSides"/>
            <wp:docPr id="5169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2475"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EAC980" w14:textId="77777777" w:rsidR="00F216D4" w:rsidRPr="001B0910" w:rsidRDefault="00F216D4" w:rsidP="00F216D4">
      <w:pPr>
        <w:pStyle w:val="Body"/>
        <w:widowControl w:val="0"/>
        <w:tabs>
          <w:tab w:val="left" w:pos="720"/>
        </w:tabs>
        <w:ind w:firstLine="0"/>
        <w:rPr>
          <w:sz w:val="28"/>
          <w:szCs w:val="28"/>
        </w:rPr>
      </w:pPr>
    </w:p>
    <w:p w14:paraId="6D413127" w14:textId="77777777" w:rsidR="00F216D4" w:rsidRPr="001B0910" w:rsidRDefault="00F216D4" w:rsidP="00F216D4">
      <w:pPr>
        <w:pStyle w:val="PleadingSignature"/>
        <w:keepNext w:val="0"/>
        <w:keepLines w:val="0"/>
        <w:pBdr>
          <w:top w:val="single" w:sz="4" w:space="1" w:color="auto"/>
        </w:pBdr>
        <w:spacing w:line="240" w:lineRule="auto"/>
        <w:ind w:left="5070"/>
        <w:rPr>
          <w:sz w:val="28"/>
          <w:szCs w:val="28"/>
        </w:rPr>
      </w:pPr>
      <w:r>
        <w:rPr>
          <w:sz w:val="28"/>
          <w:szCs w:val="28"/>
        </w:rPr>
        <w:t>Jessica J. Fotinos</w:t>
      </w:r>
    </w:p>
    <w:p w14:paraId="79079688" w14:textId="77777777" w:rsidR="00F216D4" w:rsidRPr="001B0910" w:rsidRDefault="00F216D4" w:rsidP="00F216D4">
      <w:pPr>
        <w:pStyle w:val="PleadingSignature"/>
        <w:keepNext w:val="0"/>
        <w:keepLines w:val="0"/>
        <w:spacing w:line="240" w:lineRule="auto"/>
        <w:ind w:left="5070"/>
        <w:rPr>
          <w:sz w:val="28"/>
          <w:szCs w:val="28"/>
        </w:rPr>
      </w:pPr>
      <w:r w:rsidRPr="001B0910">
        <w:rPr>
          <w:sz w:val="28"/>
          <w:szCs w:val="28"/>
        </w:rPr>
        <w:t>General Counsel</w:t>
      </w:r>
    </w:p>
    <w:p w14:paraId="3326D8DE" w14:textId="77777777" w:rsidR="00F216D4" w:rsidRPr="001B0910" w:rsidRDefault="00F216D4" w:rsidP="00F216D4">
      <w:pPr>
        <w:pStyle w:val="PleadingSignature"/>
        <w:keepNext w:val="0"/>
        <w:keepLines w:val="0"/>
        <w:spacing w:line="240" w:lineRule="auto"/>
        <w:ind w:left="5070"/>
        <w:rPr>
          <w:sz w:val="28"/>
          <w:szCs w:val="28"/>
        </w:rPr>
      </w:pPr>
    </w:p>
    <w:p w14:paraId="745A810E" w14:textId="77777777" w:rsidR="00F216D4" w:rsidRPr="001B0910" w:rsidRDefault="00F216D4" w:rsidP="00F216D4">
      <w:pPr>
        <w:pStyle w:val="PleadingSignature"/>
        <w:keepNext w:val="0"/>
        <w:keepLines w:val="0"/>
        <w:spacing w:line="240" w:lineRule="auto"/>
        <w:ind w:left="5070"/>
        <w:rPr>
          <w:sz w:val="28"/>
          <w:szCs w:val="28"/>
        </w:rPr>
      </w:pPr>
    </w:p>
    <w:p w14:paraId="4F15F012" w14:textId="77777777" w:rsidR="00F216D4" w:rsidRPr="001B0910" w:rsidRDefault="00F216D4" w:rsidP="00F216D4">
      <w:pPr>
        <w:widowControl w:val="0"/>
        <w:spacing w:line="240" w:lineRule="auto"/>
        <w:ind w:right="4140"/>
        <w:rPr>
          <w:sz w:val="28"/>
          <w:szCs w:val="28"/>
        </w:rPr>
      </w:pPr>
    </w:p>
    <w:p w14:paraId="17A7B14B" w14:textId="77777777" w:rsidR="00F216D4" w:rsidRPr="001B0910" w:rsidRDefault="00F216D4" w:rsidP="00F216D4">
      <w:pPr>
        <w:widowControl w:val="0"/>
        <w:spacing w:line="240" w:lineRule="auto"/>
        <w:ind w:right="4140"/>
        <w:rPr>
          <w:sz w:val="28"/>
          <w:szCs w:val="28"/>
        </w:rPr>
      </w:pPr>
    </w:p>
    <w:p w14:paraId="17493A0E" w14:textId="77777777" w:rsidR="00F216D4" w:rsidRPr="001B0910" w:rsidRDefault="00F216D4" w:rsidP="00F216D4">
      <w:pPr>
        <w:widowControl w:val="0"/>
        <w:spacing w:line="240" w:lineRule="auto"/>
        <w:ind w:right="4140"/>
        <w:rPr>
          <w:sz w:val="28"/>
          <w:szCs w:val="28"/>
        </w:rPr>
      </w:pPr>
      <w:r w:rsidRPr="001B0910">
        <w:rPr>
          <w:sz w:val="28"/>
          <w:szCs w:val="28"/>
        </w:rPr>
        <w:t>Electronic copy filed with the</w:t>
      </w:r>
    </w:p>
    <w:p w14:paraId="6F44DA37" w14:textId="77777777" w:rsidR="00F216D4" w:rsidRPr="001B0910" w:rsidRDefault="00F216D4" w:rsidP="00F216D4">
      <w:pPr>
        <w:spacing w:line="240" w:lineRule="auto"/>
        <w:ind w:right="4140"/>
        <w:rPr>
          <w:sz w:val="28"/>
          <w:szCs w:val="28"/>
        </w:rPr>
      </w:pPr>
      <w:r w:rsidRPr="001B0910">
        <w:rPr>
          <w:sz w:val="28"/>
          <w:szCs w:val="28"/>
        </w:rPr>
        <w:t>Clerk of the Supreme Court of Arizona</w:t>
      </w:r>
    </w:p>
    <w:p w14:paraId="3F74537C" w14:textId="77777777" w:rsidR="00F216D4" w:rsidRPr="001B0910" w:rsidRDefault="00F216D4" w:rsidP="00F216D4">
      <w:pPr>
        <w:tabs>
          <w:tab w:val="left" w:pos="4836"/>
        </w:tabs>
        <w:spacing w:line="240" w:lineRule="auto"/>
        <w:ind w:right="3870"/>
        <w:rPr>
          <w:sz w:val="28"/>
          <w:szCs w:val="28"/>
        </w:rPr>
      </w:pPr>
      <w:r w:rsidRPr="001B0910">
        <w:rPr>
          <w:sz w:val="28"/>
          <w:szCs w:val="28"/>
        </w:rPr>
        <w:t xml:space="preserve">this </w:t>
      </w:r>
      <w:r w:rsidRPr="007728BD">
        <w:rPr>
          <w:sz w:val="28"/>
          <w:szCs w:val="28"/>
          <w:u w:val="single"/>
        </w:rPr>
        <w:t>1</w:t>
      </w:r>
      <w:proofErr w:type="gramStart"/>
      <w:r w:rsidRPr="007728BD">
        <w:rPr>
          <w:sz w:val="28"/>
          <w:szCs w:val="28"/>
          <w:u w:val="single"/>
          <w:vertAlign w:val="superscript"/>
        </w:rPr>
        <w:t>st</w:t>
      </w:r>
      <w:r w:rsidRPr="007728BD">
        <w:rPr>
          <w:sz w:val="28"/>
          <w:szCs w:val="28"/>
          <w:u w:val="single"/>
        </w:rPr>
        <w:t xml:space="preserve"> </w:t>
      </w:r>
      <w:r w:rsidRPr="001B0910">
        <w:rPr>
          <w:sz w:val="28"/>
          <w:szCs w:val="28"/>
        </w:rPr>
        <w:t xml:space="preserve"> day</w:t>
      </w:r>
      <w:proofErr w:type="gramEnd"/>
      <w:r w:rsidRPr="001B0910">
        <w:rPr>
          <w:sz w:val="28"/>
          <w:szCs w:val="28"/>
        </w:rPr>
        <w:t xml:space="preserve"> of </w:t>
      </w:r>
      <w:proofErr w:type="gramStart"/>
      <w:r w:rsidRPr="007728BD">
        <w:rPr>
          <w:sz w:val="28"/>
          <w:szCs w:val="28"/>
          <w:u w:val="single"/>
        </w:rPr>
        <w:t>May</w:t>
      </w:r>
      <w:r>
        <w:rPr>
          <w:sz w:val="28"/>
          <w:szCs w:val="28"/>
        </w:rPr>
        <w:t>,</w:t>
      </w:r>
      <w:proofErr w:type="gramEnd"/>
      <w:r w:rsidRPr="001B0910">
        <w:rPr>
          <w:sz w:val="28"/>
          <w:szCs w:val="28"/>
        </w:rPr>
        <w:t xml:space="preserve"> 202</w:t>
      </w:r>
      <w:r>
        <w:rPr>
          <w:sz w:val="28"/>
          <w:szCs w:val="28"/>
        </w:rPr>
        <w:t>6</w:t>
      </w:r>
      <w:r w:rsidRPr="001B0910">
        <w:rPr>
          <w:sz w:val="28"/>
          <w:szCs w:val="28"/>
        </w:rPr>
        <w:t>.</w:t>
      </w:r>
    </w:p>
    <w:p w14:paraId="6CB39E47" w14:textId="77777777" w:rsidR="00F216D4" w:rsidRPr="001B0910" w:rsidRDefault="00F216D4" w:rsidP="00F216D4">
      <w:pPr>
        <w:spacing w:line="240" w:lineRule="auto"/>
        <w:ind w:right="4572"/>
        <w:rPr>
          <w:sz w:val="28"/>
          <w:szCs w:val="28"/>
        </w:rPr>
      </w:pPr>
    </w:p>
    <w:p w14:paraId="41CBE8A7" w14:textId="77777777" w:rsidR="00F216D4" w:rsidRPr="001B0910" w:rsidRDefault="00F216D4" w:rsidP="00F216D4">
      <w:pPr>
        <w:spacing w:line="240" w:lineRule="auto"/>
        <w:ind w:right="4572"/>
        <w:rPr>
          <w:sz w:val="28"/>
          <w:szCs w:val="28"/>
        </w:rPr>
      </w:pPr>
      <w:r w:rsidRPr="001B0910">
        <w:rPr>
          <w:sz w:val="28"/>
          <w:szCs w:val="28"/>
        </w:rPr>
        <w:t>by:</w:t>
      </w:r>
      <w:r w:rsidRPr="007728BD">
        <w:rPr>
          <w:sz w:val="28"/>
          <w:szCs w:val="28"/>
          <w:u w:val="single"/>
        </w:rPr>
        <w:t xml:space="preserve"> </w:t>
      </w:r>
      <w:proofErr w:type="spellStart"/>
      <w:r w:rsidRPr="007728BD">
        <w:rPr>
          <w:sz w:val="28"/>
          <w:szCs w:val="28"/>
          <w:u w:val="single"/>
        </w:rPr>
        <w:t>PSeguin</w:t>
      </w:r>
      <w:proofErr w:type="spellEnd"/>
    </w:p>
    <w:p w14:paraId="5A56462C" w14:textId="77777777" w:rsidR="00F216D4" w:rsidRPr="00B74E67" w:rsidRDefault="00F216D4" w:rsidP="0089500B">
      <w:pPr>
        <w:pStyle w:val="Body"/>
        <w:keepNext/>
        <w:keepLines/>
        <w:tabs>
          <w:tab w:val="left" w:pos="720"/>
        </w:tabs>
        <w:spacing w:line="480" w:lineRule="auto"/>
        <w:ind w:firstLine="0"/>
        <w:jc w:val="both"/>
        <w:rPr>
          <w:spacing w:val="-3"/>
          <w:sz w:val="28"/>
          <w:szCs w:val="28"/>
        </w:rPr>
      </w:pPr>
    </w:p>
    <w:p w14:paraId="69581EED" w14:textId="77777777" w:rsidR="000F7A7F" w:rsidRPr="00C52E56" w:rsidRDefault="000F7A7F" w:rsidP="000C48A9">
      <w:pPr>
        <w:spacing w:line="240" w:lineRule="auto"/>
        <w:ind w:right="4572"/>
        <w:rPr>
          <w:sz w:val="28"/>
          <w:szCs w:val="28"/>
        </w:rPr>
      </w:pPr>
    </w:p>
    <w:sectPr w:rsidR="000F7A7F" w:rsidRPr="00C52E56"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6A9D" w14:textId="77777777" w:rsidR="008414A9" w:rsidRDefault="008414A9">
      <w:r>
        <w:separator/>
      </w:r>
    </w:p>
  </w:endnote>
  <w:endnote w:type="continuationSeparator" w:id="0">
    <w:p w14:paraId="4F27C8A1" w14:textId="77777777" w:rsidR="008414A9" w:rsidRDefault="0084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65AF" w14:textId="77777777" w:rsidR="008414A9" w:rsidRDefault="008414A9">
      <w:r>
        <w:separator/>
      </w:r>
    </w:p>
  </w:footnote>
  <w:footnote w:type="continuationSeparator" w:id="0">
    <w:p w14:paraId="41677846" w14:textId="77777777" w:rsidR="008414A9" w:rsidRDefault="008414A9">
      <w:r>
        <w:continuationSeparator/>
      </w:r>
    </w:p>
  </w:footnote>
  <w:footnote w:id="1">
    <w:p w14:paraId="20E757D3" w14:textId="11E3D87F" w:rsidR="00BF40AC" w:rsidRPr="00BF40AC" w:rsidRDefault="00BF40AC">
      <w:pPr>
        <w:pStyle w:val="FootnoteText"/>
        <w:rPr>
          <w:sz w:val="28"/>
          <w:szCs w:val="28"/>
        </w:rPr>
      </w:pPr>
      <w:r w:rsidRPr="00BF40AC">
        <w:rPr>
          <w:rStyle w:val="FootnoteReference"/>
          <w:sz w:val="28"/>
          <w:szCs w:val="28"/>
        </w:rPr>
        <w:footnoteRef/>
      </w:r>
      <w:r w:rsidRPr="00BF40AC">
        <w:rPr>
          <w:sz w:val="28"/>
          <w:szCs w:val="28"/>
        </w:rPr>
        <w:t xml:space="preserve"> All future references to </w:t>
      </w:r>
      <w:r>
        <w:rPr>
          <w:sz w:val="28"/>
          <w:szCs w:val="28"/>
        </w:rPr>
        <w:t xml:space="preserve">a “Rule” or </w:t>
      </w:r>
      <w:r w:rsidRPr="00BF40AC">
        <w:rPr>
          <w:sz w:val="28"/>
          <w:szCs w:val="28"/>
        </w:rPr>
        <w:t>the “Rules” are to the Rules of Procedure for Special Actions unless stated otherwise.</w:t>
      </w:r>
    </w:p>
  </w:footnote>
  <w:footnote w:id="2">
    <w:p w14:paraId="5813BD71" w14:textId="684308C7" w:rsidR="00A62C1F" w:rsidRPr="00A62C1F" w:rsidRDefault="00A62C1F" w:rsidP="00F216D4">
      <w:pPr>
        <w:pStyle w:val="FootnoteText"/>
        <w:jc w:val="both"/>
        <w:rPr>
          <w:sz w:val="28"/>
          <w:szCs w:val="28"/>
        </w:rPr>
      </w:pPr>
      <w:r w:rsidRPr="00A62C1F">
        <w:rPr>
          <w:rStyle w:val="FootnoteReference"/>
          <w:sz w:val="28"/>
          <w:szCs w:val="28"/>
        </w:rPr>
        <w:footnoteRef/>
      </w:r>
      <w:r w:rsidRPr="00A62C1F">
        <w:rPr>
          <w:sz w:val="28"/>
          <w:szCs w:val="28"/>
        </w:rPr>
        <w:t xml:space="preserve"> The Court of Appeals </w:t>
      </w:r>
      <w:r w:rsidR="00426D85">
        <w:rPr>
          <w:sz w:val="28"/>
          <w:szCs w:val="28"/>
        </w:rPr>
        <w:t xml:space="preserve">has explained that </w:t>
      </w:r>
      <w:r w:rsidRPr="00A62C1F">
        <w:rPr>
          <w:sz w:val="28"/>
          <w:szCs w:val="28"/>
        </w:rPr>
        <w:t xml:space="preserve">Rule 4 </w:t>
      </w:r>
      <w:r>
        <w:rPr>
          <w:sz w:val="28"/>
          <w:szCs w:val="28"/>
        </w:rPr>
        <w:t>defin</w:t>
      </w:r>
      <w:r w:rsidR="00426D85">
        <w:rPr>
          <w:sz w:val="28"/>
          <w:szCs w:val="28"/>
        </w:rPr>
        <w:t>es</w:t>
      </w:r>
      <w:r>
        <w:rPr>
          <w:sz w:val="28"/>
          <w:szCs w:val="28"/>
        </w:rPr>
        <w:t xml:space="preserve"> </w:t>
      </w:r>
      <w:r w:rsidRPr="00A62C1F">
        <w:rPr>
          <w:sz w:val="28"/>
          <w:szCs w:val="28"/>
        </w:rPr>
        <w:t>the scope of review in a special action</w:t>
      </w:r>
      <w:r>
        <w:rPr>
          <w:sz w:val="28"/>
          <w:szCs w:val="28"/>
        </w:rPr>
        <w:t xml:space="preserve">.  </w:t>
      </w:r>
      <w:r>
        <w:rPr>
          <w:i/>
          <w:iCs/>
          <w:sz w:val="28"/>
          <w:szCs w:val="28"/>
        </w:rPr>
        <w:t xml:space="preserve">See </w:t>
      </w:r>
      <w:r w:rsidRPr="00A62C1F">
        <w:rPr>
          <w:i/>
          <w:iCs/>
          <w:sz w:val="28"/>
          <w:szCs w:val="28"/>
        </w:rPr>
        <w:t>Abraham v. Arizona Bd. of Regents</w:t>
      </w:r>
      <w:r w:rsidRPr="00A62C1F">
        <w:rPr>
          <w:sz w:val="28"/>
          <w:szCs w:val="28"/>
        </w:rPr>
        <w:t xml:space="preserve">, 259 Ariz. 158, ¶ 37 (App. 2025), </w:t>
      </w:r>
      <w:r w:rsidRPr="00A62C1F">
        <w:rPr>
          <w:i/>
          <w:iCs/>
          <w:sz w:val="28"/>
          <w:szCs w:val="28"/>
        </w:rPr>
        <w:t>as corrected</w:t>
      </w:r>
      <w:r w:rsidRPr="00A62C1F">
        <w:rPr>
          <w:sz w:val="28"/>
          <w:szCs w:val="28"/>
        </w:rPr>
        <w:t xml:space="preserve"> (Jan. 8, 2025), </w:t>
      </w:r>
      <w:r w:rsidRPr="00A62C1F">
        <w:rPr>
          <w:i/>
          <w:iCs/>
          <w:sz w:val="28"/>
          <w:szCs w:val="28"/>
        </w:rPr>
        <w:t>review granted in part</w:t>
      </w:r>
      <w:r w:rsidRPr="00A62C1F">
        <w:rPr>
          <w:sz w:val="28"/>
          <w:szCs w:val="28"/>
        </w:rPr>
        <w:t xml:space="preserve"> (Sept. 9, 2025).</w:t>
      </w:r>
    </w:p>
  </w:footnote>
  <w:footnote w:id="3">
    <w:p w14:paraId="425292E5" w14:textId="5F4C155B" w:rsidR="000B39E6" w:rsidRPr="00C3216A" w:rsidRDefault="000B39E6" w:rsidP="00F216D4">
      <w:pPr>
        <w:pStyle w:val="FootnoteText"/>
        <w:jc w:val="both"/>
        <w:rPr>
          <w:sz w:val="28"/>
          <w:szCs w:val="28"/>
        </w:rPr>
      </w:pPr>
      <w:r w:rsidRPr="00C3216A">
        <w:rPr>
          <w:rStyle w:val="FootnoteReference"/>
          <w:sz w:val="28"/>
          <w:szCs w:val="28"/>
        </w:rPr>
        <w:footnoteRef/>
      </w:r>
      <w:r w:rsidRPr="00C3216A">
        <w:rPr>
          <w:sz w:val="28"/>
          <w:szCs w:val="28"/>
        </w:rPr>
        <w:t xml:space="preserve"> </w:t>
      </w:r>
      <w:r w:rsidR="00C3216A" w:rsidRPr="00C3216A">
        <w:rPr>
          <w:sz w:val="28"/>
          <w:szCs w:val="28"/>
        </w:rPr>
        <w:t>Former Rule 1(b) provided: “Where a statutory special action is involved, the questions to be raised and considered are wholly unaffected by this Rule, but the provisions of this Rule as to parties, procedure, interlocutory orders and stays, and judgments shall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DEBFA"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5652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1B5E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60D"/>
    <w:multiLevelType w:val="hybridMultilevel"/>
    <w:tmpl w:val="BC3CBC42"/>
    <w:lvl w:ilvl="0" w:tplc="EE54B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659CA"/>
    <w:multiLevelType w:val="hybridMultilevel"/>
    <w:tmpl w:val="72D60CF6"/>
    <w:lvl w:ilvl="0" w:tplc="2FA05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BB3502"/>
    <w:multiLevelType w:val="hybridMultilevel"/>
    <w:tmpl w:val="8C52BE2E"/>
    <w:lvl w:ilvl="0" w:tplc="951020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6828178">
    <w:abstractNumId w:val="13"/>
  </w:num>
  <w:num w:numId="2" w16cid:durableId="1995134523">
    <w:abstractNumId w:val="14"/>
  </w:num>
  <w:num w:numId="3" w16cid:durableId="1067607128">
    <w:abstractNumId w:val="1"/>
  </w:num>
  <w:num w:numId="4" w16cid:durableId="2011564452">
    <w:abstractNumId w:val="6"/>
  </w:num>
  <w:num w:numId="5" w16cid:durableId="1791898462">
    <w:abstractNumId w:val="8"/>
  </w:num>
  <w:num w:numId="6" w16cid:durableId="146677598">
    <w:abstractNumId w:val="9"/>
  </w:num>
  <w:num w:numId="7" w16cid:durableId="1996252833">
    <w:abstractNumId w:val="2"/>
  </w:num>
  <w:num w:numId="8" w16cid:durableId="514542688">
    <w:abstractNumId w:val="16"/>
  </w:num>
  <w:num w:numId="9" w16cid:durableId="1651858388">
    <w:abstractNumId w:val="10"/>
  </w:num>
  <w:num w:numId="10" w16cid:durableId="302079192">
    <w:abstractNumId w:val="12"/>
  </w:num>
  <w:num w:numId="11" w16cid:durableId="86050170">
    <w:abstractNumId w:val="11"/>
  </w:num>
  <w:num w:numId="12" w16cid:durableId="747966804">
    <w:abstractNumId w:val="7"/>
  </w:num>
  <w:num w:numId="13" w16cid:durableId="772283554">
    <w:abstractNumId w:val="4"/>
  </w:num>
  <w:num w:numId="14" w16cid:durableId="2137482236">
    <w:abstractNumId w:val="5"/>
  </w:num>
  <w:num w:numId="15" w16cid:durableId="321466357">
    <w:abstractNumId w:val="0"/>
  </w:num>
  <w:num w:numId="16" w16cid:durableId="1458259673">
    <w:abstractNumId w:val="3"/>
  </w:num>
  <w:num w:numId="17" w16cid:durableId="2113235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1"/>
    <w:rsid w:val="00000C35"/>
    <w:rsid w:val="00012D08"/>
    <w:rsid w:val="00015F76"/>
    <w:rsid w:val="00017F93"/>
    <w:rsid w:val="00021B1C"/>
    <w:rsid w:val="00023D59"/>
    <w:rsid w:val="00031D7C"/>
    <w:rsid w:val="000410B3"/>
    <w:rsid w:val="00043D4D"/>
    <w:rsid w:val="000465C7"/>
    <w:rsid w:val="00052372"/>
    <w:rsid w:val="000666D1"/>
    <w:rsid w:val="00071208"/>
    <w:rsid w:val="00075F44"/>
    <w:rsid w:val="0007640F"/>
    <w:rsid w:val="0008003D"/>
    <w:rsid w:val="0008256C"/>
    <w:rsid w:val="000917C0"/>
    <w:rsid w:val="00095B49"/>
    <w:rsid w:val="000A1D6B"/>
    <w:rsid w:val="000A2441"/>
    <w:rsid w:val="000B39E6"/>
    <w:rsid w:val="000C1DBF"/>
    <w:rsid w:val="000C31CE"/>
    <w:rsid w:val="000C48A9"/>
    <w:rsid w:val="000C4CB3"/>
    <w:rsid w:val="000E7645"/>
    <w:rsid w:val="000F2BAC"/>
    <w:rsid w:val="000F7A7F"/>
    <w:rsid w:val="000F7C13"/>
    <w:rsid w:val="001076EC"/>
    <w:rsid w:val="0011074F"/>
    <w:rsid w:val="001223A0"/>
    <w:rsid w:val="00123BB0"/>
    <w:rsid w:val="00125B4B"/>
    <w:rsid w:val="0012632E"/>
    <w:rsid w:val="00133FEE"/>
    <w:rsid w:val="00135326"/>
    <w:rsid w:val="0014088C"/>
    <w:rsid w:val="00146668"/>
    <w:rsid w:val="00184AC0"/>
    <w:rsid w:val="00186C2F"/>
    <w:rsid w:val="00190B02"/>
    <w:rsid w:val="00195171"/>
    <w:rsid w:val="00195180"/>
    <w:rsid w:val="00197291"/>
    <w:rsid w:val="001A081A"/>
    <w:rsid w:val="001A2520"/>
    <w:rsid w:val="001A5914"/>
    <w:rsid w:val="001A7DCF"/>
    <w:rsid w:val="001B48E9"/>
    <w:rsid w:val="001B698B"/>
    <w:rsid w:val="001C3C0D"/>
    <w:rsid w:val="001C3E6C"/>
    <w:rsid w:val="001C665D"/>
    <w:rsid w:val="001D123F"/>
    <w:rsid w:val="001E1348"/>
    <w:rsid w:val="001E5DA5"/>
    <w:rsid w:val="001E7C48"/>
    <w:rsid w:val="001F591C"/>
    <w:rsid w:val="001F5E40"/>
    <w:rsid w:val="00200ECE"/>
    <w:rsid w:val="002011A0"/>
    <w:rsid w:val="00207336"/>
    <w:rsid w:val="00215505"/>
    <w:rsid w:val="00220398"/>
    <w:rsid w:val="00222ECB"/>
    <w:rsid w:val="00224241"/>
    <w:rsid w:val="0023378E"/>
    <w:rsid w:val="00235BFC"/>
    <w:rsid w:val="00243A54"/>
    <w:rsid w:val="002506BC"/>
    <w:rsid w:val="00250FBB"/>
    <w:rsid w:val="00251E89"/>
    <w:rsid w:val="00253978"/>
    <w:rsid w:val="0026700B"/>
    <w:rsid w:val="0026769D"/>
    <w:rsid w:val="00274D6A"/>
    <w:rsid w:val="002771AE"/>
    <w:rsid w:val="00280F57"/>
    <w:rsid w:val="0028148F"/>
    <w:rsid w:val="00284438"/>
    <w:rsid w:val="002865F8"/>
    <w:rsid w:val="0029597F"/>
    <w:rsid w:val="00297754"/>
    <w:rsid w:val="002A38C5"/>
    <w:rsid w:val="002A3FDE"/>
    <w:rsid w:val="002A4000"/>
    <w:rsid w:val="002A4EAC"/>
    <w:rsid w:val="002A5217"/>
    <w:rsid w:val="002B222B"/>
    <w:rsid w:val="002C26D0"/>
    <w:rsid w:val="002C2B80"/>
    <w:rsid w:val="002C505B"/>
    <w:rsid w:val="002D0120"/>
    <w:rsid w:val="002D21ED"/>
    <w:rsid w:val="002D7E8F"/>
    <w:rsid w:val="002E0C55"/>
    <w:rsid w:val="002F0BB4"/>
    <w:rsid w:val="002F1750"/>
    <w:rsid w:val="002F2AB7"/>
    <w:rsid w:val="002F3405"/>
    <w:rsid w:val="002F407E"/>
    <w:rsid w:val="002F5EDA"/>
    <w:rsid w:val="00303EEE"/>
    <w:rsid w:val="00303F92"/>
    <w:rsid w:val="00310F39"/>
    <w:rsid w:val="003141F0"/>
    <w:rsid w:val="00314DC3"/>
    <w:rsid w:val="003175CA"/>
    <w:rsid w:val="00334B42"/>
    <w:rsid w:val="00345BC4"/>
    <w:rsid w:val="003501AE"/>
    <w:rsid w:val="0035209C"/>
    <w:rsid w:val="00352347"/>
    <w:rsid w:val="0035293D"/>
    <w:rsid w:val="00354FD4"/>
    <w:rsid w:val="003566D6"/>
    <w:rsid w:val="00357F4D"/>
    <w:rsid w:val="003617D1"/>
    <w:rsid w:val="003621B6"/>
    <w:rsid w:val="0036231D"/>
    <w:rsid w:val="003628C8"/>
    <w:rsid w:val="003646E9"/>
    <w:rsid w:val="00366186"/>
    <w:rsid w:val="00373142"/>
    <w:rsid w:val="00377199"/>
    <w:rsid w:val="0039419B"/>
    <w:rsid w:val="003A28AC"/>
    <w:rsid w:val="003A44E7"/>
    <w:rsid w:val="003B59CB"/>
    <w:rsid w:val="003C16AD"/>
    <w:rsid w:val="003C572C"/>
    <w:rsid w:val="003E15DF"/>
    <w:rsid w:val="003E1C14"/>
    <w:rsid w:val="003E27F3"/>
    <w:rsid w:val="003E49AE"/>
    <w:rsid w:val="003E798E"/>
    <w:rsid w:val="003F5C6D"/>
    <w:rsid w:val="003F7D23"/>
    <w:rsid w:val="00407E2D"/>
    <w:rsid w:val="00416255"/>
    <w:rsid w:val="00425D2E"/>
    <w:rsid w:val="0042608F"/>
    <w:rsid w:val="00426D85"/>
    <w:rsid w:val="004331B2"/>
    <w:rsid w:val="004345C2"/>
    <w:rsid w:val="00435ED1"/>
    <w:rsid w:val="00440E4C"/>
    <w:rsid w:val="00442035"/>
    <w:rsid w:val="00445797"/>
    <w:rsid w:val="00447011"/>
    <w:rsid w:val="00461C9D"/>
    <w:rsid w:val="004632B2"/>
    <w:rsid w:val="00463734"/>
    <w:rsid w:val="00485993"/>
    <w:rsid w:val="00486CE0"/>
    <w:rsid w:val="00492606"/>
    <w:rsid w:val="00494BDF"/>
    <w:rsid w:val="00495B5F"/>
    <w:rsid w:val="004A2D49"/>
    <w:rsid w:val="004A3CFA"/>
    <w:rsid w:val="004A6A6F"/>
    <w:rsid w:val="004A6FD4"/>
    <w:rsid w:val="004B6952"/>
    <w:rsid w:val="004C3AE3"/>
    <w:rsid w:val="004C729B"/>
    <w:rsid w:val="004D6956"/>
    <w:rsid w:val="004E4660"/>
    <w:rsid w:val="004E5796"/>
    <w:rsid w:val="004E6BC4"/>
    <w:rsid w:val="004E6DFA"/>
    <w:rsid w:val="004F23BA"/>
    <w:rsid w:val="004F3650"/>
    <w:rsid w:val="004F7E34"/>
    <w:rsid w:val="00504E1E"/>
    <w:rsid w:val="00506859"/>
    <w:rsid w:val="0050777D"/>
    <w:rsid w:val="00510D26"/>
    <w:rsid w:val="00520F93"/>
    <w:rsid w:val="005226A5"/>
    <w:rsid w:val="005324FA"/>
    <w:rsid w:val="00543240"/>
    <w:rsid w:val="00546BF9"/>
    <w:rsid w:val="00552EFC"/>
    <w:rsid w:val="00561ABB"/>
    <w:rsid w:val="00566856"/>
    <w:rsid w:val="00575238"/>
    <w:rsid w:val="00576E8E"/>
    <w:rsid w:val="00582AE1"/>
    <w:rsid w:val="005845AE"/>
    <w:rsid w:val="005A0F0C"/>
    <w:rsid w:val="005A21B0"/>
    <w:rsid w:val="005B3162"/>
    <w:rsid w:val="005B4F67"/>
    <w:rsid w:val="005B5161"/>
    <w:rsid w:val="005B7603"/>
    <w:rsid w:val="005C115B"/>
    <w:rsid w:val="005C1BD1"/>
    <w:rsid w:val="005C606B"/>
    <w:rsid w:val="005D0936"/>
    <w:rsid w:val="005D6AD4"/>
    <w:rsid w:val="005E78C6"/>
    <w:rsid w:val="005F3416"/>
    <w:rsid w:val="005F3612"/>
    <w:rsid w:val="00611B89"/>
    <w:rsid w:val="0062124A"/>
    <w:rsid w:val="0062208F"/>
    <w:rsid w:val="00624AE0"/>
    <w:rsid w:val="00626C50"/>
    <w:rsid w:val="00630A09"/>
    <w:rsid w:val="00632D14"/>
    <w:rsid w:val="006338C1"/>
    <w:rsid w:val="00635B0E"/>
    <w:rsid w:val="00636F5E"/>
    <w:rsid w:val="00643127"/>
    <w:rsid w:val="00651810"/>
    <w:rsid w:val="00660C65"/>
    <w:rsid w:val="00660FDE"/>
    <w:rsid w:val="00665CCF"/>
    <w:rsid w:val="006666D1"/>
    <w:rsid w:val="0066721E"/>
    <w:rsid w:val="00671038"/>
    <w:rsid w:val="006721EC"/>
    <w:rsid w:val="00673D66"/>
    <w:rsid w:val="006766BF"/>
    <w:rsid w:val="006769A0"/>
    <w:rsid w:val="00684D10"/>
    <w:rsid w:val="00692391"/>
    <w:rsid w:val="006932BA"/>
    <w:rsid w:val="006A6546"/>
    <w:rsid w:val="006B1D3C"/>
    <w:rsid w:val="006B4F9A"/>
    <w:rsid w:val="006C4BE1"/>
    <w:rsid w:val="006C6674"/>
    <w:rsid w:val="006E1A05"/>
    <w:rsid w:val="006E29B1"/>
    <w:rsid w:val="006E4770"/>
    <w:rsid w:val="006F63FD"/>
    <w:rsid w:val="00700593"/>
    <w:rsid w:val="00705EB3"/>
    <w:rsid w:val="00707F23"/>
    <w:rsid w:val="00721303"/>
    <w:rsid w:val="00723A31"/>
    <w:rsid w:val="007251D7"/>
    <w:rsid w:val="007271A6"/>
    <w:rsid w:val="007274F5"/>
    <w:rsid w:val="00731022"/>
    <w:rsid w:val="00732169"/>
    <w:rsid w:val="00735659"/>
    <w:rsid w:val="007366E0"/>
    <w:rsid w:val="007427C6"/>
    <w:rsid w:val="007431D2"/>
    <w:rsid w:val="007629AF"/>
    <w:rsid w:val="00762F60"/>
    <w:rsid w:val="00770697"/>
    <w:rsid w:val="0077087F"/>
    <w:rsid w:val="0077110E"/>
    <w:rsid w:val="00772DBC"/>
    <w:rsid w:val="00781516"/>
    <w:rsid w:val="00785D84"/>
    <w:rsid w:val="0078600A"/>
    <w:rsid w:val="007870CB"/>
    <w:rsid w:val="00793750"/>
    <w:rsid w:val="007A3F0F"/>
    <w:rsid w:val="007B21B1"/>
    <w:rsid w:val="007C4945"/>
    <w:rsid w:val="007D5C49"/>
    <w:rsid w:val="007D73FF"/>
    <w:rsid w:val="007E03AC"/>
    <w:rsid w:val="007E2E9A"/>
    <w:rsid w:val="007E2FF8"/>
    <w:rsid w:val="007E3CCB"/>
    <w:rsid w:val="007E4FE9"/>
    <w:rsid w:val="007E7425"/>
    <w:rsid w:val="007F716B"/>
    <w:rsid w:val="008006ED"/>
    <w:rsid w:val="00805A32"/>
    <w:rsid w:val="00814D94"/>
    <w:rsid w:val="00820F9D"/>
    <w:rsid w:val="008223E3"/>
    <w:rsid w:val="00822598"/>
    <w:rsid w:val="008360A1"/>
    <w:rsid w:val="00840034"/>
    <w:rsid w:val="008414A9"/>
    <w:rsid w:val="008427E5"/>
    <w:rsid w:val="00845428"/>
    <w:rsid w:val="0085226A"/>
    <w:rsid w:val="00854380"/>
    <w:rsid w:val="00856A58"/>
    <w:rsid w:val="00861563"/>
    <w:rsid w:val="00861727"/>
    <w:rsid w:val="00862153"/>
    <w:rsid w:val="008658EE"/>
    <w:rsid w:val="008707BB"/>
    <w:rsid w:val="00871AAA"/>
    <w:rsid w:val="008741DF"/>
    <w:rsid w:val="00875ED5"/>
    <w:rsid w:val="00876F57"/>
    <w:rsid w:val="0088115C"/>
    <w:rsid w:val="0088155E"/>
    <w:rsid w:val="008817C7"/>
    <w:rsid w:val="00883BDF"/>
    <w:rsid w:val="00890776"/>
    <w:rsid w:val="00891AAA"/>
    <w:rsid w:val="0089500B"/>
    <w:rsid w:val="008A2D38"/>
    <w:rsid w:val="008A4EB3"/>
    <w:rsid w:val="008C1674"/>
    <w:rsid w:val="008C4757"/>
    <w:rsid w:val="008C6B1B"/>
    <w:rsid w:val="008D1F83"/>
    <w:rsid w:val="008D1F8E"/>
    <w:rsid w:val="008D2EB5"/>
    <w:rsid w:val="008D3E6B"/>
    <w:rsid w:val="008D55AB"/>
    <w:rsid w:val="008E5BF1"/>
    <w:rsid w:val="008E7B85"/>
    <w:rsid w:val="008F35B0"/>
    <w:rsid w:val="008F7A3F"/>
    <w:rsid w:val="0090543B"/>
    <w:rsid w:val="00912F53"/>
    <w:rsid w:val="0092191A"/>
    <w:rsid w:val="00922D06"/>
    <w:rsid w:val="00926575"/>
    <w:rsid w:val="009274A1"/>
    <w:rsid w:val="00933EA1"/>
    <w:rsid w:val="009356AC"/>
    <w:rsid w:val="00940D13"/>
    <w:rsid w:val="00941271"/>
    <w:rsid w:val="009460CD"/>
    <w:rsid w:val="00951416"/>
    <w:rsid w:val="00952CC3"/>
    <w:rsid w:val="00954A5E"/>
    <w:rsid w:val="00955961"/>
    <w:rsid w:val="00960D21"/>
    <w:rsid w:val="0096115C"/>
    <w:rsid w:val="00963885"/>
    <w:rsid w:val="00981D29"/>
    <w:rsid w:val="00981E11"/>
    <w:rsid w:val="00983332"/>
    <w:rsid w:val="0098477E"/>
    <w:rsid w:val="00993F16"/>
    <w:rsid w:val="009A5025"/>
    <w:rsid w:val="009A6A40"/>
    <w:rsid w:val="009B503E"/>
    <w:rsid w:val="009B6897"/>
    <w:rsid w:val="009C254E"/>
    <w:rsid w:val="009C2F06"/>
    <w:rsid w:val="009C5FA7"/>
    <w:rsid w:val="009D7442"/>
    <w:rsid w:val="009E33F4"/>
    <w:rsid w:val="009E40DF"/>
    <w:rsid w:val="009F0F4D"/>
    <w:rsid w:val="009F5C4D"/>
    <w:rsid w:val="00A028BE"/>
    <w:rsid w:val="00A12026"/>
    <w:rsid w:val="00A1388F"/>
    <w:rsid w:val="00A1428D"/>
    <w:rsid w:val="00A1564B"/>
    <w:rsid w:val="00A16EAC"/>
    <w:rsid w:val="00A326E0"/>
    <w:rsid w:val="00A4249C"/>
    <w:rsid w:val="00A434CD"/>
    <w:rsid w:val="00A43B3D"/>
    <w:rsid w:val="00A46DAC"/>
    <w:rsid w:val="00A51372"/>
    <w:rsid w:val="00A5194F"/>
    <w:rsid w:val="00A62C1F"/>
    <w:rsid w:val="00A6430C"/>
    <w:rsid w:val="00A72A05"/>
    <w:rsid w:val="00A75FF7"/>
    <w:rsid w:val="00A7622E"/>
    <w:rsid w:val="00A76ADD"/>
    <w:rsid w:val="00A80682"/>
    <w:rsid w:val="00A871D6"/>
    <w:rsid w:val="00A93A7C"/>
    <w:rsid w:val="00A96A04"/>
    <w:rsid w:val="00A97B3C"/>
    <w:rsid w:val="00AA5FFC"/>
    <w:rsid w:val="00AB394F"/>
    <w:rsid w:val="00AB6B40"/>
    <w:rsid w:val="00AC5EC7"/>
    <w:rsid w:val="00AD79FB"/>
    <w:rsid w:val="00AF282C"/>
    <w:rsid w:val="00AF3FF7"/>
    <w:rsid w:val="00AF6BBB"/>
    <w:rsid w:val="00AF6EE4"/>
    <w:rsid w:val="00B01280"/>
    <w:rsid w:val="00B11049"/>
    <w:rsid w:val="00B116BA"/>
    <w:rsid w:val="00B1491D"/>
    <w:rsid w:val="00B354DC"/>
    <w:rsid w:val="00B47B7D"/>
    <w:rsid w:val="00B530F2"/>
    <w:rsid w:val="00B531D2"/>
    <w:rsid w:val="00B715BE"/>
    <w:rsid w:val="00B73165"/>
    <w:rsid w:val="00B74E67"/>
    <w:rsid w:val="00B775F6"/>
    <w:rsid w:val="00B85093"/>
    <w:rsid w:val="00B85BB4"/>
    <w:rsid w:val="00B91E2D"/>
    <w:rsid w:val="00B94547"/>
    <w:rsid w:val="00B94EF4"/>
    <w:rsid w:val="00BA37AA"/>
    <w:rsid w:val="00BA5447"/>
    <w:rsid w:val="00BB04EE"/>
    <w:rsid w:val="00BC5216"/>
    <w:rsid w:val="00BE23DF"/>
    <w:rsid w:val="00BE3B7B"/>
    <w:rsid w:val="00BE78BF"/>
    <w:rsid w:val="00BF40AC"/>
    <w:rsid w:val="00BF43BE"/>
    <w:rsid w:val="00BF4BAC"/>
    <w:rsid w:val="00BF736C"/>
    <w:rsid w:val="00BF78DE"/>
    <w:rsid w:val="00C03E0F"/>
    <w:rsid w:val="00C03E4C"/>
    <w:rsid w:val="00C10C99"/>
    <w:rsid w:val="00C1270D"/>
    <w:rsid w:val="00C233A3"/>
    <w:rsid w:val="00C23B6A"/>
    <w:rsid w:val="00C24752"/>
    <w:rsid w:val="00C3216A"/>
    <w:rsid w:val="00C334C2"/>
    <w:rsid w:val="00C37611"/>
    <w:rsid w:val="00C465E1"/>
    <w:rsid w:val="00C52E56"/>
    <w:rsid w:val="00C53D77"/>
    <w:rsid w:val="00C5407A"/>
    <w:rsid w:val="00C550E3"/>
    <w:rsid w:val="00C6242D"/>
    <w:rsid w:val="00C662B0"/>
    <w:rsid w:val="00C67308"/>
    <w:rsid w:val="00C674E4"/>
    <w:rsid w:val="00C67A63"/>
    <w:rsid w:val="00C746FF"/>
    <w:rsid w:val="00C77DCE"/>
    <w:rsid w:val="00C80C12"/>
    <w:rsid w:val="00C80DA7"/>
    <w:rsid w:val="00C84FD4"/>
    <w:rsid w:val="00C94AAC"/>
    <w:rsid w:val="00C958EE"/>
    <w:rsid w:val="00CA2498"/>
    <w:rsid w:val="00CA3D05"/>
    <w:rsid w:val="00CB0E89"/>
    <w:rsid w:val="00CD21FB"/>
    <w:rsid w:val="00CD69C1"/>
    <w:rsid w:val="00CE7B05"/>
    <w:rsid w:val="00CF0238"/>
    <w:rsid w:val="00CF2F0B"/>
    <w:rsid w:val="00CF6E27"/>
    <w:rsid w:val="00D0001B"/>
    <w:rsid w:val="00D021B1"/>
    <w:rsid w:val="00D0271B"/>
    <w:rsid w:val="00D0315E"/>
    <w:rsid w:val="00D26192"/>
    <w:rsid w:val="00D36EBF"/>
    <w:rsid w:val="00D374CD"/>
    <w:rsid w:val="00D423FE"/>
    <w:rsid w:val="00D442E4"/>
    <w:rsid w:val="00D60D9B"/>
    <w:rsid w:val="00D80EDC"/>
    <w:rsid w:val="00D93E08"/>
    <w:rsid w:val="00DA1100"/>
    <w:rsid w:val="00DA64B4"/>
    <w:rsid w:val="00DC1569"/>
    <w:rsid w:val="00DC6B66"/>
    <w:rsid w:val="00DD4151"/>
    <w:rsid w:val="00DD5B1F"/>
    <w:rsid w:val="00DE188A"/>
    <w:rsid w:val="00DE7587"/>
    <w:rsid w:val="00DF0C19"/>
    <w:rsid w:val="00DF4F15"/>
    <w:rsid w:val="00DF7AEA"/>
    <w:rsid w:val="00E047D3"/>
    <w:rsid w:val="00E1340D"/>
    <w:rsid w:val="00E15570"/>
    <w:rsid w:val="00E1709E"/>
    <w:rsid w:val="00E2234C"/>
    <w:rsid w:val="00E22851"/>
    <w:rsid w:val="00E2658A"/>
    <w:rsid w:val="00E266B7"/>
    <w:rsid w:val="00E321C5"/>
    <w:rsid w:val="00E33E49"/>
    <w:rsid w:val="00E41E0A"/>
    <w:rsid w:val="00E468F7"/>
    <w:rsid w:val="00E56BBC"/>
    <w:rsid w:val="00E5772B"/>
    <w:rsid w:val="00E67511"/>
    <w:rsid w:val="00E74EE4"/>
    <w:rsid w:val="00E81026"/>
    <w:rsid w:val="00E81295"/>
    <w:rsid w:val="00E82D0F"/>
    <w:rsid w:val="00E846A1"/>
    <w:rsid w:val="00E86B74"/>
    <w:rsid w:val="00E9042B"/>
    <w:rsid w:val="00E914F5"/>
    <w:rsid w:val="00E92C39"/>
    <w:rsid w:val="00E93043"/>
    <w:rsid w:val="00E93421"/>
    <w:rsid w:val="00E950B5"/>
    <w:rsid w:val="00EA012C"/>
    <w:rsid w:val="00EC6994"/>
    <w:rsid w:val="00EC78F3"/>
    <w:rsid w:val="00EC78F9"/>
    <w:rsid w:val="00ED746F"/>
    <w:rsid w:val="00EE2C29"/>
    <w:rsid w:val="00EE6687"/>
    <w:rsid w:val="00EE7480"/>
    <w:rsid w:val="00F00D78"/>
    <w:rsid w:val="00F02AB9"/>
    <w:rsid w:val="00F04876"/>
    <w:rsid w:val="00F05707"/>
    <w:rsid w:val="00F05879"/>
    <w:rsid w:val="00F05C01"/>
    <w:rsid w:val="00F06F5B"/>
    <w:rsid w:val="00F16C11"/>
    <w:rsid w:val="00F216D4"/>
    <w:rsid w:val="00F21C4E"/>
    <w:rsid w:val="00F2357E"/>
    <w:rsid w:val="00F2485D"/>
    <w:rsid w:val="00F2676B"/>
    <w:rsid w:val="00F33926"/>
    <w:rsid w:val="00F46EE1"/>
    <w:rsid w:val="00F476DB"/>
    <w:rsid w:val="00F53BAE"/>
    <w:rsid w:val="00F56849"/>
    <w:rsid w:val="00F60C61"/>
    <w:rsid w:val="00F64B52"/>
    <w:rsid w:val="00F660D6"/>
    <w:rsid w:val="00F82F6D"/>
    <w:rsid w:val="00F84BA9"/>
    <w:rsid w:val="00F850BE"/>
    <w:rsid w:val="00F95403"/>
    <w:rsid w:val="00FA2F5B"/>
    <w:rsid w:val="00FB5291"/>
    <w:rsid w:val="00FB5E84"/>
    <w:rsid w:val="00FB7FF8"/>
    <w:rsid w:val="00FC04EF"/>
    <w:rsid w:val="00FC1F09"/>
    <w:rsid w:val="00FD3D9A"/>
    <w:rsid w:val="00FD48C5"/>
    <w:rsid w:val="00FE1536"/>
    <w:rsid w:val="00FE1E23"/>
    <w:rsid w:val="00FE7861"/>
    <w:rsid w:val="00FF0BC6"/>
    <w:rsid w:val="00FF24C3"/>
    <w:rsid w:val="00FF4E27"/>
    <w:rsid w:val="00FF4EBD"/>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9356AC"/>
    <w:rPr>
      <w:color w:val="605E5C"/>
      <w:shd w:val="clear" w:color="auto" w:fill="E1DFDD"/>
    </w:rPr>
  </w:style>
  <w:style w:type="paragraph" w:styleId="ListParagraph">
    <w:name w:val="List Paragraph"/>
    <w:basedOn w:val="Normal"/>
    <w:uiPriority w:val="34"/>
    <w:qFormat/>
    <w:rsid w:val="00793750"/>
    <w:pPr>
      <w:spacing w:line="240" w:lineRule="auto"/>
      <w:ind w:left="720"/>
    </w:pPr>
    <w:rPr>
      <w:rFonts w:ascii="Calibri" w:eastAsiaTheme="minorHAnsi" w:hAnsi="Calibri" w:cs="Calibri"/>
    </w:rPr>
  </w:style>
  <w:style w:type="paragraph" w:styleId="Revision">
    <w:name w:val="Revision"/>
    <w:hidden/>
    <w:uiPriority w:val="99"/>
    <w:semiHidden/>
    <w:rsid w:val="00A326E0"/>
  </w:style>
  <w:style w:type="character" w:styleId="CommentReference">
    <w:name w:val="annotation reference"/>
    <w:basedOn w:val="DefaultParagraphFont"/>
    <w:rsid w:val="00C24752"/>
    <w:rPr>
      <w:sz w:val="16"/>
      <w:szCs w:val="16"/>
    </w:rPr>
  </w:style>
  <w:style w:type="paragraph" w:styleId="CommentText">
    <w:name w:val="annotation text"/>
    <w:basedOn w:val="Normal"/>
    <w:link w:val="CommentTextChar"/>
    <w:rsid w:val="00C24752"/>
    <w:pPr>
      <w:spacing w:line="240" w:lineRule="auto"/>
    </w:pPr>
  </w:style>
  <w:style w:type="character" w:customStyle="1" w:styleId="CommentTextChar">
    <w:name w:val="Comment Text Char"/>
    <w:basedOn w:val="DefaultParagraphFont"/>
    <w:link w:val="CommentText"/>
    <w:rsid w:val="00C24752"/>
  </w:style>
  <w:style w:type="paragraph" w:styleId="CommentSubject">
    <w:name w:val="annotation subject"/>
    <w:basedOn w:val="CommentText"/>
    <w:next w:val="CommentText"/>
    <w:link w:val="CommentSubjectChar"/>
    <w:rsid w:val="00C24752"/>
    <w:rPr>
      <w:b/>
      <w:bCs/>
    </w:rPr>
  </w:style>
  <w:style w:type="character" w:customStyle="1" w:styleId="CommentSubjectChar">
    <w:name w:val="Comment Subject Char"/>
    <w:basedOn w:val="CommentTextChar"/>
    <w:link w:val="CommentSubject"/>
    <w:rsid w:val="00C24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0366">
      <w:bodyDiv w:val="1"/>
      <w:marLeft w:val="0"/>
      <w:marRight w:val="0"/>
      <w:marTop w:val="0"/>
      <w:marBottom w:val="0"/>
      <w:divBdr>
        <w:top w:val="none" w:sz="0" w:space="0" w:color="auto"/>
        <w:left w:val="none" w:sz="0" w:space="0" w:color="auto"/>
        <w:bottom w:val="none" w:sz="0" w:space="0" w:color="auto"/>
        <w:right w:val="none" w:sz="0" w:space="0" w:color="auto"/>
      </w:divBdr>
    </w:div>
    <w:div w:id="8874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1462</Words>
  <Characters>7343</Characters>
  <Application>Microsoft Office Word</Application>
  <DocSecurity>0</DocSecurity>
  <Lines>146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Seguin</dc:creator>
  <cp:lastModifiedBy>Patricia Seguin</cp:lastModifiedBy>
  <cp:revision>3</cp:revision>
  <cp:lastPrinted>2026-02-03T07:00:00Z</cp:lastPrinted>
  <dcterms:created xsi:type="dcterms:W3CDTF">2026-05-01T20:59:00Z</dcterms:created>
  <dcterms:modified xsi:type="dcterms:W3CDTF">2026-05-03T15:56:00Z</dcterms:modified>
</cp:coreProperties>
</file>