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4282" w:type="dxa"/>
        <w:tblLayout w:type="fixed"/>
        <w:tblLook w:val="0000" w:firstRow="0" w:lastRow="0" w:firstColumn="0" w:lastColumn="0" w:noHBand="0" w:noVBand="0"/>
      </w:tblPr>
      <w:tblGrid>
        <w:gridCol w:w="4282"/>
      </w:tblGrid>
      <w:tr w:rsidR="009C3EA2" w:rsidRPr="009C3EA2" w14:paraId="2DD96AE8" w14:textId="77777777" w:rsidTr="006A2F9E">
        <w:trPr>
          <w:cantSplit/>
          <w:trHeight w:val="997"/>
        </w:trPr>
        <w:tc>
          <w:tcPr>
            <w:tcW w:w="4282" w:type="dxa"/>
          </w:tcPr>
          <w:p w14:paraId="7D67E407" w14:textId="77777777" w:rsidR="002A0417" w:rsidRPr="009C3EA2" w:rsidRDefault="002A0417" w:rsidP="002A0417">
            <w:pPr>
              <w:pStyle w:val="FirmInformation"/>
              <w:spacing w:line="240" w:lineRule="auto"/>
              <w:rPr>
                <w:sz w:val="28"/>
                <w:szCs w:val="28"/>
                <w:lang w:val="pt-BR"/>
              </w:rPr>
            </w:pPr>
            <w:bookmarkStart w:id="0" w:name="_zzmpFIXED_CounselTable"/>
            <w:r w:rsidRPr="009C3EA2">
              <w:rPr>
                <w:sz w:val="28"/>
                <w:szCs w:val="28"/>
                <w:lang w:val="pt-BR"/>
              </w:rPr>
              <w:t>Jessica J. Fotinos, Bar No. 019777</w:t>
            </w:r>
          </w:p>
          <w:p w14:paraId="3B92AF78" w14:textId="3B0657ED" w:rsidR="002A0417" w:rsidRPr="009C3EA2" w:rsidRDefault="002A0417" w:rsidP="002A0417">
            <w:pPr>
              <w:pStyle w:val="FirmInformation"/>
              <w:spacing w:line="240" w:lineRule="auto"/>
              <w:rPr>
                <w:sz w:val="28"/>
                <w:szCs w:val="28"/>
              </w:rPr>
            </w:pPr>
            <w:r w:rsidRPr="009C3EA2">
              <w:rPr>
                <w:sz w:val="28"/>
                <w:szCs w:val="28"/>
              </w:rPr>
              <w:t>General Counsel</w:t>
            </w:r>
          </w:p>
          <w:p w14:paraId="056261EB" w14:textId="77777777" w:rsidR="002A0417" w:rsidRPr="009C3EA2" w:rsidRDefault="002A0417" w:rsidP="002A0417">
            <w:pPr>
              <w:pStyle w:val="FirmInformation"/>
              <w:spacing w:line="240" w:lineRule="auto"/>
              <w:rPr>
                <w:sz w:val="28"/>
                <w:szCs w:val="28"/>
              </w:rPr>
            </w:pPr>
            <w:r w:rsidRPr="009C3EA2">
              <w:rPr>
                <w:sz w:val="28"/>
                <w:szCs w:val="28"/>
              </w:rPr>
              <w:t>State Bar of Arizona</w:t>
            </w:r>
          </w:p>
          <w:p w14:paraId="2A532740" w14:textId="77777777" w:rsidR="002A0417" w:rsidRPr="009C3EA2" w:rsidRDefault="002A0417" w:rsidP="002A0417">
            <w:pPr>
              <w:pStyle w:val="FirmInformation"/>
              <w:spacing w:line="240" w:lineRule="auto"/>
              <w:rPr>
                <w:sz w:val="28"/>
                <w:szCs w:val="28"/>
              </w:rPr>
            </w:pPr>
            <w:r w:rsidRPr="009C3EA2">
              <w:rPr>
                <w:sz w:val="28"/>
                <w:szCs w:val="28"/>
              </w:rPr>
              <w:t>4201 N. 24th Street, Suite 100</w:t>
            </w:r>
          </w:p>
          <w:p w14:paraId="5315828A" w14:textId="77777777" w:rsidR="002A0417" w:rsidRPr="009C3EA2" w:rsidRDefault="002A0417" w:rsidP="002A0417">
            <w:pPr>
              <w:pStyle w:val="FirmInformation"/>
              <w:spacing w:line="240" w:lineRule="auto"/>
              <w:rPr>
                <w:sz w:val="28"/>
                <w:szCs w:val="28"/>
              </w:rPr>
            </w:pPr>
            <w:r w:rsidRPr="009C3EA2">
              <w:rPr>
                <w:sz w:val="28"/>
                <w:szCs w:val="28"/>
              </w:rPr>
              <w:t>Phoenix, AZ  85016-6288</w:t>
            </w:r>
          </w:p>
          <w:p w14:paraId="7B3DBC20" w14:textId="77777777" w:rsidR="002A0417" w:rsidRPr="009C3EA2" w:rsidRDefault="002A0417" w:rsidP="002A0417">
            <w:pPr>
              <w:pStyle w:val="FirmInformation"/>
              <w:spacing w:line="240" w:lineRule="auto"/>
              <w:rPr>
                <w:sz w:val="28"/>
                <w:szCs w:val="28"/>
              </w:rPr>
            </w:pPr>
            <w:r w:rsidRPr="009C3EA2">
              <w:rPr>
                <w:sz w:val="28"/>
                <w:szCs w:val="28"/>
              </w:rPr>
              <w:t>(602) 340-7236</w:t>
            </w:r>
          </w:p>
        </w:tc>
      </w:tr>
      <w:bookmarkEnd w:id="0"/>
      <w:tr w:rsidR="009C3EA2" w:rsidRPr="009C3EA2" w14:paraId="285CC1E3" w14:textId="77777777" w:rsidTr="006A2F9E">
        <w:trPr>
          <w:cantSplit/>
          <w:trHeight w:val="997"/>
        </w:trPr>
        <w:tc>
          <w:tcPr>
            <w:tcW w:w="4282" w:type="dxa"/>
          </w:tcPr>
          <w:p w14:paraId="46939F8D" w14:textId="77777777" w:rsidR="002A0417" w:rsidRPr="009C3EA2" w:rsidRDefault="002A0417" w:rsidP="002A0417">
            <w:pPr>
              <w:pStyle w:val="FirmInformation"/>
              <w:spacing w:line="240" w:lineRule="auto"/>
              <w:rPr>
                <w:sz w:val="28"/>
                <w:szCs w:val="28"/>
                <w:lang w:val="pt-BR"/>
              </w:rPr>
            </w:pPr>
          </w:p>
        </w:tc>
      </w:tr>
    </w:tbl>
    <w:p w14:paraId="08E71DA7" w14:textId="4518B244" w:rsidR="00357F4D" w:rsidRPr="009C3EA2" w:rsidRDefault="00357F4D" w:rsidP="00735659">
      <w:pPr>
        <w:pStyle w:val="Court"/>
        <w:spacing w:line="508" w:lineRule="exact"/>
        <w:jc w:val="left"/>
        <w:rPr>
          <w:b/>
          <w:sz w:val="28"/>
          <w:szCs w:val="28"/>
        </w:rPr>
      </w:pPr>
    </w:p>
    <w:p w14:paraId="2939F99E" w14:textId="77777777" w:rsidR="006A2F9E" w:rsidRPr="009C3EA2" w:rsidRDefault="006A2F9E" w:rsidP="00735659">
      <w:pPr>
        <w:pStyle w:val="Court"/>
        <w:spacing w:line="508" w:lineRule="exact"/>
        <w:jc w:val="left"/>
        <w:rPr>
          <w:b/>
          <w:sz w:val="28"/>
          <w:szCs w:val="28"/>
        </w:rPr>
      </w:pPr>
    </w:p>
    <w:p w14:paraId="515D7445" w14:textId="77777777" w:rsidR="006A2F9E" w:rsidRPr="009C3EA2" w:rsidRDefault="006A2F9E" w:rsidP="00735659">
      <w:pPr>
        <w:pStyle w:val="Court"/>
        <w:spacing w:line="508" w:lineRule="exact"/>
        <w:jc w:val="left"/>
        <w:rPr>
          <w:b/>
          <w:sz w:val="28"/>
          <w:szCs w:val="28"/>
        </w:rPr>
      </w:pPr>
    </w:p>
    <w:p w14:paraId="5013A1B6" w14:textId="77777777" w:rsidR="006A2F9E" w:rsidRPr="009C3EA2" w:rsidRDefault="006A2F9E" w:rsidP="00735659">
      <w:pPr>
        <w:pStyle w:val="Court"/>
        <w:spacing w:line="508" w:lineRule="exact"/>
        <w:jc w:val="left"/>
        <w:rPr>
          <w:b/>
          <w:sz w:val="28"/>
          <w:szCs w:val="28"/>
        </w:rPr>
      </w:pPr>
    </w:p>
    <w:p w14:paraId="25693B34" w14:textId="77777777" w:rsidR="000C48A9" w:rsidRPr="009C3EA2" w:rsidRDefault="000F7A7F" w:rsidP="00000C35">
      <w:pPr>
        <w:pStyle w:val="Court"/>
        <w:spacing w:line="240" w:lineRule="auto"/>
        <w:rPr>
          <w:b/>
          <w:sz w:val="28"/>
          <w:szCs w:val="28"/>
        </w:rPr>
      </w:pPr>
      <w:r w:rsidRPr="009C3EA2">
        <w:rPr>
          <w:b/>
          <w:sz w:val="28"/>
          <w:szCs w:val="28"/>
        </w:rPr>
        <w:t>IN THE SUPREME COURT</w:t>
      </w:r>
      <w:r w:rsidRPr="009C3EA2">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9C3EA2" w14:paraId="024B1021" w14:textId="77777777" w:rsidTr="004331B2">
        <w:tc>
          <w:tcPr>
            <w:tcW w:w="4680" w:type="dxa"/>
            <w:tcBorders>
              <w:top w:val="nil"/>
              <w:bottom w:val="single" w:sz="4" w:space="0" w:color="auto"/>
              <w:right w:val="single" w:sz="4" w:space="0" w:color="auto"/>
            </w:tcBorders>
          </w:tcPr>
          <w:p w14:paraId="511101D2" w14:textId="77777777" w:rsidR="00357F4D" w:rsidRPr="009C3EA2" w:rsidRDefault="00357F4D" w:rsidP="00E321C5">
            <w:pPr>
              <w:pStyle w:val="Caption"/>
              <w:spacing w:before="240" w:line="260" w:lineRule="exact"/>
              <w:rPr>
                <w:sz w:val="28"/>
                <w:szCs w:val="28"/>
              </w:rPr>
            </w:pPr>
            <w:bookmarkStart w:id="1" w:name="_zzmpFIXED_CaptionTable"/>
            <w:r w:rsidRPr="009C3EA2">
              <w:rPr>
                <w:sz w:val="28"/>
                <w:szCs w:val="28"/>
              </w:rPr>
              <w:t>In the Matter of:</w:t>
            </w:r>
          </w:p>
          <w:p w14:paraId="03963DD5" w14:textId="3A90C172" w:rsidR="00357F4D" w:rsidRPr="009C3EA2" w:rsidRDefault="00E67511" w:rsidP="00F511E5">
            <w:pPr>
              <w:pStyle w:val="Caption"/>
              <w:spacing w:before="240" w:line="260" w:lineRule="exact"/>
              <w:rPr>
                <w:b/>
                <w:sz w:val="28"/>
                <w:szCs w:val="28"/>
              </w:rPr>
            </w:pPr>
            <w:r w:rsidRPr="009C3EA2">
              <w:rPr>
                <w:b/>
                <w:sz w:val="28"/>
                <w:szCs w:val="28"/>
              </w:rPr>
              <w:t xml:space="preserve">PETITION TO </w:t>
            </w:r>
            <w:r w:rsidR="00F511E5" w:rsidRPr="009C3EA2">
              <w:rPr>
                <w:b/>
                <w:sz w:val="28"/>
                <w:szCs w:val="28"/>
              </w:rPr>
              <w:t xml:space="preserve">AMEND RULE </w:t>
            </w:r>
            <w:r w:rsidR="00DD6A00" w:rsidRPr="009C3EA2">
              <w:rPr>
                <w:b/>
                <w:sz w:val="28"/>
                <w:szCs w:val="28"/>
              </w:rPr>
              <w:t>25</w:t>
            </w:r>
            <w:r w:rsidR="00F511E5" w:rsidRPr="009C3EA2">
              <w:rPr>
                <w:b/>
                <w:sz w:val="28"/>
                <w:szCs w:val="28"/>
              </w:rPr>
              <w:t xml:space="preserve"> OF THE ARIZONA RULES OF </w:t>
            </w:r>
            <w:r w:rsidR="00DD6A00" w:rsidRPr="009C3EA2">
              <w:rPr>
                <w:b/>
                <w:sz w:val="28"/>
                <w:szCs w:val="28"/>
              </w:rPr>
              <w:t>CIVIL PROCEDURE</w:t>
            </w:r>
            <w:r w:rsidR="00F511E5" w:rsidRPr="009C3EA2">
              <w:rPr>
                <w:b/>
                <w:sz w:val="28"/>
                <w:szCs w:val="28"/>
              </w:rPr>
              <w:br/>
            </w:r>
          </w:p>
        </w:tc>
        <w:tc>
          <w:tcPr>
            <w:tcW w:w="4524" w:type="dxa"/>
            <w:tcBorders>
              <w:top w:val="nil"/>
              <w:left w:val="single" w:sz="4" w:space="0" w:color="auto"/>
            </w:tcBorders>
          </w:tcPr>
          <w:p w14:paraId="35CED5CB" w14:textId="649A06E1" w:rsidR="00357F4D" w:rsidRPr="009C3EA2" w:rsidRDefault="00357F4D" w:rsidP="00E321C5">
            <w:pPr>
              <w:pStyle w:val="Caption"/>
              <w:tabs>
                <w:tab w:val="left" w:pos="1238"/>
              </w:tabs>
              <w:spacing w:before="240" w:after="240"/>
              <w:ind w:left="259" w:right="115"/>
              <w:rPr>
                <w:sz w:val="28"/>
                <w:szCs w:val="28"/>
              </w:rPr>
            </w:pPr>
            <w:r w:rsidRPr="009C3EA2">
              <w:rPr>
                <w:sz w:val="28"/>
                <w:szCs w:val="28"/>
              </w:rPr>
              <w:t>Supreme Court No. R-</w:t>
            </w:r>
            <w:r w:rsidR="008A4EB3" w:rsidRPr="009C3EA2">
              <w:rPr>
                <w:sz w:val="28"/>
                <w:szCs w:val="28"/>
              </w:rPr>
              <w:t>2</w:t>
            </w:r>
            <w:r w:rsidR="00D45D20" w:rsidRPr="009C3EA2">
              <w:rPr>
                <w:sz w:val="28"/>
                <w:szCs w:val="28"/>
              </w:rPr>
              <w:t>6</w:t>
            </w:r>
            <w:r w:rsidR="00F850BE" w:rsidRPr="009C3EA2">
              <w:rPr>
                <w:sz w:val="28"/>
                <w:szCs w:val="28"/>
              </w:rPr>
              <w:t>-</w:t>
            </w:r>
            <w:r w:rsidR="00F511E5" w:rsidRPr="009C3EA2">
              <w:rPr>
                <w:sz w:val="28"/>
                <w:szCs w:val="28"/>
              </w:rPr>
              <w:t>00</w:t>
            </w:r>
            <w:r w:rsidR="00DD6A00" w:rsidRPr="009C3EA2">
              <w:rPr>
                <w:sz w:val="28"/>
                <w:szCs w:val="28"/>
              </w:rPr>
              <w:t>12</w:t>
            </w:r>
          </w:p>
          <w:p w14:paraId="5AEC962D" w14:textId="5404536D" w:rsidR="00357F4D" w:rsidRPr="009C3EA2" w:rsidRDefault="00D326F2" w:rsidP="000F7A7F">
            <w:pPr>
              <w:pStyle w:val="Caption"/>
              <w:tabs>
                <w:tab w:val="left" w:pos="1238"/>
              </w:tabs>
              <w:spacing w:line="260" w:lineRule="exact"/>
              <w:ind w:right="115"/>
              <w:jc w:val="center"/>
              <w:rPr>
                <w:b/>
                <w:sz w:val="28"/>
                <w:szCs w:val="28"/>
              </w:rPr>
            </w:pPr>
            <w:r w:rsidRPr="009C3EA2">
              <w:rPr>
                <w:b/>
                <w:sz w:val="28"/>
                <w:szCs w:val="28"/>
              </w:rPr>
              <w:t>STATE BAR OF ARIZONA COMMENT</w:t>
            </w:r>
          </w:p>
          <w:p w14:paraId="414A167D" w14:textId="77777777" w:rsidR="00357F4D" w:rsidRPr="009C3EA2" w:rsidRDefault="00357F4D" w:rsidP="00E321C5">
            <w:pPr>
              <w:pStyle w:val="DocumentTitle"/>
              <w:rPr>
                <w:sz w:val="28"/>
                <w:szCs w:val="28"/>
              </w:rPr>
            </w:pPr>
          </w:p>
          <w:p w14:paraId="524D8097" w14:textId="77777777" w:rsidR="00357F4D" w:rsidRPr="009C3EA2" w:rsidRDefault="00357F4D" w:rsidP="00E321C5">
            <w:pPr>
              <w:pStyle w:val="Caption"/>
              <w:ind w:left="1512" w:right="115" w:hanging="1253"/>
              <w:rPr>
                <w:sz w:val="28"/>
                <w:szCs w:val="28"/>
              </w:rPr>
            </w:pPr>
          </w:p>
        </w:tc>
      </w:tr>
      <w:bookmarkEnd w:id="1"/>
    </w:tbl>
    <w:p w14:paraId="14B66B5A" w14:textId="77777777" w:rsidR="004331B2" w:rsidRPr="009C3EA2" w:rsidRDefault="004331B2" w:rsidP="006338C1">
      <w:pPr>
        <w:pStyle w:val="Body"/>
        <w:widowControl w:val="0"/>
        <w:ind w:firstLine="720"/>
        <w:jc w:val="both"/>
        <w:rPr>
          <w:sz w:val="28"/>
          <w:szCs w:val="28"/>
        </w:rPr>
      </w:pPr>
    </w:p>
    <w:p w14:paraId="7785B4EC" w14:textId="4AB2489A" w:rsidR="00DD6A00" w:rsidRPr="009C3EA2" w:rsidRDefault="00DD6A00" w:rsidP="00DD6A00">
      <w:pPr>
        <w:autoSpaceDE w:val="0"/>
        <w:autoSpaceDN w:val="0"/>
        <w:adjustRightInd w:val="0"/>
        <w:spacing w:line="480" w:lineRule="auto"/>
        <w:ind w:firstLine="720"/>
        <w:jc w:val="both"/>
        <w:rPr>
          <w:sz w:val="28"/>
          <w:szCs w:val="28"/>
        </w:rPr>
      </w:pPr>
      <w:bookmarkStart w:id="2" w:name="_Hlk49863297"/>
      <w:r w:rsidRPr="009C3EA2">
        <w:rPr>
          <w:sz w:val="28"/>
          <w:szCs w:val="28"/>
        </w:rPr>
        <w:t>Pursuant to Rule 28 of the Arizona Rules of the Supreme Court, the State Bar of Arizona (“State Bar”) submits this Comment in support of the Petition to Amend Rule 25, with modifications. The Petition identifies a gap in the current rules regarding substitution of representative parties upon their death. The State Bar agrees this gap can and should be remedied with amendments to Rule 25, but it proposes different language.</w:t>
      </w:r>
    </w:p>
    <w:bookmarkEnd w:id="2"/>
    <w:p w14:paraId="5F7AAB4F" w14:textId="77777777" w:rsidR="00DD6A00" w:rsidRPr="009C3EA2" w:rsidRDefault="00DD6A00" w:rsidP="00DD6A00">
      <w:pPr>
        <w:pStyle w:val="Body"/>
        <w:widowControl w:val="0"/>
        <w:numPr>
          <w:ilvl w:val="0"/>
          <w:numId w:val="15"/>
        </w:numPr>
        <w:ind w:left="1170" w:hanging="810"/>
        <w:jc w:val="both"/>
        <w:rPr>
          <w:rStyle w:val="BodyTextChar"/>
          <w:b/>
          <w:sz w:val="28"/>
          <w:szCs w:val="28"/>
        </w:rPr>
      </w:pPr>
      <w:r w:rsidRPr="009C3EA2">
        <w:rPr>
          <w:rStyle w:val="BodyTextChar"/>
          <w:b/>
          <w:sz w:val="28"/>
          <w:szCs w:val="28"/>
        </w:rPr>
        <w:t>RULE 25 AND THE NEED FOR AMENDMENT</w:t>
      </w:r>
    </w:p>
    <w:p w14:paraId="000AE3EC" w14:textId="77777777" w:rsidR="00DD6A00" w:rsidRPr="009C3EA2" w:rsidRDefault="00DD6A00" w:rsidP="00DD6A00">
      <w:pPr>
        <w:pStyle w:val="Body"/>
        <w:widowControl w:val="0"/>
        <w:ind w:left="720" w:firstLine="0"/>
        <w:jc w:val="both"/>
        <w:rPr>
          <w:rStyle w:val="BodyTextChar"/>
          <w:bCs/>
          <w:sz w:val="28"/>
          <w:szCs w:val="28"/>
        </w:rPr>
      </w:pPr>
      <w:r w:rsidRPr="009C3EA2">
        <w:rPr>
          <w:rStyle w:val="BodyTextChar"/>
          <w:bCs/>
          <w:sz w:val="28"/>
          <w:szCs w:val="28"/>
        </w:rPr>
        <w:t>Rule 25 (“Substitution of Parties”) provides as follows:</w:t>
      </w:r>
    </w:p>
    <w:p w14:paraId="3CD68FA1" w14:textId="77777777" w:rsidR="00DD6A00" w:rsidRPr="009C3EA2" w:rsidRDefault="00DD6A00" w:rsidP="00DD6A00">
      <w:pPr>
        <w:pStyle w:val="Body"/>
        <w:widowControl w:val="0"/>
        <w:numPr>
          <w:ilvl w:val="0"/>
          <w:numId w:val="16"/>
        </w:numPr>
        <w:spacing w:before="120" w:line="240" w:lineRule="exact"/>
        <w:jc w:val="both"/>
        <w:rPr>
          <w:b/>
          <w:bCs/>
          <w:sz w:val="28"/>
          <w:szCs w:val="28"/>
        </w:rPr>
      </w:pPr>
      <w:r w:rsidRPr="009C3EA2">
        <w:rPr>
          <w:b/>
          <w:bCs/>
          <w:sz w:val="28"/>
          <w:szCs w:val="28"/>
        </w:rPr>
        <w:t>Death.</w:t>
      </w:r>
    </w:p>
    <w:p w14:paraId="0E50E47E" w14:textId="77777777" w:rsidR="00DD6A00" w:rsidRPr="009C3EA2" w:rsidRDefault="00DD6A00" w:rsidP="00DD6A00">
      <w:pPr>
        <w:pStyle w:val="Body"/>
        <w:widowControl w:val="0"/>
        <w:spacing w:before="120" w:line="240" w:lineRule="exact"/>
        <w:ind w:left="2160" w:firstLine="0"/>
        <w:jc w:val="both"/>
        <w:rPr>
          <w:bCs/>
          <w:sz w:val="28"/>
          <w:szCs w:val="28"/>
        </w:rPr>
      </w:pPr>
      <w:r w:rsidRPr="009C3EA2">
        <w:rPr>
          <w:bCs/>
          <w:sz w:val="28"/>
          <w:szCs w:val="28"/>
        </w:rPr>
        <w:t>(1) </w:t>
      </w:r>
      <w:r w:rsidRPr="009C3EA2">
        <w:rPr>
          <w:bCs/>
          <w:i/>
          <w:iCs/>
          <w:sz w:val="28"/>
          <w:szCs w:val="28"/>
        </w:rPr>
        <w:t>Substitution if the Claim Is Not Extinguished</w:t>
      </w:r>
      <w:r w:rsidRPr="009C3EA2">
        <w:rPr>
          <w:bCs/>
          <w:sz w:val="28"/>
          <w:szCs w:val="28"/>
        </w:rPr>
        <w:t xml:space="preserve">. If a party dies and the claim is not extinguished, the court may order substitution of the proper party. Any party or the decedent's successor or representative may file a motion to substitute. If the motion is not made within 90 days after a statement noting the </w:t>
      </w:r>
      <w:r w:rsidRPr="009C3EA2">
        <w:rPr>
          <w:bCs/>
          <w:sz w:val="28"/>
          <w:szCs w:val="28"/>
        </w:rPr>
        <w:lastRenderedPageBreak/>
        <w:t>death is served, the court must dismiss the claims by or against the decedent.</w:t>
      </w:r>
    </w:p>
    <w:p w14:paraId="66A2977A" w14:textId="77777777" w:rsidR="00DD6A00" w:rsidRPr="009C3EA2" w:rsidRDefault="00DD6A00" w:rsidP="00DD6A00">
      <w:pPr>
        <w:pStyle w:val="Body"/>
        <w:widowControl w:val="0"/>
        <w:spacing w:before="120" w:line="240" w:lineRule="exact"/>
        <w:ind w:left="2160" w:firstLine="0"/>
        <w:jc w:val="both"/>
        <w:rPr>
          <w:bCs/>
          <w:sz w:val="28"/>
          <w:szCs w:val="28"/>
        </w:rPr>
      </w:pPr>
    </w:p>
    <w:p w14:paraId="505A5E16" w14:textId="36040AAE" w:rsidR="00DD6A00" w:rsidRPr="009C3EA2" w:rsidRDefault="00DD6A00" w:rsidP="00DD6A00">
      <w:pPr>
        <w:pStyle w:val="Body"/>
        <w:widowControl w:val="0"/>
        <w:spacing w:line="480" w:lineRule="auto"/>
        <w:ind w:firstLine="720"/>
        <w:jc w:val="both"/>
        <w:rPr>
          <w:rStyle w:val="BodyTextChar"/>
          <w:bCs/>
          <w:sz w:val="28"/>
          <w:szCs w:val="28"/>
        </w:rPr>
      </w:pPr>
      <w:r w:rsidRPr="009C3EA2">
        <w:rPr>
          <w:rStyle w:val="BodyTextChar"/>
          <w:bCs/>
          <w:sz w:val="28"/>
          <w:szCs w:val="28"/>
        </w:rPr>
        <w:t xml:space="preserve">As the Petition points out, the purpose of this </w:t>
      </w:r>
      <w:r w:rsidR="00F42476" w:rsidRPr="009C3EA2">
        <w:rPr>
          <w:rStyle w:val="BodyTextChar"/>
          <w:bCs/>
          <w:sz w:val="28"/>
          <w:szCs w:val="28"/>
        </w:rPr>
        <w:t>R</w:t>
      </w:r>
      <w:r w:rsidRPr="009C3EA2">
        <w:rPr>
          <w:rStyle w:val="BodyTextChar"/>
          <w:bCs/>
          <w:sz w:val="28"/>
          <w:szCs w:val="28"/>
        </w:rPr>
        <w:t>ule is to prevent the abatement of actions when a party dies during litigation. It allows the case to continue despite a party’s death via the substitution of a proper party. It also imposes a set deadline—90 days after service of the statement noting death—for the substitution to occur, thus preventing cases from lingering indefinitely. It balances fairness with finality.</w:t>
      </w:r>
    </w:p>
    <w:p w14:paraId="35D84131" w14:textId="4508DDCF" w:rsidR="00DD6A00" w:rsidRPr="009C3EA2" w:rsidRDefault="00DD6A00" w:rsidP="00DD6A00">
      <w:pPr>
        <w:pStyle w:val="Body"/>
        <w:widowControl w:val="0"/>
        <w:spacing w:line="480" w:lineRule="auto"/>
        <w:ind w:firstLine="720"/>
        <w:jc w:val="both"/>
        <w:rPr>
          <w:rStyle w:val="BodyTextChar"/>
          <w:bCs/>
          <w:sz w:val="28"/>
          <w:szCs w:val="28"/>
        </w:rPr>
      </w:pPr>
      <w:r w:rsidRPr="009C3EA2">
        <w:rPr>
          <w:rStyle w:val="BodyTextChar"/>
          <w:bCs/>
          <w:sz w:val="28"/>
          <w:szCs w:val="28"/>
        </w:rPr>
        <w:t xml:space="preserve">The Rule does not, however, distinguish between the death of a real party in interest and an individual acting in a representative capacity (such as a personal representative, guardian </w:t>
      </w:r>
      <w:r w:rsidRPr="009C3EA2">
        <w:rPr>
          <w:rStyle w:val="BodyTextChar"/>
          <w:bCs/>
          <w:i/>
          <w:iCs/>
          <w:sz w:val="28"/>
          <w:szCs w:val="28"/>
        </w:rPr>
        <w:t>ad litem</w:t>
      </w:r>
      <w:r w:rsidRPr="009C3EA2">
        <w:rPr>
          <w:rStyle w:val="BodyTextChar"/>
          <w:bCs/>
          <w:sz w:val="28"/>
          <w:szCs w:val="28"/>
        </w:rPr>
        <w:t xml:space="preserve">, or conservator). </w:t>
      </w:r>
      <w:r w:rsidRPr="009C3EA2">
        <w:rPr>
          <w:rStyle w:val="BodyTextChar"/>
          <w:bCs/>
          <w:i/>
          <w:iCs/>
          <w:sz w:val="28"/>
          <w:szCs w:val="28"/>
        </w:rPr>
        <w:t xml:space="preserve">See </w:t>
      </w:r>
      <w:r w:rsidRPr="009C3EA2">
        <w:rPr>
          <w:rStyle w:val="BodyTextChar"/>
          <w:bCs/>
          <w:sz w:val="28"/>
          <w:szCs w:val="28"/>
        </w:rPr>
        <w:t>Ariz. R. Civ. P. 17(b)</w:t>
      </w:r>
      <w:r w:rsidR="00F42476" w:rsidRPr="009C3EA2">
        <w:rPr>
          <w:rStyle w:val="BodyTextChar"/>
          <w:bCs/>
          <w:sz w:val="28"/>
          <w:szCs w:val="28"/>
        </w:rPr>
        <w:t>(1)</w:t>
      </w:r>
      <w:r w:rsidRPr="009C3EA2">
        <w:rPr>
          <w:rStyle w:val="BodyTextChar"/>
          <w:bCs/>
          <w:sz w:val="28"/>
          <w:szCs w:val="28"/>
        </w:rPr>
        <w:t xml:space="preserve"> (stating that “[a]n action must be prosecuted in the name of the real party in interest,” and identifying individuals who “may sue in their own names without joining the person or entity for whose benefit the action is brought”). There is no other rule governing substitution in the event of a representative’s death. </w:t>
      </w:r>
    </w:p>
    <w:p w14:paraId="4449CE6A" w14:textId="541A8515" w:rsidR="00DD6A00" w:rsidRPr="009C3EA2" w:rsidRDefault="00DD6A00" w:rsidP="00DD6A00">
      <w:pPr>
        <w:pStyle w:val="Body"/>
        <w:widowControl w:val="0"/>
        <w:spacing w:line="480" w:lineRule="auto"/>
        <w:ind w:firstLine="720"/>
        <w:jc w:val="both"/>
        <w:rPr>
          <w:rStyle w:val="BodyTextChar"/>
          <w:bCs/>
          <w:sz w:val="28"/>
          <w:szCs w:val="28"/>
        </w:rPr>
      </w:pPr>
      <w:r w:rsidRPr="009C3EA2">
        <w:rPr>
          <w:rStyle w:val="BodyTextChar"/>
          <w:bCs/>
          <w:sz w:val="28"/>
          <w:szCs w:val="28"/>
        </w:rPr>
        <w:t xml:space="preserve">In its current form, Rule </w:t>
      </w:r>
      <w:r w:rsidR="00F42476" w:rsidRPr="009C3EA2">
        <w:rPr>
          <w:rStyle w:val="BodyTextChar"/>
          <w:bCs/>
          <w:sz w:val="28"/>
          <w:szCs w:val="28"/>
        </w:rPr>
        <w:t xml:space="preserve">25 </w:t>
      </w:r>
      <w:r w:rsidRPr="009C3EA2">
        <w:rPr>
          <w:rStyle w:val="BodyTextChar"/>
          <w:bCs/>
          <w:sz w:val="28"/>
          <w:szCs w:val="28"/>
        </w:rPr>
        <w:t xml:space="preserve">could be interpreted to impose the same 90-day period for substituting representative parties that applies to non-representative parties. This is unfair for two reasons. First, if the real party in interest—the person who holds the claim—has not died, then their representative’s death should not allow their claim to abate or be extinguished. Second, the inflexible 90-day substitution period has the potential to prejudice already vulnerable populations who have </w:t>
      </w:r>
      <w:r w:rsidRPr="009C3EA2">
        <w:rPr>
          <w:rStyle w:val="BodyTextChar"/>
          <w:bCs/>
          <w:sz w:val="28"/>
          <w:szCs w:val="28"/>
        </w:rPr>
        <w:lastRenderedPageBreak/>
        <w:t>limited (if any) capacity to ensure that a new representative is not only promptly appointed but also substituted into a civil case.</w:t>
      </w:r>
    </w:p>
    <w:p w14:paraId="5E809BA3" w14:textId="77777777" w:rsidR="00DD6A00" w:rsidRPr="009C3EA2" w:rsidRDefault="00DD6A00" w:rsidP="00DD6A00">
      <w:pPr>
        <w:pStyle w:val="Body"/>
        <w:widowControl w:val="0"/>
        <w:numPr>
          <w:ilvl w:val="0"/>
          <w:numId w:val="15"/>
        </w:numPr>
        <w:ind w:left="1170" w:hanging="810"/>
        <w:jc w:val="both"/>
        <w:rPr>
          <w:rStyle w:val="BodyTextChar"/>
          <w:b/>
          <w:sz w:val="28"/>
          <w:szCs w:val="28"/>
        </w:rPr>
      </w:pPr>
      <w:r w:rsidRPr="009C3EA2">
        <w:rPr>
          <w:rStyle w:val="BodyTextChar"/>
          <w:b/>
          <w:sz w:val="28"/>
          <w:szCs w:val="28"/>
        </w:rPr>
        <w:t>THE STATE BAR’S PROPOSED AMENDMENT</w:t>
      </w:r>
    </w:p>
    <w:p w14:paraId="162F2153" w14:textId="77777777" w:rsidR="00DD6A00" w:rsidRPr="009C3EA2" w:rsidRDefault="00DD6A00" w:rsidP="00DD6A00">
      <w:pPr>
        <w:pStyle w:val="Body"/>
        <w:widowControl w:val="0"/>
        <w:ind w:left="1170" w:firstLine="0"/>
        <w:jc w:val="both"/>
        <w:rPr>
          <w:rStyle w:val="BodyTextChar"/>
          <w:b/>
          <w:sz w:val="28"/>
          <w:szCs w:val="28"/>
        </w:rPr>
      </w:pPr>
    </w:p>
    <w:p w14:paraId="06DFA1F9" w14:textId="77777777" w:rsidR="00DD6A00" w:rsidRPr="009C3EA2" w:rsidRDefault="00DD6A00" w:rsidP="00DD6A00">
      <w:pPr>
        <w:pStyle w:val="Body"/>
        <w:widowControl w:val="0"/>
        <w:spacing w:line="480" w:lineRule="auto"/>
        <w:ind w:firstLine="720"/>
        <w:jc w:val="both"/>
        <w:rPr>
          <w:rStyle w:val="BodyTextChar"/>
          <w:bCs/>
          <w:sz w:val="28"/>
          <w:szCs w:val="28"/>
        </w:rPr>
      </w:pPr>
      <w:r w:rsidRPr="009C3EA2">
        <w:rPr>
          <w:rStyle w:val="BodyTextChar"/>
          <w:bCs/>
          <w:sz w:val="28"/>
          <w:szCs w:val="28"/>
        </w:rPr>
        <w:t>The Petition asks the Court to add a subsection (e) to Rule 25 expressly stating that “[a]n action does not abate when a person dies while representing another who is unable to represent themselves.” Although the State Bar agrees this clarification is necessary, it proposes amending Rule 25(a)(1) to distinguish between the deaths of real parties in interest and representatives, as follows:</w:t>
      </w:r>
    </w:p>
    <w:p w14:paraId="4C557432" w14:textId="77777777" w:rsidR="00DD6A00" w:rsidRPr="009C3EA2" w:rsidRDefault="00DD6A00" w:rsidP="00DD6A00">
      <w:pPr>
        <w:pStyle w:val="Body"/>
        <w:widowControl w:val="0"/>
        <w:numPr>
          <w:ilvl w:val="0"/>
          <w:numId w:val="17"/>
        </w:numPr>
        <w:spacing w:before="120" w:line="240" w:lineRule="exact"/>
        <w:jc w:val="both"/>
        <w:rPr>
          <w:rStyle w:val="BodyTextChar"/>
          <w:b/>
          <w:sz w:val="28"/>
          <w:szCs w:val="28"/>
        </w:rPr>
      </w:pPr>
      <w:r w:rsidRPr="009C3EA2">
        <w:rPr>
          <w:rStyle w:val="BodyTextChar"/>
          <w:b/>
          <w:sz w:val="28"/>
          <w:szCs w:val="28"/>
        </w:rPr>
        <w:t>Death.</w:t>
      </w:r>
    </w:p>
    <w:p w14:paraId="0557787C" w14:textId="77777777" w:rsidR="00DD6A00" w:rsidRPr="009C3EA2" w:rsidRDefault="00DD6A00" w:rsidP="00DD6A00">
      <w:pPr>
        <w:pStyle w:val="Body"/>
        <w:widowControl w:val="0"/>
        <w:spacing w:line="240" w:lineRule="exact"/>
        <w:ind w:left="1824" w:firstLine="0"/>
        <w:jc w:val="both"/>
        <w:rPr>
          <w:rStyle w:val="BodyTextChar"/>
          <w:bCs/>
          <w:sz w:val="28"/>
          <w:szCs w:val="28"/>
        </w:rPr>
      </w:pPr>
    </w:p>
    <w:p w14:paraId="07B5EA1E" w14:textId="58715327" w:rsidR="00DD6A00" w:rsidRPr="009C3EA2" w:rsidRDefault="00DD6A00" w:rsidP="00DD6A00">
      <w:pPr>
        <w:pStyle w:val="Body"/>
        <w:widowControl w:val="0"/>
        <w:numPr>
          <w:ilvl w:val="0"/>
          <w:numId w:val="18"/>
        </w:numPr>
        <w:spacing w:line="240" w:lineRule="exact"/>
        <w:ind w:left="2880"/>
        <w:jc w:val="both"/>
        <w:rPr>
          <w:rStyle w:val="BodyTextChar"/>
          <w:bCs/>
          <w:sz w:val="28"/>
          <w:szCs w:val="28"/>
        </w:rPr>
      </w:pPr>
      <w:r w:rsidRPr="009C3EA2">
        <w:rPr>
          <w:rStyle w:val="BodyTextChar"/>
          <w:bCs/>
          <w:i/>
          <w:iCs/>
          <w:sz w:val="28"/>
          <w:szCs w:val="28"/>
        </w:rPr>
        <w:t>Substitution if the Claim is Not Extinguished.</w:t>
      </w:r>
      <w:r w:rsidRPr="009C3EA2">
        <w:rPr>
          <w:rStyle w:val="BodyTextChar"/>
          <w:bCs/>
          <w:sz w:val="28"/>
          <w:szCs w:val="28"/>
        </w:rPr>
        <w:t xml:space="preserve"> If a party dies and the claim is not extinguished, the court may order substitution of the proper party.</w:t>
      </w:r>
      <w:r w:rsidR="00455E4D" w:rsidRPr="009C3EA2">
        <w:rPr>
          <w:rStyle w:val="BodyTextChar"/>
          <w:bCs/>
          <w:sz w:val="28"/>
          <w:szCs w:val="28"/>
        </w:rPr>
        <w:t xml:space="preserve"> </w:t>
      </w:r>
      <w:r w:rsidR="00455E4D" w:rsidRPr="009C3EA2">
        <w:rPr>
          <w:rStyle w:val="BodyTextChar"/>
          <w:bCs/>
          <w:strike/>
          <w:sz w:val="28"/>
          <w:szCs w:val="28"/>
        </w:rPr>
        <w:t xml:space="preserve">Any party or the decedent’s successor or representative may file a motion to substitute.  If the motion is not made within 90 days after a statement noting the death is served, the court must dismiss the claims by or against the </w:t>
      </w:r>
      <w:proofErr w:type="spellStart"/>
      <w:r w:rsidR="00455E4D" w:rsidRPr="009C3EA2">
        <w:rPr>
          <w:rStyle w:val="BodyTextChar"/>
          <w:bCs/>
          <w:strike/>
          <w:sz w:val="28"/>
          <w:szCs w:val="28"/>
        </w:rPr>
        <w:t>decendent</w:t>
      </w:r>
      <w:proofErr w:type="spellEnd"/>
      <w:r w:rsidR="00455E4D" w:rsidRPr="009C3EA2">
        <w:rPr>
          <w:rStyle w:val="BodyTextChar"/>
          <w:bCs/>
          <w:strike/>
          <w:sz w:val="28"/>
          <w:szCs w:val="28"/>
        </w:rPr>
        <w:t xml:space="preserve">.  </w:t>
      </w:r>
    </w:p>
    <w:p w14:paraId="68E335CC" w14:textId="77777777" w:rsidR="00DD6A00" w:rsidRPr="009C3EA2" w:rsidRDefault="00DD6A00" w:rsidP="00DD6A00">
      <w:pPr>
        <w:pStyle w:val="Body"/>
        <w:widowControl w:val="0"/>
        <w:spacing w:line="240" w:lineRule="exact"/>
        <w:ind w:left="3600" w:firstLine="0"/>
        <w:jc w:val="both"/>
        <w:rPr>
          <w:rStyle w:val="BodyTextChar"/>
          <w:bCs/>
          <w:sz w:val="28"/>
          <w:szCs w:val="28"/>
        </w:rPr>
      </w:pPr>
    </w:p>
    <w:p w14:paraId="6F93B616" w14:textId="77777777" w:rsidR="00DD6A00" w:rsidRPr="009C3EA2" w:rsidRDefault="00DD6A00" w:rsidP="00DD6A00">
      <w:pPr>
        <w:pStyle w:val="Body"/>
        <w:widowControl w:val="0"/>
        <w:numPr>
          <w:ilvl w:val="0"/>
          <w:numId w:val="19"/>
        </w:numPr>
        <w:spacing w:line="240" w:lineRule="exact"/>
        <w:ind w:left="3600"/>
        <w:jc w:val="both"/>
        <w:rPr>
          <w:rStyle w:val="BodyTextChar"/>
          <w:bCs/>
          <w:sz w:val="28"/>
          <w:szCs w:val="28"/>
          <w:u w:val="single"/>
        </w:rPr>
      </w:pPr>
      <w:r w:rsidRPr="009C3EA2">
        <w:rPr>
          <w:rStyle w:val="BodyTextChar"/>
          <w:bCs/>
          <w:sz w:val="28"/>
          <w:szCs w:val="28"/>
          <w:u w:val="single"/>
        </w:rPr>
        <w:t>Real Parties in Interest.  If the party who dies is a real party in interest, any party or the decedent’s successor or representative may file a motion to substitute.  If the motion is not made within 90 days after a statement noting the death is served, the court must dismiss the claims by or against the decedent.</w:t>
      </w:r>
    </w:p>
    <w:p w14:paraId="10BD682D" w14:textId="77777777" w:rsidR="00DD6A00" w:rsidRPr="009C3EA2" w:rsidRDefault="00DD6A00" w:rsidP="00DD6A00">
      <w:pPr>
        <w:pStyle w:val="Body"/>
        <w:widowControl w:val="0"/>
        <w:spacing w:line="240" w:lineRule="exact"/>
        <w:ind w:left="3600" w:firstLine="0"/>
        <w:jc w:val="both"/>
        <w:rPr>
          <w:rStyle w:val="BodyTextChar"/>
          <w:bCs/>
          <w:sz w:val="28"/>
          <w:szCs w:val="28"/>
          <w:u w:val="single"/>
        </w:rPr>
      </w:pPr>
    </w:p>
    <w:p w14:paraId="774F5D67" w14:textId="77777777" w:rsidR="00DD6A00" w:rsidRPr="009C3EA2" w:rsidRDefault="00DD6A00" w:rsidP="00DD6A00">
      <w:pPr>
        <w:pStyle w:val="Body"/>
        <w:widowControl w:val="0"/>
        <w:numPr>
          <w:ilvl w:val="0"/>
          <w:numId w:val="19"/>
        </w:numPr>
        <w:spacing w:line="240" w:lineRule="exact"/>
        <w:ind w:left="3600"/>
        <w:jc w:val="both"/>
        <w:rPr>
          <w:rStyle w:val="BodyTextChar"/>
          <w:bCs/>
          <w:sz w:val="28"/>
          <w:szCs w:val="28"/>
        </w:rPr>
      </w:pPr>
      <w:r w:rsidRPr="009C3EA2">
        <w:rPr>
          <w:rStyle w:val="BodyTextChar"/>
          <w:bCs/>
          <w:sz w:val="28"/>
          <w:szCs w:val="28"/>
          <w:u w:val="single"/>
        </w:rPr>
        <w:t xml:space="preserve">Representatives.  If a person who is acting in a representative capacity, including any of the representative capacities identified in Rule 17(b)(1)(A)-(G), dies, the claims and defenses of the </w:t>
      </w:r>
      <w:proofErr w:type="gramStart"/>
      <w:r w:rsidRPr="009C3EA2">
        <w:rPr>
          <w:rStyle w:val="BodyTextChar"/>
          <w:bCs/>
          <w:sz w:val="28"/>
          <w:szCs w:val="28"/>
          <w:u w:val="single"/>
        </w:rPr>
        <w:t>persons</w:t>
      </w:r>
      <w:proofErr w:type="gramEnd"/>
      <w:r w:rsidRPr="009C3EA2">
        <w:rPr>
          <w:rStyle w:val="BodyTextChar"/>
          <w:bCs/>
          <w:sz w:val="28"/>
          <w:szCs w:val="28"/>
          <w:u w:val="single"/>
        </w:rPr>
        <w:t xml:space="preserve"> they represent do not abate.  A successor representative may move to substitute themselves</w:t>
      </w:r>
      <w:r w:rsidRPr="009C3EA2">
        <w:rPr>
          <w:rStyle w:val="BodyTextChar"/>
          <w:bCs/>
          <w:sz w:val="28"/>
          <w:szCs w:val="28"/>
        </w:rPr>
        <w:t>.</w:t>
      </w:r>
    </w:p>
    <w:p w14:paraId="4D523554" w14:textId="3149CD22" w:rsidR="00DD6A00" w:rsidRPr="009C3EA2" w:rsidRDefault="00DD6A00" w:rsidP="00DD6A00">
      <w:pPr>
        <w:pStyle w:val="Body"/>
        <w:widowControl w:val="0"/>
        <w:spacing w:line="240" w:lineRule="exact"/>
        <w:ind w:left="3600" w:firstLine="0"/>
        <w:jc w:val="both"/>
        <w:rPr>
          <w:rStyle w:val="BodyTextChar"/>
          <w:bCs/>
          <w:sz w:val="28"/>
          <w:szCs w:val="28"/>
        </w:rPr>
      </w:pPr>
      <w:r w:rsidRPr="009C3EA2">
        <w:rPr>
          <w:rStyle w:val="BodyTextChar"/>
          <w:bCs/>
          <w:sz w:val="28"/>
          <w:szCs w:val="28"/>
        </w:rPr>
        <w:t xml:space="preserve">  </w:t>
      </w:r>
    </w:p>
    <w:p w14:paraId="65D4AD15" w14:textId="77777777" w:rsidR="00DD6A00" w:rsidRPr="009C3EA2" w:rsidRDefault="00DD6A00" w:rsidP="00DD6A00">
      <w:pPr>
        <w:pStyle w:val="Body"/>
        <w:widowControl w:val="0"/>
        <w:spacing w:line="480" w:lineRule="auto"/>
        <w:ind w:firstLine="720"/>
        <w:jc w:val="both"/>
        <w:rPr>
          <w:rStyle w:val="BodyTextChar"/>
          <w:bCs/>
          <w:sz w:val="28"/>
          <w:szCs w:val="28"/>
        </w:rPr>
      </w:pPr>
      <w:r w:rsidRPr="009C3EA2">
        <w:rPr>
          <w:bCs/>
          <w:sz w:val="28"/>
          <w:szCs w:val="28"/>
        </w:rPr>
        <w:t xml:space="preserve">Proposed subsection (a)(1)(A) (“Real Parties in Interest”) mirrors the existing rule and continues to allow a case to continue after a party’s death while ensuring </w:t>
      </w:r>
      <w:r w:rsidRPr="009C3EA2">
        <w:rPr>
          <w:bCs/>
          <w:sz w:val="28"/>
          <w:szCs w:val="28"/>
        </w:rPr>
        <w:lastRenderedPageBreak/>
        <w:t xml:space="preserve">finality for the other parties. Subsection (a)(1)(B) (“Representatives”) accomplishes the Petition’s core goal by clarifying that if a representative dies, the claims and defenses of the represented person do not abate. The subsection also allows a successor representative to move to substitute themselves. It does not impose a strict </w:t>
      </w:r>
      <w:proofErr w:type="gramStart"/>
      <w:r w:rsidRPr="009C3EA2">
        <w:rPr>
          <w:bCs/>
          <w:sz w:val="28"/>
          <w:szCs w:val="28"/>
        </w:rPr>
        <w:t>time period</w:t>
      </w:r>
      <w:proofErr w:type="gramEnd"/>
      <w:r w:rsidRPr="009C3EA2">
        <w:rPr>
          <w:bCs/>
          <w:sz w:val="28"/>
          <w:szCs w:val="28"/>
        </w:rPr>
        <w:t xml:space="preserve"> to do so, recognizing the need for judicial discretion and flexibility. The lack of a set </w:t>
      </w:r>
      <w:proofErr w:type="gramStart"/>
      <w:r w:rsidRPr="009C3EA2">
        <w:rPr>
          <w:bCs/>
          <w:sz w:val="28"/>
          <w:szCs w:val="28"/>
        </w:rPr>
        <w:t>time period</w:t>
      </w:r>
      <w:proofErr w:type="gramEnd"/>
      <w:r w:rsidRPr="009C3EA2">
        <w:rPr>
          <w:bCs/>
          <w:sz w:val="28"/>
          <w:szCs w:val="28"/>
        </w:rPr>
        <w:t xml:space="preserve"> will not unduly prejudice other parties, however, as they can still move for dismissal for failure to prosecute under Rule 41(b) if a new representative is not appointed within a reasonable </w:t>
      </w:r>
      <w:proofErr w:type="gramStart"/>
      <w:r w:rsidRPr="009C3EA2">
        <w:rPr>
          <w:bCs/>
          <w:sz w:val="28"/>
          <w:szCs w:val="28"/>
        </w:rPr>
        <w:t>time period</w:t>
      </w:r>
      <w:proofErr w:type="gramEnd"/>
      <w:r w:rsidRPr="009C3EA2">
        <w:rPr>
          <w:bCs/>
          <w:sz w:val="28"/>
          <w:szCs w:val="28"/>
        </w:rPr>
        <w:t>.</w:t>
      </w:r>
    </w:p>
    <w:p w14:paraId="1AEF4B6B" w14:textId="4629BFE3" w:rsidR="008541FE" w:rsidRPr="009C3EA2" w:rsidRDefault="007A3F0F" w:rsidP="006D7DFC">
      <w:pPr>
        <w:pStyle w:val="Body"/>
        <w:widowControl w:val="0"/>
        <w:spacing w:line="480" w:lineRule="auto"/>
        <w:ind w:firstLine="0"/>
        <w:jc w:val="center"/>
        <w:rPr>
          <w:b/>
          <w:sz w:val="28"/>
          <w:szCs w:val="28"/>
        </w:rPr>
      </w:pPr>
      <w:r w:rsidRPr="009C3EA2">
        <w:rPr>
          <w:rStyle w:val="BodyTextChar"/>
          <w:b/>
          <w:sz w:val="28"/>
          <w:szCs w:val="28"/>
        </w:rPr>
        <w:t>CONCLUSION</w:t>
      </w:r>
    </w:p>
    <w:p w14:paraId="7E80547D" w14:textId="623FEF10" w:rsidR="002A0417" w:rsidRPr="009C3EA2" w:rsidRDefault="00DD6A00" w:rsidP="002A0417">
      <w:pPr>
        <w:pStyle w:val="Body"/>
        <w:widowControl w:val="0"/>
        <w:spacing w:line="480" w:lineRule="auto"/>
        <w:ind w:firstLine="720"/>
        <w:jc w:val="both"/>
        <w:rPr>
          <w:i/>
          <w:iCs/>
          <w:sz w:val="28"/>
          <w:szCs w:val="28"/>
        </w:rPr>
      </w:pPr>
      <w:r w:rsidRPr="009C3EA2">
        <w:rPr>
          <w:sz w:val="28"/>
          <w:szCs w:val="28"/>
        </w:rPr>
        <w:t xml:space="preserve">The State Bar supports the Petition as reflected in Section II, </w:t>
      </w:r>
      <w:r w:rsidRPr="009C3EA2">
        <w:rPr>
          <w:i/>
          <w:iCs/>
          <w:sz w:val="28"/>
          <w:szCs w:val="28"/>
        </w:rPr>
        <w:t xml:space="preserve">supra. </w:t>
      </w:r>
    </w:p>
    <w:p w14:paraId="5E147A20" w14:textId="77777777" w:rsidR="00D326F2" w:rsidRPr="009C3EA2" w:rsidRDefault="00D326F2" w:rsidP="00D326F2">
      <w:pPr>
        <w:pStyle w:val="Body"/>
        <w:widowControl w:val="0"/>
        <w:tabs>
          <w:tab w:val="left" w:pos="720"/>
        </w:tabs>
        <w:ind w:firstLine="0"/>
        <w:rPr>
          <w:sz w:val="28"/>
          <w:szCs w:val="28"/>
        </w:rPr>
      </w:pPr>
      <w:r w:rsidRPr="009C3EA2">
        <w:rPr>
          <w:sz w:val="28"/>
          <w:szCs w:val="28"/>
        </w:rPr>
        <w:t xml:space="preserve">       RESPECTFULLY SUBMITTED this </w:t>
      </w:r>
      <w:r w:rsidRPr="009C3EA2">
        <w:rPr>
          <w:sz w:val="28"/>
          <w:szCs w:val="28"/>
          <w:u w:val="single"/>
        </w:rPr>
        <w:t>1</w:t>
      </w:r>
      <w:r w:rsidRPr="009C3EA2">
        <w:rPr>
          <w:sz w:val="28"/>
          <w:szCs w:val="28"/>
          <w:u w:val="single"/>
          <w:vertAlign w:val="superscript"/>
        </w:rPr>
        <w:t>st</w:t>
      </w:r>
      <w:r w:rsidRPr="009C3EA2">
        <w:rPr>
          <w:sz w:val="28"/>
          <w:szCs w:val="28"/>
        </w:rPr>
        <w:t xml:space="preserve"> day of </w:t>
      </w:r>
      <w:proofErr w:type="gramStart"/>
      <w:r w:rsidRPr="009C3EA2">
        <w:rPr>
          <w:sz w:val="28"/>
          <w:szCs w:val="28"/>
          <w:u w:val="single"/>
        </w:rPr>
        <w:t>May</w:t>
      </w:r>
      <w:r w:rsidRPr="009C3EA2">
        <w:rPr>
          <w:sz w:val="28"/>
          <w:szCs w:val="28"/>
        </w:rPr>
        <w:t>,</w:t>
      </w:r>
      <w:proofErr w:type="gramEnd"/>
      <w:r w:rsidRPr="009C3EA2">
        <w:rPr>
          <w:sz w:val="28"/>
          <w:szCs w:val="28"/>
        </w:rPr>
        <w:t xml:space="preserve"> 2026.</w:t>
      </w:r>
    </w:p>
    <w:p w14:paraId="529E0447" w14:textId="77777777" w:rsidR="00D326F2" w:rsidRPr="009C3EA2" w:rsidRDefault="00D326F2" w:rsidP="00D326F2">
      <w:pPr>
        <w:pStyle w:val="Body"/>
        <w:widowControl w:val="0"/>
        <w:tabs>
          <w:tab w:val="left" w:pos="720"/>
        </w:tabs>
        <w:ind w:firstLine="0"/>
        <w:rPr>
          <w:sz w:val="28"/>
          <w:szCs w:val="28"/>
        </w:rPr>
      </w:pPr>
      <w:r w:rsidRPr="009C3EA2">
        <w:rPr>
          <w:b/>
          <w:noProof/>
          <w:sz w:val="28"/>
          <w:szCs w:val="28"/>
        </w:rPr>
        <w:drawing>
          <wp:anchor distT="0" distB="0" distL="114300" distR="114300" simplePos="0" relativeHeight="251659264" behindDoc="0" locked="0" layoutInCell="1" allowOverlap="1" wp14:anchorId="649FD832" wp14:editId="6335E0EF">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6EBCA" w14:textId="77777777" w:rsidR="00D326F2" w:rsidRPr="009C3EA2" w:rsidRDefault="00D326F2" w:rsidP="00D326F2">
      <w:pPr>
        <w:pStyle w:val="Body"/>
        <w:widowControl w:val="0"/>
        <w:tabs>
          <w:tab w:val="left" w:pos="720"/>
        </w:tabs>
        <w:ind w:firstLine="0"/>
        <w:rPr>
          <w:sz w:val="28"/>
          <w:szCs w:val="28"/>
        </w:rPr>
      </w:pPr>
    </w:p>
    <w:p w14:paraId="71606F9C" w14:textId="77777777" w:rsidR="00D326F2" w:rsidRPr="009C3EA2" w:rsidRDefault="00D326F2" w:rsidP="00D326F2">
      <w:pPr>
        <w:pStyle w:val="PleadingSignature"/>
        <w:keepNext w:val="0"/>
        <w:keepLines w:val="0"/>
        <w:pBdr>
          <w:top w:val="single" w:sz="4" w:space="1" w:color="auto"/>
        </w:pBdr>
        <w:spacing w:line="240" w:lineRule="auto"/>
        <w:ind w:left="5070"/>
        <w:rPr>
          <w:sz w:val="28"/>
          <w:szCs w:val="28"/>
        </w:rPr>
      </w:pPr>
      <w:r w:rsidRPr="009C3EA2">
        <w:rPr>
          <w:sz w:val="28"/>
          <w:szCs w:val="28"/>
        </w:rPr>
        <w:t>Jessica J. Fotinos</w:t>
      </w:r>
    </w:p>
    <w:p w14:paraId="1BA69B9A" w14:textId="77777777" w:rsidR="00D326F2" w:rsidRPr="009C3EA2" w:rsidRDefault="00D326F2" w:rsidP="00D326F2">
      <w:pPr>
        <w:pStyle w:val="PleadingSignature"/>
        <w:keepNext w:val="0"/>
        <w:keepLines w:val="0"/>
        <w:spacing w:line="240" w:lineRule="auto"/>
        <w:ind w:left="5070"/>
        <w:rPr>
          <w:sz w:val="28"/>
          <w:szCs w:val="28"/>
        </w:rPr>
      </w:pPr>
      <w:r w:rsidRPr="009C3EA2">
        <w:rPr>
          <w:sz w:val="28"/>
          <w:szCs w:val="28"/>
        </w:rPr>
        <w:t>General Counsel</w:t>
      </w:r>
    </w:p>
    <w:p w14:paraId="51880538" w14:textId="77777777" w:rsidR="00D326F2" w:rsidRPr="009C3EA2" w:rsidRDefault="00D326F2" w:rsidP="00D326F2">
      <w:pPr>
        <w:widowControl w:val="0"/>
        <w:spacing w:line="240" w:lineRule="auto"/>
        <w:ind w:right="4140"/>
        <w:rPr>
          <w:sz w:val="28"/>
          <w:szCs w:val="28"/>
        </w:rPr>
      </w:pPr>
    </w:p>
    <w:p w14:paraId="6A3D250F" w14:textId="77777777" w:rsidR="00D326F2" w:rsidRPr="009C3EA2" w:rsidRDefault="00D326F2" w:rsidP="00D326F2">
      <w:pPr>
        <w:widowControl w:val="0"/>
        <w:spacing w:line="240" w:lineRule="auto"/>
        <w:ind w:right="4140"/>
        <w:rPr>
          <w:sz w:val="28"/>
          <w:szCs w:val="28"/>
        </w:rPr>
      </w:pPr>
      <w:r w:rsidRPr="009C3EA2">
        <w:rPr>
          <w:sz w:val="28"/>
          <w:szCs w:val="28"/>
        </w:rPr>
        <w:t>Electronic copy filed with the</w:t>
      </w:r>
    </w:p>
    <w:p w14:paraId="46C3A9FC" w14:textId="77777777" w:rsidR="00D326F2" w:rsidRPr="009C3EA2" w:rsidRDefault="00D326F2" w:rsidP="00D326F2">
      <w:pPr>
        <w:spacing w:line="240" w:lineRule="auto"/>
        <w:ind w:right="4140"/>
        <w:rPr>
          <w:sz w:val="28"/>
          <w:szCs w:val="28"/>
        </w:rPr>
      </w:pPr>
      <w:r w:rsidRPr="009C3EA2">
        <w:rPr>
          <w:sz w:val="28"/>
          <w:szCs w:val="28"/>
        </w:rPr>
        <w:t>Clerk of the Supreme Court of Arizona</w:t>
      </w:r>
    </w:p>
    <w:p w14:paraId="5B5CF3D9" w14:textId="77777777" w:rsidR="00D326F2" w:rsidRPr="009C3EA2" w:rsidRDefault="00D326F2" w:rsidP="00D326F2">
      <w:pPr>
        <w:tabs>
          <w:tab w:val="left" w:pos="4836"/>
        </w:tabs>
        <w:spacing w:line="240" w:lineRule="auto"/>
        <w:ind w:right="3870"/>
        <w:rPr>
          <w:sz w:val="28"/>
          <w:szCs w:val="28"/>
        </w:rPr>
      </w:pPr>
      <w:r w:rsidRPr="009C3EA2">
        <w:rPr>
          <w:sz w:val="28"/>
          <w:szCs w:val="28"/>
        </w:rPr>
        <w:t xml:space="preserve">this </w:t>
      </w:r>
      <w:r w:rsidRPr="009C3EA2">
        <w:rPr>
          <w:sz w:val="28"/>
          <w:szCs w:val="28"/>
          <w:u w:val="single"/>
        </w:rPr>
        <w:t>1</w:t>
      </w:r>
      <w:proofErr w:type="gramStart"/>
      <w:r w:rsidRPr="009C3EA2">
        <w:rPr>
          <w:sz w:val="28"/>
          <w:szCs w:val="28"/>
          <w:u w:val="single"/>
          <w:vertAlign w:val="superscript"/>
        </w:rPr>
        <w:t>st</w:t>
      </w:r>
      <w:r w:rsidRPr="009C3EA2">
        <w:rPr>
          <w:sz w:val="28"/>
          <w:szCs w:val="28"/>
          <w:u w:val="single"/>
        </w:rPr>
        <w:t xml:space="preserve"> </w:t>
      </w:r>
      <w:r w:rsidRPr="009C3EA2">
        <w:rPr>
          <w:sz w:val="28"/>
          <w:szCs w:val="28"/>
        </w:rPr>
        <w:t xml:space="preserve"> day</w:t>
      </w:r>
      <w:proofErr w:type="gramEnd"/>
      <w:r w:rsidRPr="009C3EA2">
        <w:rPr>
          <w:sz w:val="28"/>
          <w:szCs w:val="28"/>
        </w:rPr>
        <w:t xml:space="preserve"> of </w:t>
      </w:r>
      <w:proofErr w:type="gramStart"/>
      <w:r w:rsidRPr="009C3EA2">
        <w:rPr>
          <w:sz w:val="28"/>
          <w:szCs w:val="28"/>
          <w:u w:val="single"/>
        </w:rPr>
        <w:t>May</w:t>
      </w:r>
      <w:r w:rsidRPr="009C3EA2">
        <w:rPr>
          <w:sz w:val="28"/>
          <w:szCs w:val="28"/>
        </w:rPr>
        <w:t>,</w:t>
      </w:r>
      <w:proofErr w:type="gramEnd"/>
      <w:r w:rsidRPr="009C3EA2">
        <w:rPr>
          <w:sz w:val="28"/>
          <w:szCs w:val="28"/>
        </w:rPr>
        <w:t xml:space="preserve"> 2026.</w:t>
      </w:r>
    </w:p>
    <w:p w14:paraId="1803BABB" w14:textId="77777777" w:rsidR="00D326F2" w:rsidRPr="009C3EA2" w:rsidRDefault="00D326F2" w:rsidP="00D326F2">
      <w:pPr>
        <w:spacing w:line="240" w:lineRule="auto"/>
        <w:ind w:right="4572"/>
        <w:rPr>
          <w:sz w:val="28"/>
          <w:szCs w:val="28"/>
        </w:rPr>
      </w:pPr>
    </w:p>
    <w:p w14:paraId="4A07E8A6" w14:textId="01A97CD7" w:rsidR="00052372" w:rsidRPr="009C3EA2" w:rsidRDefault="00D326F2" w:rsidP="00D326F2">
      <w:pPr>
        <w:spacing w:line="240" w:lineRule="auto"/>
        <w:ind w:right="4572"/>
        <w:rPr>
          <w:sz w:val="28"/>
          <w:szCs w:val="28"/>
        </w:rPr>
      </w:pPr>
      <w:r w:rsidRPr="009C3EA2">
        <w:rPr>
          <w:sz w:val="28"/>
          <w:szCs w:val="28"/>
        </w:rPr>
        <w:t>by:</w:t>
      </w:r>
      <w:r w:rsidRPr="009C3EA2">
        <w:rPr>
          <w:sz w:val="28"/>
          <w:szCs w:val="28"/>
          <w:u w:val="single"/>
        </w:rPr>
        <w:t xml:space="preserve"> </w:t>
      </w:r>
      <w:proofErr w:type="spellStart"/>
      <w:r w:rsidRPr="009C3EA2">
        <w:rPr>
          <w:sz w:val="28"/>
          <w:szCs w:val="28"/>
          <w:u w:val="single"/>
        </w:rPr>
        <w:t>PSeguin</w:t>
      </w:r>
      <w:proofErr w:type="spellEnd"/>
    </w:p>
    <w:sectPr w:rsidR="00052372" w:rsidRPr="009C3EA2" w:rsidSect="0090574C">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88D7" w14:textId="77777777" w:rsidR="00444C0C" w:rsidRDefault="00444C0C">
      <w:r>
        <w:separator/>
      </w:r>
    </w:p>
  </w:endnote>
  <w:endnote w:type="continuationSeparator" w:id="0">
    <w:p w14:paraId="62190FF2" w14:textId="77777777" w:rsidR="00444C0C" w:rsidRDefault="004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28B9" w14:textId="77777777" w:rsidR="00444C0C" w:rsidRDefault="00444C0C">
      <w:r>
        <w:separator/>
      </w:r>
    </w:p>
  </w:footnote>
  <w:footnote w:type="continuationSeparator" w:id="0">
    <w:p w14:paraId="28625205" w14:textId="77777777" w:rsidR="00444C0C" w:rsidRDefault="0044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F93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A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012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9AE"/>
    <w:multiLevelType w:val="hybridMultilevel"/>
    <w:tmpl w:val="2F9E1EA4"/>
    <w:lvl w:ilvl="0" w:tplc="04090013">
      <w:start w:val="1"/>
      <w:numFmt w:val="upperRoman"/>
      <w:lvlText w:val="%1."/>
      <w:lvlJc w:val="righ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79F6DF7"/>
    <w:multiLevelType w:val="hybridMultilevel"/>
    <w:tmpl w:val="777EB106"/>
    <w:lvl w:ilvl="0" w:tplc="61EAD54C">
      <w:start w:val="1"/>
      <w:numFmt w:val="lowerLetter"/>
      <w:lvlText w:val="(%1)"/>
      <w:lvlJc w:val="left"/>
      <w:pPr>
        <w:ind w:left="1836" w:hanging="39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E584B"/>
    <w:multiLevelType w:val="hybridMultilevel"/>
    <w:tmpl w:val="329CD21E"/>
    <w:lvl w:ilvl="0" w:tplc="2B327B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22578"/>
    <w:multiLevelType w:val="hybridMultilevel"/>
    <w:tmpl w:val="06BE2A06"/>
    <w:lvl w:ilvl="0" w:tplc="986CD564">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BC32949"/>
    <w:multiLevelType w:val="hybridMultilevel"/>
    <w:tmpl w:val="2220724A"/>
    <w:lvl w:ilvl="0" w:tplc="259419FC">
      <w:start w:val="1"/>
      <w:numFmt w:val="low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5"/>
  </w:num>
  <w:num w:numId="2" w16cid:durableId="1338851655">
    <w:abstractNumId w:val="16"/>
  </w:num>
  <w:num w:numId="3" w16cid:durableId="1296182094">
    <w:abstractNumId w:val="1"/>
  </w:num>
  <w:num w:numId="4" w16cid:durableId="736973399">
    <w:abstractNumId w:val="6"/>
  </w:num>
  <w:num w:numId="5" w16cid:durableId="1994602185">
    <w:abstractNumId w:val="8"/>
  </w:num>
  <w:num w:numId="6" w16cid:durableId="705905435">
    <w:abstractNumId w:val="9"/>
  </w:num>
  <w:num w:numId="7" w16cid:durableId="1829319839">
    <w:abstractNumId w:val="3"/>
  </w:num>
  <w:num w:numId="8" w16cid:durableId="1136950692">
    <w:abstractNumId w:val="18"/>
  </w:num>
  <w:num w:numId="9" w16cid:durableId="1542329543">
    <w:abstractNumId w:val="10"/>
  </w:num>
  <w:num w:numId="10" w16cid:durableId="451173854">
    <w:abstractNumId w:val="14"/>
  </w:num>
  <w:num w:numId="11" w16cid:durableId="21368526">
    <w:abstractNumId w:val="12"/>
  </w:num>
  <w:num w:numId="12" w16cid:durableId="1141196481">
    <w:abstractNumId w:val="7"/>
  </w:num>
  <w:num w:numId="13" w16cid:durableId="984310016">
    <w:abstractNumId w:val="4"/>
  </w:num>
  <w:num w:numId="14" w16cid:durableId="102000703">
    <w:abstractNumId w:val="5"/>
  </w:num>
  <w:num w:numId="15" w16cid:durableId="1987390243">
    <w:abstractNumId w:val="0"/>
  </w:num>
  <w:num w:numId="16" w16cid:durableId="166527580">
    <w:abstractNumId w:val="2"/>
  </w:num>
  <w:num w:numId="17" w16cid:durableId="158693167">
    <w:abstractNumId w:val="17"/>
  </w:num>
  <w:num w:numId="18" w16cid:durableId="1248732549">
    <w:abstractNumId w:val="11"/>
  </w:num>
  <w:num w:numId="19" w16cid:durableId="643311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55A7"/>
    <w:rsid w:val="000410B3"/>
    <w:rsid w:val="00043D4D"/>
    <w:rsid w:val="00052372"/>
    <w:rsid w:val="000666D1"/>
    <w:rsid w:val="0008003D"/>
    <w:rsid w:val="000917C0"/>
    <w:rsid w:val="000A1D6B"/>
    <w:rsid w:val="000C48A9"/>
    <w:rsid w:val="000F7A7F"/>
    <w:rsid w:val="000F7C13"/>
    <w:rsid w:val="0012326F"/>
    <w:rsid w:val="00135326"/>
    <w:rsid w:val="00136236"/>
    <w:rsid w:val="0017006B"/>
    <w:rsid w:val="001A02F2"/>
    <w:rsid w:val="001A2520"/>
    <w:rsid w:val="001B0910"/>
    <w:rsid w:val="001C3759"/>
    <w:rsid w:val="001E0F34"/>
    <w:rsid w:val="001F591C"/>
    <w:rsid w:val="00205EA8"/>
    <w:rsid w:val="00207336"/>
    <w:rsid w:val="00214C6C"/>
    <w:rsid w:val="00235756"/>
    <w:rsid w:val="00267537"/>
    <w:rsid w:val="00274D6A"/>
    <w:rsid w:val="002A0417"/>
    <w:rsid w:val="002F6EE0"/>
    <w:rsid w:val="00334B42"/>
    <w:rsid w:val="00352347"/>
    <w:rsid w:val="003566D6"/>
    <w:rsid w:val="00357F4D"/>
    <w:rsid w:val="003617D1"/>
    <w:rsid w:val="00377199"/>
    <w:rsid w:val="00382333"/>
    <w:rsid w:val="003A28AC"/>
    <w:rsid w:val="003D4FF5"/>
    <w:rsid w:val="00407E2D"/>
    <w:rsid w:val="004331B2"/>
    <w:rsid w:val="00440E4C"/>
    <w:rsid w:val="00444C0C"/>
    <w:rsid w:val="004520E4"/>
    <w:rsid w:val="00455E4D"/>
    <w:rsid w:val="00463734"/>
    <w:rsid w:val="00494BDF"/>
    <w:rsid w:val="004B4A75"/>
    <w:rsid w:val="004C3AE3"/>
    <w:rsid w:val="004F1459"/>
    <w:rsid w:val="00504E1E"/>
    <w:rsid w:val="00506859"/>
    <w:rsid w:val="00520F93"/>
    <w:rsid w:val="00526E19"/>
    <w:rsid w:val="00552F00"/>
    <w:rsid w:val="005614F7"/>
    <w:rsid w:val="00566856"/>
    <w:rsid w:val="0057403A"/>
    <w:rsid w:val="005845AE"/>
    <w:rsid w:val="005A21B0"/>
    <w:rsid w:val="005B5161"/>
    <w:rsid w:val="005D6AD4"/>
    <w:rsid w:val="00622138"/>
    <w:rsid w:val="006338C1"/>
    <w:rsid w:val="00636F5E"/>
    <w:rsid w:val="00665CCF"/>
    <w:rsid w:val="006666D1"/>
    <w:rsid w:val="006721EC"/>
    <w:rsid w:val="006766BF"/>
    <w:rsid w:val="00692391"/>
    <w:rsid w:val="006932BA"/>
    <w:rsid w:val="006A2F9E"/>
    <w:rsid w:val="006B4F9A"/>
    <w:rsid w:val="006D7DFC"/>
    <w:rsid w:val="006E4355"/>
    <w:rsid w:val="006E4770"/>
    <w:rsid w:val="006F63FD"/>
    <w:rsid w:val="00732169"/>
    <w:rsid w:val="00735659"/>
    <w:rsid w:val="007427C6"/>
    <w:rsid w:val="0077087F"/>
    <w:rsid w:val="0077110E"/>
    <w:rsid w:val="007870CB"/>
    <w:rsid w:val="00793553"/>
    <w:rsid w:val="007A3F0F"/>
    <w:rsid w:val="007D5C49"/>
    <w:rsid w:val="007D6BE6"/>
    <w:rsid w:val="007D73FF"/>
    <w:rsid w:val="007E3CCB"/>
    <w:rsid w:val="007F18AF"/>
    <w:rsid w:val="008006ED"/>
    <w:rsid w:val="00816D51"/>
    <w:rsid w:val="00822598"/>
    <w:rsid w:val="008360A1"/>
    <w:rsid w:val="00852F55"/>
    <w:rsid w:val="008541FE"/>
    <w:rsid w:val="00861563"/>
    <w:rsid w:val="0086770A"/>
    <w:rsid w:val="00871AAA"/>
    <w:rsid w:val="00873064"/>
    <w:rsid w:val="00876F57"/>
    <w:rsid w:val="00891AAA"/>
    <w:rsid w:val="0089339E"/>
    <w:rsid w:val="008A4EB3"/>
    <w:rsid w:val="008E1C27"/>
    <w:rsid w:val="008F6169"/>
    <w:rsid w:val="0090574C"/>
    <w:rsid w:val="00931F22"/>
    <w:rsid w:val="00933EA1"/>
    <w:rsid w:val="00951416"/>
    <w:rsid w:val="00954A5E"/>
    <w:rsid w:val="00960D21"/>
    <w:rsid w:val="00972B1C"/>
    <w:rsid w:val="00981D29"/>
    <w:rsid w:val="00981E11"/>
    <w:rsid w:val="009866B4"/>
    <w:rsid w:val="009C3EA2"/>
    <w:rsid w:val="00A15221"/>
    <w:rsid w:val="00A1564B"/>
    <w:rsid w:val="00A4249C"/>
    <w:rsid w:val="00A5194F"/>
    <w:rsid w:val="00A53973"/>
    <w:rsid w:val="00A871D6"/>
    <w:rsid w:val="00A93A7C"/>
    <w:rsid w:val="00AB3AB4"/>
    <w:rsid w:val="00AC7694"/>
    <w:rsid w:val="00AF282C"/>
    <w:rsid w:val="00AF3FF7"/>
    <w:rsid w:val="00B1491D"/>
    <w:rsid w:val="00B269C2"/>
    <w:rsid w:val="00B47114"/>
    <w:rsid w:val="00B47B7D"/>
    <w:rsid w:val="00B84D15"/>
    <w:rsid w:val="00BC3B7D"/>
    <w:rsid w:val="00C03E0F"/>
    <w:rsid w:val="00C52E56"/>
    <w:rsid w:val="00C5407A"/>
    <w:rsid w:val="00C662B0"/>
    <w:rsid w:val="00C84FD4"/>
    <w:rsid w:val="00C958EE"/>
    <w:rsid w:val="00CD21FB"/>
    <w:rsid w:val="00D0315E"/>
    <w:rsid w:val="00D326F2"/>
    <w:rsid w:val="00D423FE"/>
    <w:rsid w:val="00D442E4"/>
    <w:rsid w:val="00D45D20"/>
    <w:rsid w:val="00D56CE0"/>
    <w:rsid w:val="00D60D9B"/>
    <w:rsid w:val="00D80EDC"/>
    <w:rsid w:val="00DD6A00"/>
    <w:rsid w:val="00DF4F15"/>
    <w:rsid w:val="00E03FE6"/>
    <w:rsid w:val="00E047D3"/>
    <w:rsid w:val="00E25307"/>
    <w:rsid w:val="00E266B7"/>
    <w:rsid w:val="00E321C5"/>
    <w:rsid w:val="00E3752E"/>
    <w:rsid w:val="00E5772B"/>
    <w:rsid w:val="00E651A9"/>
    <w:rsid w:val="00E67511"/>
    <w:rsid w:val="00E81026"/>
    <w:rsid w:val="00E82D0F"/>
    <w:rsid w:val="00E950B5"/>
    <w:rsid w:val="00EB02D5"/>
    <w:rsid w:val="00F05879"/>
    <w:rsid w:val="00F06F5B"/>
    <w:rsid w:val="00F233FE"/>
    <w:rsid w:val="00F2485D"/>
    <w:rsid w:val="00F33926"/>
    <w:rsid w:val="00F42476"/>
    <w:rsid w:val="00F511E5"/>
    <w:rsid w:val="00F60C61"/>
    <w:rsid w:val="00F64B52"/>
    <w:rsid w:val="00F850BE"/>
    <w:rsid w:val="00FB5291"/>
    <w:rsid w:val="00FB5E84"/>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BC3B7D"/>
  </w:style>
  <w:style w:type="character" w:styleId="UnresolvedMention">
    <w:name w:val="Unresolved Mention"/>
    <w:basedOn w:val="DefaultParagraphFont"/>
    <w:uiPriority w:val="99"/>
    <w:semiHidden/>
    <w:unhideWhenUsed/>
    <w:rsid w:val="004B4A75"/>
    <w:rPr>
      <w:color w:val="605E5C"/>
      <w:shd w:val="clear" w:color="auto" w:fill="E1DFDD"/>
    </w:rPr>
  </w:style>
  <w:style w:type="character" w:styleId="CommentReference">
    <w:name w:val="annotation reference"/>
    <w:basedOn w:val="DefaultParagraphFont"/>
    <w:rsid w:val="00455E4D"/>
    <w:rPr>
      <w:sz w:val="16"/>
      <w:szCs w:val="16"/>
    </w:rPr>
  </w:style>
  <w:style w:type="paragraph" w:styleId="CommentText">
    <w:name w:val="annotation text"/>
    <w:basedOn w:val="Normal"/>
    <w:link w:val="CommentTextChar"/>
    <w:rsid w:val="00455E4D"/>
    <w:pPr>
      <w:spacing w:line="240" w:lineRule="auto"/>
    </w:pPr>
  </w:style>
  <w:style w:type="character" w:customStyle="1" w:styleId="CommentTextChar">
    <w:name w:val="Comment Text Char"/>
    <w:basedOn w:val="DefaultParagraphFont"/>
    <w:link w:val="CommentText"/>
    <w:rsid w:val="00455E4D"/>
  </w:style>
  <w:style w:type="paragraph" w:styleId="CommentSubject">
    <w:name w:val="annotation subject"/>
    <w:basedOn w:val="CommentText"/>
    <w:next w:val="CommentText"/>
    <w:link w:val="CommentSubjectChar"/>
    <w:rsid w:val="00455E4D"/>
    <w:rPr>
      <w:b/>
      <w:bCs/>
    </w:rPr>
  </w:style>
  <w:style w:type="character" w:customStyle="1" w:styleId="CommentSubjectChar">
    <w:name w:val="Comment Subject Char"/>
    <w:basedOn w:val="CommentTextChar"/>
    <w:link w:val="CommentSubject"/>
    <w:rsid w:val="00455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8</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2026-05-01T22:09:00Z</dcterms:created>
  <dcterms:modified xsi:type="dcterms:W3CDTF">2026-05-01T22:09:00Z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