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4836"/>
        <w:gridCol w:w="4200"/>
      </w:tblGrid>
      <w:tr w:rsidR="00357F4D" w:rsidRPr="000F7A7F" w14:paraId="2DD96AE8" w14:textId="77777777" w:rsidTr="006F63FD">
        <w:trPr>
          <w:cantSplit/>
          <w:trHeight w:val="1987"/>
        </w:trPr>
        <w:tc>
          <w:tcPr>
            <w:tcW w:w="4836" w:type="dxa"/>
          </w:tcPr>
          <w:p w14:paraId="72A6071F" w14:textId="77777777" w:rsidR="002D06B5" w:rsidRPr="00BC3B7D" w:rsidRDefault="002D06B5" w:rsidP="002D06B5">
            <w:pPr>
              <w:pStyle w:val="FirmInformation"/>
              <w:spacing w:line="240" w:lineRule="auto"/>
              <w:rPr>
                <w:sz w:val="28"/>
                <w:szCs w:val="28"/>
                <w:lang w:val="pt-BR"/>
              </w:rPr>
            </w:pPr>
            <w:bookmarkStart w:id="0" w:name="_zzmpFIXED_CounselTable"/>
            <w:r w:rsidRPr="00BC3B7D">
              <w:rPr>
                <w:sz w:val="28"/>
                <w:szCs w:val="28"/>
                <w:lang w:val="pt-BR"/>
              </w:rPr>
              <w:t>Jessica J. Fotinos, Bar No. 019777</w:t>
            </w:r>
          </w:p>
          <w:p w14:paraId="666C211A" w14:textId="77777777" w:rsidR="002D06B5" w:rsidRPr="001B0910" w:rsidRDefault="002D06B5" w:rsidP="002D06B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1B0910">
              <w:rPr>
                <w:sz w:val="28"/>
                <w:szCs w:val="28"/>
              </w:rPr>
              <w:t>General Counsel</w:t>
            </w:r>
          </w:p>
          <w:p w14:paraId="5D3ED190" w14:textId="77777777" w:rsidR="002D06B5" w:rsidRPr="001B0910" w:rsidRDefault="002D06B5" w:rsidP="002D06B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1B0910">
              <w:rPr>
                <w:sz w:val="28"/>
                <w:szCs w:val="28"/>
              </w:rPr>
              <w:t>State Bar of Arizona</w:t>
            </w:r>
          </w:p>
          <w:p w14:paraId="4DFA6976" w14:textId="77777777" w:rsidR="002D06B5" w:rsidRPr="001B0910" w:rsidRDefault="002D06B5" w:rsidP="002D06B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1B0910">
              <w:rPr>
                <w:sz w:val="28"/>
                <w:szCs w:val="28"/>
              </w:rPr>
              <w:t>4201 N. 24th Street, Suite 100</w:t>
            </w:r>
          </w:p>
          <w:p w14:paraId="1AACC024" w14:textId="77777777" w:rsidR="002D06B5" w:rsidRPr="001B0910" w:rsidRDefault="002D06B5" w:rsidP="002D06B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1B0910">
              <w:rPr>
                <w:sz w:val="28"/>
                <w:szCs w:val="28"/>
              </w:rPr>
              <w:t>Phoenix, AZ  85016-6288</w:t>
            </w:r>
          </w:p>
          <w:p w14:paraId="7B3DBC20" w14:textId="7053EA9C" w:rsidR="006F63FD" w:rsidRPr="00735659" w:rsidRDefault="002D06B5" w:rsidP="002D06B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1B0910">
              <w:rPr>
                <w:sz w:val="28"/>
                <w:szCs w:val="28"/>
              </w:rPr>
              <w:t>(602) 340-7236</w:t>
            </w:r>
          </w:p>
        </w:tc>
        <w:tc>
          <w:tcPr>
            <w:tcW w:w="4200" w:type="dxa"/>
          </w:tcPr>
          <w:p w14:paraId="0A670938" w14:textId="77777777" w:rsidR="00357F4D" w:rsidRPr="000F7A7F" w:rsidRDefault="00357F4D" w:rsidP="00000C35">
            <w:pPr>
              <w:ind w:left="113" w:right="113"/>
              <w:rPr>
                <w:sz w:val="26"/>
                <w:szCs w:val="26"/>
              </w:rPr>
            </w:pPr>
          </w:p>
        </w:tc>
      </w:tr>
      <w:bookmarkEnd w:id="0"/>
    </w:tbl>
    <w:p w14:paraId="08E71DA7" w14:textId="77777777" w:rsidR="00357F4D" w:rsidRPr="000F7A7F" w:rsidRDefault="00357F4D" w:rsidP="00735659">
      <w:pPr>
        <w:pStyle w:val="Court"/>
        <w:spacing w:line="508" w:lineRule="exact"/>
        <w:jc w:val="left"/>
        <w:rPr>
          <w:b/>
        </w:rPr>
      </w:pPr>
    </w:p>
    <w:p w14:paraId="25693B34" w14:textId="77777777" w:rsidR="000C48A9" w:rsidRPr="006F63FD" w:rsidRDefault="000F7A7F" w:rsidP="00000C35">
      <w:pPr>
        <w:pStyle w:val="Court"/>
        <w:spacing w:line="240" w:lineRule="auto"/>
        <w:rPr>
          <w:b/>
          <w:sz w:val="28"/>
          <w:szCs w:val="28"/>
        </w:rPr>
      </w:pPr>
      <w:r w:rsidRPr="006F63FD">
        <w:rPr>
          <w:b/>
          <w:sz w:val="28"/>
          <w:szCs w:val="28"/>
        </w:rPr>
        <w:t>IN THE SUPREME COURT</w:t>
      </w:r>
      <w:r w:rsidRPr="006F63FD">
        <w:rPr>
          <w:b/>
          <w:sz w:val="28"/>
          <w:szCs w:val="28"/>
        </w:rPr>
        <w:br/>
        <w:t>STATE OF ARIZONA</w:t>
      </w:r>
    </w:p>
    <w:tbl>
      <w:tblPr>
        <w:tblW w:w="92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24"/>
      </w:tblGrid>
      <w:tr w:rsidR="00357F4D" w:rsidRPr="000F7A7F" w14:paraId="024B1021" w14:textId="77777777" w:rsidTr="004331B2"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11101D2" w14:textId="77777777" w:rsidR="00357F4D" w:rsidRPr="006F63FD" w:rsidRDefault="00357F4D" w:rsidP="00E321C5">
            <w:pPr>
              <w:pStyle w:val="Caption"/>
              <w:spacing w:before="240" w:line="260" w:lineRule="exact"/>
              <w:rPr>
                <w:sz w:val="28"/>
                <w:szCs w:val="28"/>
              </w:rPr>
            </w:pPr>
            <w:bookmarkStart w:id="1" w:name="_zzmpFIXED_CaptionTable"/>
            <w:r w:rsidRPr="006F63FD">
              <w:rPr>
                <w:sz w:val="28"/>
                <w:szCs w:val="28"/>
              </w:rPr>
              <w:t>In the Matter of:</w:t>
            </w:r>
          </w:p>
          <w:p w14:paraId="03963DD5" w14:textId="1202A1A5" w:rsidR="00357F4D" w:rsidRPr="002D06B5" w:rsidRDefault="00E67511" w:rsidP="002D06B5">
            <w:pPr>
              <w:pStyle w:val="Caption"/>
              <w:spacing w:before="240" w:line="260" w:lineRule="exact"/>
              <w:rPr>
                <w:b/>
                <w:sz w:val="28"/>
                <w:szCs w:val="28"/>
              </w:rPr>
            </w:pPr>
            <w:r w:rsidRPr="00732169">
              <w:rPr>
                <w:b/>
                <w:sz w:val="28"/>
                <w:szCs w:val="28"/>
              </w:rPr>
              <w:t xml:space="preserve">PETITION TO </w:t>
            </w:r>
            <w:r w:rsidR="00BD667D">
              <w:rPr>
                <w:b/>
                <w:sz w:val="28"/>
                <w:szCs w:val="28"/>
              </w:rPr>
              <w:t xml:space="preserve">AMEND </w:t>
            </w:r>
            <w:r w:rsidR="009778E9">
              <w:rPr>
                <w:b/>
                <w:sz w:val="28"/>
                <w:szCs w:val="28"/>
              </w:rPr>
              <w:t>RULE 6.3</w:t>
            </w:r>
            <w:r w:rsidR="002D06B5">
              <w:rPr>
                <w:b/>
                <w:sz w:val="28"/>
                <w:szCs w:val="28"/>
              </w:rPr>
              <w:t xml:space="preserve"> OF THE ARIZONA RULES OF CRIMINAL PROCEDURE</w:t>
            </w:r>
            <w:r w:rsidR="002D06B5">
              <w:rPr>
                <w:b/>
                <w:sz w:val="28"/>
                <w:szCs w:val="28"/>
              </w:rPr>
              <w:br/>
            </w:r>
          </w:p>
        </w:tc>
        <w:tc>
          <w:tcPr>
            <w:tcW w:w="4524" w:type="dxa"/>
            <w:tcBorders>
              <w:top w:val="nil"/>
              <w:left w:val="single" w:sz="4" w:space="0" w:color="auto"/>
            </w:tcBorders>
          </w:tcPr>
          <w:p w14:paraId="35CED5CB" w14:textId="2FA27BE3" w:rsidR="00357F4D" w:rsidRPr="006F63FD" w:rsidRDefault="00357F4D" w:rsidP="00E321C5">
            <w:pPr>
              <w:pStyle w:val="Caption"/>
              <w:tabs>
                <w:tab w:val="left" w:pos="1238"/>
              </w:tabs>
              <w:spacing w:before="240" w:after="240"/>
              <w:ind w:left="259" w:right="115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Supreme Court No. R-</w:t>
            </w:r>
            <w:r w:rsidR="008A4EB3">
              <w:rPr>
                <w:sz w:val="28"/>
                <w:szCs w:val="28"/>
              </w:rPr>
              <w:t>2</w:t>
            </w:r>
            <w:r w:rsidR="00E51F46">
              <w:rPr>
                <w:sz w:val="28"/>
                <w:szCs w:val="28"/>
              </w:rPr>
              <w:t>5</w:t>
            </w:r>
            <w:r w:rsidR="00F850BE">
              <w:rPr>
                <w:sz w:val="28"/>
                <w:szCs w:val="28"/>
              </w:rPr>
              <w:t>-</w:t>
            </w:r>
            <w:r w:rsidR="00BD667D">
              <w:rPr>
                <w:sz w:val="28"/>
                <w:szCs w:val="28"/>
              </w:rPr>
              <w:t>0007</w:t>
            </w:r>
          </w:p>
          <w:p w14:paraId="5AEC962D" w14:textId="5AB37683" w:rsidR="00357F4D" w:rsidRPr="002D06B5" w:rsidRDefault="002D06B5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 w:rsidRPr="002D06B5">
              <w:rPr>
                <w:b/>
                <w:sz w:val="28"/>
                <w:szCs w:val="28"/>
              </w:rPr>
              <w:t>STATE BAR OF ARIZONA COMMENT</w:t>
            </w:r>
          </w:p>
          <w:p w14:paraId="414A167D" w14:textId="77777777" w:rsidR="00357F4D" w:rsidRPr="002D06B5" w:rsidRDefault="00357F4D" w:rsidP="00E321C5">
            <w:pPr>
              <w:pStyle w:val="DocumentTitle"/>
              <w:rPr>
                <w:szCs w:val="26"/>
              </w:rPr>
            </w:pPr>
          </w:p>
          <w:p w14:paraId="524D8097" w14:textId="77777777" w:rsidR="00357F4D" w:rsidRPr="000F7A7F" w:rsidRDefault="00357F4D" w:rsidP="00E321C5">
            <w:pPr>
              <w:pStyle w:val="Caption"/>
              <w:ind w:left="1512" w:right="115" w:hanging="1253"/>
              <w:rPr>
                <w:szCs w:val="26"/>
              </w:rPr>
            </w:pPr>
          </w:p>
        </w:tc>
      </w:tr>
      <w:bookmarkEnd w:id="1"/>
    </w:tbl>
    <w:p w14:paraId="14B66B5A" w14:textId="77777777" w:rsidR="004331B2" w:rsidRDefault="004331B2" w:rsidP="006338C1">
      <w:pPr>
        <w:pStyle w:val="Body"/>
        <w:widowControl w:val="0"/>
        <w:ind w:firstLine="720"/>
        <w:jc w:val="both"/>
        <w:rPr>
          <w:sz w:val="28"/>
          <w:szCs w:val="28"/>
        </w:rPr>
      </w:pPr>
    </w:p>
    <w:p w14:paraId="09DE6AB7" w14:textId="2A31B238" w:rsidR="002F1135" w:rsidRDefault="0008003D" w:rsidP="006766BF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 w:rsidRPr="007B7449">
        <w:rPr>
          <w:sz w:val="28"/>
          <w:szCs w:val="28"/>
        </w:rPr>
        <w:t>Pursuant to Rule 28(</w:t>
      </w:r>
      <w:r w:rsidR="00A4249C">
        <w:rPr>
          <w:sz w:val="28"/>
          <w:szCs w:val="28"/>
        </w:rPr>
        <w:t>e</w:t>
      </w:r>
      <w:r w:rsidRPr="007B7449">
        <w:rPr>
          <w:sz w:val="28"/>
          <w:szCs w:val="28"/>
        </w:rPr>
        <w:t xml:space="preserve">) of the Arizona Rules of Supreme Court, the State Bar of Arizona (the “State Bar”) hereby </w:t>
      </w:r>
      <w:r w:rsidR="00A4249C">
        <w:rPr>
          <w:sz w:val="28"/>
          <w:szCs w:val="28"/>
        </w:rPr>
        <w:t xml:space="preserve">submits the following as its </w:t>
      </w:r>
      <w:r w:rsidR="00774AE0">
        <w:rPr>
          <w:sz w:val="28"/>
          <w:szCs w:val="28"/>
        </w:rPr>
        <w:t>C</w:t>
      </w:r>
      <w:r w:rsidR="00A4249C">
        <w:rPr>
          <w:sz w:val="28"/>
          <w:szCs w:val="28"/>
        </w:rPr>
        <w:t>omment to the above-captioned Petition.</w:t>
      </w:r>
      <w:r w:rsidR="009778E9">
        <w:rPr>
          <w:sz w:val="28"/>
          <w:szCs w:val="28"/>
        </w:rPr>
        <w:t xml:space="preserve"> The State </w:t>
      </w:r>
      <w:r w:rsidR="00774AE0">
        <w:rPr>
          <w:sz w:val="28"/>
          <w:szCs w:val="28"/>
        </w:rPr>
        <w:t>B</w:t>
      </w:r>
      <w:r w:rsidR="009778E9">
        <w:rPr>
          <w:sz w:val="28"/>
          <w:szCs w:val="28"/>
        </w:rPr>
        <w:t xml:space="preserve">ar supports the proposed amendments </w:t>
      </w:r>
      <w:r w:rsidR="00E8066B">
        <w:rPr>
          <w:sz w:val="28"/>
          <w:szCs w:val="28"/>
        </w:rPr>
        <w:t xml:space="preserve">in the </w:t>
      </w:r>
      <w:r w:rsidR="00774AE0">
        <w:rPr>
          <w:sz w:val="28"/>
          <w:szCs w:val="28"/>
        </w:rPr>
        <w:t>P</w:t>
      </w:r>
      <w:r w:rsidR="00E8066B">
        <w:rPr>
          <w:sz w:val="28"/>
          <w:szCs w:val="28"/>
        </w:rPr>
        <w:t xml:space="preserve">etition </w:t>
      </w:r>
      <w:r w:rsidR="009778E9">
        <w:rPr>
          <w:sz w:val="28"/>
          <w:szCs w:val="28"/>
        </w:rPr>
        <w:t>bec</w:t>
      </w:r>
      <w:r w:rsidR="008F21BF">
        <w:rPr>
          <w:sz w:val="28"/>
          <w:szCs w:val="28"/>
        </w:rPr>
        <w:t xml:space="preserve">ause they would promote fairness, </w:t>
      </w:r>
      <w:r w:rsidR="002D6480">
        <w:rPr>
          <w:sz w:val="28"/>
          <w:szCs w:val="28"/>
        </w:rPr>
        <w:t>advance</w:t>
      </w:r>
      <w:r w:rsidR="008F21BF">
        <w:rPr>
          <w:sz w:val="28"/>
          <w:szCs w:val="28"/>
        </w:rPr>
        <w:t xml:space="preserve"> established constitutional law, and impose a </w:t>
      </w:r>
      <w:r w:rsidR="002F1135">
        <w:rPr>
          <w:sz w:val="28"/>
          <w:szCs w:val="28"/>
        </w:rPr>
        <w:t>minimal burden on criminal defense practitioners.</w:t>
      </w:r>
    </w:p>
    <w:p w14:paraId="070EB62D" w14:textId="33609EF2" w:rsidR="00CB31AF" w:rsidRDefault="002F1135" w:rsidP="00581197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First, </w:t>
      </w:r>
      <w:r w:rsidR="0022683E">
        <w:rPr>
          <w:sz w:val="28"/>
          <w:szCs w:val="28"/>
        </w:rPr>
        <w:t>the proposed amendments would promote fairness by correcting what appears to be an oversight in the</w:t>
      </w:r>
      <w:r w:rsidR="00774AE0">
        <w:rPr>
          <w:sz w:val="28"/>
          <w:szCs w:val="28"/>
        </w:rPr>
        <w:t xml:space="preserve"> current</w:t>
      </w:r>
      <w:r w:rsidR="0022683E">
        <w:rPr>
          <w:sz w:val="28"/>
          <w:szCs w:val="28"/>
        </w:rPr>
        <w:t xml:space="preserve"> </w:t>
      </w:r>
      <w:r w:rsidR="00774AE0">
        <w:rPr>
          <w:sz w:val="28"/>
          <w:szCs w:val="28"/>
        </w:rPr>
        <w:t>R</w:t>
      </w:r>
      <w:r w:rsidR="0022683E">
        <w:rPr>
          <w:sz w:val="28"/>
          <w:szCs w:val="28"/>
        </w:rPr>
        <w:t>ules—the absence of</w:t>
      </w:r>
      <w:r w:rsidR="00F43901">
        <w:rPr>
          <w:sz w:val="28"/>
          <w:szCs w:val="28"/>
        </w:rPr>
        <w:t xml:space="preserve"> </w:t>
      </w:r>
      <w:r w:rsidR="0098747C">
        <w:rPr>
          <w:sz w:val="28"/>
          <w:szCs w:val="28"/>
        </w:rPr>
        <w:t xml:space="preserve">a </w:t>
      </w:r>
      <w:r w:rsidR="00FE352D">
        <w:rPr>
          <w:sz w:val="28"/>
          <w:szCs w:val="28"/>
        </w:rPr>
        <w:t>duty</w:t>
      </w:r>
      <w:r w:rsidR="0098747C">
        <w:rPr>
          <w:sz w:val="28"/>
          <w:szCs w:val="28"/>
        </w:rPr>
        <w:t xml:space="preserve"> </w:t>
      </w:r>
      <w:r w:rsidR="0007124F">
        <w:rPr>
          <w:sz w:val="28"/>
          <w:szCs w:val="28"/>
        </w:rPr>
        <w:t>of</w:t>
      </w:r>
      <w:r w:rsidR="0098747C">
        <w:rPr>
          <w:sz w:val="28"/>
          <w:szCs w:val="28"/>
        </w:rPr>
        <w:t xml:space="preserve"> </w:t>
      </w:r>
      <w:r w:rsidR="00513084">
        <w:rPr>
          <w:sz w:val="28"/>
          <w:szCs w:val="28"/>
        </w:rPr>
        <w:t xml:space="preserve">withdrawing </w:t>
      </w:r>
      <w:r w:rsidR="0098747C">
        <w:rPr>
          <w:sz w:val="28"/>
          <w:szCs w:val="28"/>
        </w:rPr>
        <w:t xml:space="preserve">defense counsel to file a notice of </w:t>
      </w:r>
      <w:r w:rsidR="00DC3BC2">
        <w:rPr>
          <w:sz w:val="28"/>
          <w:szCs w:val="28"/>
        </w:rPr>
        <w:t>post</w:t>
      </w:r>
      <w:r w:rsidR="00F70BE4">
        <w:rPr>
          <w:sz w:val="28"/>
          <w:szCs w:val="28"/>
        </w:rPr>
        <w:t>-</w:t>
      </w:r>
      <w:r w:rsidR="00DC3BC2">
        <w:rPr>
          <w:sz w:val="28"/>
          <w:szCs w:val="28"/>
        </w:rPr>
        <w:t>conviction relief (“PCR”)</w:t>
      </w:r>
      <w:r w:rsidR="00E8066B">
        <w:rPr>
          <w:sz w:val="28"/>
          <w:szCs w:val="28"/>
        </w:rPr>
        <w:t xml:space="preserve"> for </w:t>
      </w:r>
      <w:r w:rsidR="00770B74">
        <w:rPr>
          <w:sz w:val="28"/>
          <w:szCs w:val="28"/>
        </w:rPr>
        <w:t>their</w:t>
      </w:r>
      <w:r w:rsidR="00E8066B">
        <w:rPr>
          <w:sz w:val="28"/>
          <w:szCs w:val="28"/>
        </w:rPr>
        <w:t xml:space="preserve"> pleading </w:t>
      </w:r>
      <w:r w:rsidR="00770B74">
        <w:rPr>
          <w:sz w:val="28"/>
          <w:szCs w:val="28"/>
        </w:rPr>
        <w:t>clients</w:t>
      </w:r>
      <w:r w:rsidR="0098747C">
        <w:rPr>
          <w:sz w:val="28"/>
          <w:szCs w:val="28"/>
        </w:rPr>
        <w:t>.</w:t>
      </w:r>
      <w:r w:rsidR="00BD3C31">
        <w:rPr>
          <w:sz w:val="28"/>
          <w:szCs w:val="28"/>
        </w:rPr>
        <w:t xml:space="preserve"> </w:t>
      </w:r>
      <w:r w:rsidR="00BD3C31" w:rsidRPr="00BD3C31">
        <w:rPr>
          <w:i/>
          <w:iCs/>
          <w:sz w:val="28"/>
          <w:szCs w:val="28"/>
        </w:rPr>
        <w:t>See</w:t>
      </w:r>
      <w:r w:rsidR="00BD3C31">
        <w:rPr>
          <w:sz w:val="28"/>
          <w:szCs w:val="28"/>
        </w:rPr>
        <w:t xml:space="preserve"> </w:t>
      </w:r>
      <w:r w:rsidR="00BD3C31" w:rsidRPr="00BD3C31">
        <w:rPr>
          <w:i/>
          <w:iCs/>
          <w:sz w:val="28"/>
          <w:szCs w:val="28"/>
        </w:rPr>
        <w:t>State v. Ainsworth</w:t>
      </w:r>
      <w:r w:rsidR="00BD3C31" w:rsidRPr="00BD3C31">
        <w:rPr>
          <w:sz w:val="28"/>
          <w:szCs w:val="28"/>
        </w:rPr>
        <w:t>, 250 Ariz. 457</w:t>
      </w:r>
      <w:r w:rsidR="00774AE0">
        <w:rPr>
          <w:sz w:val="28"/>
          <w:szCs w:val="28"/>
        </w:rPr>
        <w:t>, 460</w:t>
      </w:r>
      <w:r w:rsidR="00BD3C31" w:rsidRPr="00BD3C31">
        <w:rPr>
          <w:sz w:val="28"/>
          <w:szCs w:val="28"/>
        </w:rPr>
        <w:t xml:space="preserve"> </w:t>
      </w:r>
      <w:r w:rsidR="00774AE0" w:rsidRPr="005B3511">
        <w:rPr>
          <w:color w:val="1F1F1F"/>
          <w:sz w:val="28"/>
          <w:szCs w:val="28"/>
        </w:rPr>
        <w:t>¶</w:t>
      </w:r>
      <w:r w:rsidR="00774AE0">
        <w:rPr>
          <w:color w:val="1F1F1F"/>
          <w:sz w:val="28"/>
          <w:szCs w:val="28"/>
        </w:rPr>
        <w:t xml:space="preserve"> </w:t>
      </w:r>
      <w:r w:rsidR="00774AE0" w:rsidRPr="005B3511">
        <w:rPr>
          <w:color w:val="1F1F1F"/>
          <w:sz w:val="28"/>
          <w:szCs w:val="28"/>
        </w:rPr>
        <w:t>8</w:t>
      </w:r>
      <w:r w:rsidR="00774AE0" w:rsidRPr="00774AE0">
        <w:rPr>
          <w:sz w:val="28"/>
          <w:szCs w:val="28"/>
        </w:rPr>
        <w:t xml:space="preserve"> </w:t>
      </w:r>
      <w:r w:rsidR="00BD3C31" w:rsidRPr="00BD3C31">
        <w:rPr>
          <w:sz w:val="28"/>
          <w:szCs w:val="28"/>
        </w:rPr>
        <w:t>(App. 2021)</w:t>
      </w:r>
      <w:r w:rsidR="00BD3C31">
        <w:rPr>
          <w:sz w:val="28"/>
          <w:szCs w:val="28"/>
        </w:rPr>
        <w:t xml:space="preserve"> (holding that Rule 6.3(b) </w:t>
      </w:r>
      <w:r w:rsidR="00E5541E">
        <w:rPr>
          <w:sz w:val="28"/>
          <w:szCs w:val="28"/>
        </w:rPr>
        <w:t>applies</w:t>
      </w:r>
      <w:r w:rsidR="009249DA">
        <w:rPr>
          <w:sz w:val="28"/>
          <w:szCs w:val="28"/>
        </w:rPr>
        <w:t xml:space="preserve"> </w:t>
      </w:r>
      <w:r w:rsidR="00E5541E">
        <w:rPr>
          <w:sz w:val="28"/>
          <w:szCs w:val="28"/>
        </w:rPr>
        <w:t xml:space="preserve">to </w:t>
      </w:r>
      <w:r w:rsidR="009249DA">
        <w:rPr>
          <w:sz w:val="28"/>
          <w:szCs w:val="28"/>
        </w:rPr>
        <w:t>notice</w:t>
      </w:r>
      <w:r w:rsidR="00E5541E">
        <w:rPr>
          <w:sz w:val="28"/>
          <w:szCs w:val="28"/>
        </w:rPr>
        <w:t>s</w:t>
      </w:r>
      <w:r w:rsidR="009249DA">
        <w:rPr>
          <w:sz w:val="28"/>
          <w:szCs w:val="28"/>
        </w:rPr>
        <w:t xml:space="preserve"> of </w:t>
      </w:r>
      <w:r w:rsidR="00E5541E">
        <w:rPr>
          <w:sz w:val="28"/>
          <w:szCs w:val="28"/>
        </w:rPr>
        <w:t xml:space="preserve">appeal, not </w:t>
      </w:r>
      <w:r w:rsidR="009249DA">
        <w:rPr>
          <w:sz w:val="28"/>
          <w:szCs w:val="28"/>
        </w:rPr>
        <w:t>PCR</w:t>
      </w:r>
      <w:r w:rsidR="00774AE0">
        <w:rPr>
          <w:sz w:val="28"/>
          <w:szCs w:val="28"/>
        </w:rPr>
        <w:t>s</w:t>
      </w:r>
      <w:r w:rsidR="009249DA">
        <w:rPr>
          <w:sz w:val="28"/>
          <w:szCs w:val="28"/>
        </w:rPr>
        <w:t>).</w:t>
      </w:r>
      <w:r w:rsidR="00DC3BC2">
        <w:rPr>
          <w:sz w:val="28"/>
          <w:szCs w:val="28"/>
        </w:rPr>
        <w:t xml:space="preserve"> </w:t>
      </w:r>
      <w:r w:rsidR="00B357A9">
        <w:rPr>
          <w:sz w:val="28"/>
          <w:szCs w:val="28"/>
        </w:rPr>
        <w:t xml:space="preserve">The State </w:t>
      </w:r>
      <w:r w:rsidR="00FE11E6">
        <w:rPr>
          <w:sz w:val="28"/>
          <w:szCs w:val="28"/>
        </w:rPr>
        <w:t>B</w:t>
      </w:r>
      <w:r w:rsidR="00B357A9">
        <w:rPr>
          <w:sz w:val="28"/>
          <w:szCs w:val="28"/>
        </w:rPr>
        <w:t xml:space="preserve">ar agrees that the duties of </w:t>
      </w:r>
      <w:r w:rsidR="0007124F">
        <w:rPr>
          <w:sz w:val="28"/>
          <w:szCs w:val="28"/>
        </w:rPr>
        <w:t xml:space="preserve">withdrawing defense </w:t>
      </w:r>
      <w:r w:rsidR="00B357A9">
        <w:rPr>
          <w:sz w:val="28"/>
          <w:szCs w:val="28"/>
        </w:rPr>
        <w:t xml:space="preserve">counsel should be the same </w:t>
      </w:r>
      <w:r w:rsidR="00830E43">
        <w:rPr>
          <w:sz w:val="28"/>
          <w:szCs w:val="28"/>
        </w:rPr>
        <w:t>for</w:t>
      </w:r>
      <w:r w:rsidR="00F37AED">
        <w:rPr>
          <w:sz w:val="28"/>
          <w:szCs w:val="28"/>
        </w:rPr>
        <w:t xml:space="preserve"> </w:t>
      </w:r>
      <w:r w:rsidR="00F37AED">
        <w:rPr>
          <w:sz w:val="28"/>
          <w:szCs w:val="28"/>
        </w:rPr>
        <w:lastRenderedPageBreak/>
        <w:t>pleading and non-pleading defendants because</w:t>
      </w:r>
      <w:r w:rsidR="00BA7A9D">
        <w:rPr>
          <w:sz w:val="28"/>
          <w:szCs w:val="28"/>
        </w:rPr>
        <w:t xml:space="preserve"> PCR for pleading defendants is the constitutional equivalent of a</w:t>
      </w:r>
      <w:r w:rsidR="00F05449">
        <w:rPr>
          <w:sz w:val="28"/>
          <w:szCs w:val="28"/>
        </w:rPr>
        <w:t xml:space="preserve">n </w:t>
      </w:r>
      <w:r w:rsidR="00BA7A9D">
        <w:rPr>
          <w:sz w:val="28"/>
          <w:szCs w:val="28"/>
        </w:rPr>
        <w:t xml:space="preserve">appeal for </w:t>
      </w:r>
      <w:r w:rsidR="00296C6E">
        <w:rPr>
          <w:sz w:val="28"/>
          <w:szCs w:val="28"/>
        </w:rPr>
        <w:t xml:space="preserve">non-pleading defendants. </w:t>
      </w:r>
      <w:r w:rsidR="00272717" w:rsidRPr="00272717">
        <w:rPr>
          <w:i/>
          <w:iCs/>
          <w:sz w:val="28"/>
          <w:szCs w:val="28"/>
        </w:rPr>
        <w:t>State v. Petty</w:t>
      </w:r>
      <w:r w:rsidR="00272717" w:rsidRPr="00CB31AF">
        <w:rPr>
          <w:sz w:val="28"/>
          <w:szCs w:val="28"/>
        </w:rPr>
        <w:t>, 225 Ariz. 369, 372</w:t>
      </w:r>
      <w:r w:rsidR="00272717">
        <w:rPr>
          <w:sz w:val="28"/>
          <w:szCs w:val="28"/>
        </w:rPr>
        <w:t xml:space="preserve"> ¶ 9 (</w:t>
      </w:r>
      <w:r w:rsidR="00272717" w:rsidRPr="00CB31AF">
        <w:rPr>
          <w:sz w:val="28"/>
          <w:szCs w:val="28"/>
        </w:rPr>
        <w:t>App. 2010)</w:t>
      </w:r>
      <w:r w:rsidR="00272717">
        <w:rPr>
          <w:sz w:val="28"/>
          <w:szCs w:val="28"/>
        </w:rPr>
        <w:t xml:space="preserve"> (“</w:t>
      </w:r>
      <w:r w:rsidR="00CB31AF" w:rsidRPr="00CB31AF">
        <w:rPr>
          <w:sz w:val="28"/>
          <w:szCs w:val="28"/>
        </w:rPr>
        <w:t>for a pleading defendant, Rule 3</w:t>
      </w:r>
      <w:r w:rsidR="00774AE0">
        <w:rPr>
          <w:sz w:val="28"/>
          <w:szCs w:val="28"/>
        </w:rPr>
        <w:t>2</w:t>
      </w:r>
      <w:r w:rsidR="00CB31AF" w:rsidRPr="00CB31AF">
        <w:rPr>
          <w:sz w:val="28"/>
          <w:szCs w:val="28"/>
        </w:rPr>
        <w:t xml:space="preserve"> is </w:t>
      </w:r>
      <w:r w:rsidR="00272717">
        <w:rPr>
          <w:sz w:val="28"/>
          <w:szCs w:val="28"/>
        </w:rPr>
        <w:t>‘</w:t>
      </w:r>
      <w:r w:rsidR="00CB31AF" w:rsidRPr="00CB31AF">
        <w:rPr>
          <w:sz w:val="28"/>
          <w:szCs w:val="28"/>
        </w:rPr>
        <w:t>the only means available for exercising the [defendant's] constitutional right to appellate review.”</w:t>
      </w:r>
      <w:r w:rsidR="00272717">
        <w:rPr>
          <w:sz w:val="28"/>
          <w:szCs w:val="28"/>
        </w:rPr>
        <w:t>’</w:t>
      </w:r>
      <w:r w:rsidR="00F87E29">
        <w:rPr>
          <w:sz w:val="28"/>
          <w:szCs w:val="28"/>
        </w:rPr>
        <w:t xml:space="preserve"> (</w:t>
      </w:r>
      <w:r w:rsidR="00581197">
        <w:rPr>
          <w:sz w:val="28"/>
          <w:szCs w:val="28"/>
        </w:rPr>
        <w:t xml:space="preserve">quoting </w:t>
      </w:r>
      <w:r w:rsidR="00581197" w:rsidRPr="00581197">
        <w:rPr>
          <w:i/>
          <w:iCs/>
          <w:sz w:val="28"/>
          <w:szCs w:val="28"/>
        </w:rPr>
        <w:t>Montgomery v. Sheldon</w:t>
      </w:r>
      <w:r w:rsidR="00581197" w:rsidRPr="00581197">
        <w:rPr>
          <w:sz w:val="28"/>
          <w:szCs w:val="28"/>
        </w:rPr>
        <w:t>, 181 Ariz. 256, 258 (1995)</w:t>
      </w:r>
      <w:r w:rsidR="00581197">
        <w:rPr>
          <w:sz w:val="28"/>
          <w:szCs w:val="28"/>
        </w:rPr>
        <w:t>)</w:t>
      </w:r>
      <w:r w:rsidR="00C23103">
        <w:rPr>
          <w:sz w:val="28"/>
          <w:szCs w:val="28"/>
        </w:rPr>
        <w:t>.</w:t>
      </w:r>
    </w:p>
    <w:p w14:paraId="5E99CCBC" w14:textId="1C0D9DC9" w:rsidR="0023478A" w:rsidRDefault="00C23103" w:rsidP="00721760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Second, the proposed amendments </w:t>
      </w:r>
      <w:r w:rsidR="00387F80">
        <w:rPr>
          <w:sz w:val="28"/>
          <w:szCs w:val="28"/>
        </w:rPr>
        <w:t>find support in</w:t>
      </w:r>
      <w:r>
        <w:rPr>
          <w:sz w:val="28"/>
          <w:szCs w:val="28"/>
        </w:rPr>
        <w:t xml:space="preserve"> established</w:t>
      </w:r>
      <w:r w:rsidR="005F58AD">
        <w:rPr>
          <w:sz w:val="28"/>
          <w:szCs w:val="28"/>
        </w:rPr>
        <w:t xml:space="preserve"> constitutional </w:t>
      </w:r>
      <w:r>
        <w:rPr>
          <w:sz w:val="28"/>
          <w:szCs w:val="28"/>
        </w:rPr>
        <w:t>law. In</w:t>
      </w:r>
      <w:r w:rsidR="00721760">
        <w:rPr>
          <w:sz w:val="28"/>
          <w:szCs w:val="28"/>
        </w:rPr>
        <w:t xml:space="preserve"> </w:t>
      </w:r>
      <w:r w:rsidR="00721760" w:rsidRPr="00387F80">
        <w:rPr>
          <w:i/>
          <w:iCs/>
          <w:sz w:val="28"/>
          <w:szCs w:val="28"/>
        </w:rPr>
        <w:t>Garza v. Idaho</w:t>
      </w:r>
      <w:r w:rsidR="00721760" w:rsidRPr="00721760">
        <w:rPr>
          <w:sz w:val="28"/>
          <w:szCs w:val="28"/>
        </w:rPr>
        <w:t xml:space="preserve">, </w:t>
      </w:r>
      <w:r w:rsidR="00721760">
        <w:rPr>
          <w:sz w:val="28"/>
          <w:szCs w:val="28"/>
        </w:rPr>
        <w:t xml:space="preserve">the U.S. Supreme Court held that defense counsel </w:t>
      </w:r>
      <w:r w:rsidR="00387F80">
        <w:rPr>
          <w:sz w:val="28"/>
          <w:szCs w:val="28"/>
        </w:rPr>
        <w:t xml:space="preserve">performs deficiently, and presumptively prejudices a pleading defendant, by failing to file a notice of appeal upon request. </w:t>
      </w:r>
      <w:r w:rsidR="00721760" w:rsidRPr="00721760">
        <w:rPr>
          <w:sz w:val="28"/>
          <w:szCs w:val="28"/>
        </w:rPr>
        <w:t>586 U.S. 232, 247 (2019)</w:t>
      </w:r>
      <w:r w:rsidR="00387F80">
        <w:rPr>
          <w:sz w:val="28"/>
          <w:szCs w:val="28"/>
        </w:rPr>
        <w:t xml:space="preserve">. </w:t>
      </w:r>
      <w:r w:rsidR="001B6687">
        <w:rPr>
          <w:sz w:val="28"/>
          <w:szCs w:val="28"/>
        </w:rPr>
        <w:t xml:space="preserve">Thus, imposing a duty on withdrawing defense counsel to file a notice of </w:t>
      </w:r>
      <w:r w:rsidR="00C047CF">
        <w:rPr>
          <w:sz w:val="28"/>
          <w:szCs w:val="28"/>
        </w:rPr>
        <w:t>PCR</w:t>
      </w:r>
      <w:r w:rsidR="006970DA">
        <w:rPr>
          <w:sz w:val="28"/>
          <w:szCs w:val="28"/>
        </w:rPr>
        <w:t>—</w:t>
      </w:r>
      <w:r w:rsidR="00C047CF">
        <w:rPr>
          <w:sz w:val="28"/>
          <w:szCs w:val="28"/>
        </w:rPr>
        <w:t>the Arizona equivalent of a notice of appeal for pleading defendants</w:t>
      </w:r>
      <w:r w:rsidR="006970DA">
        <w:rPr>
          <w:sz w:val="28"/>
          <w:szCs w:val="28"/>
        </w:rPr>
        <w:t>—</w:t>
      </w:r>
      <w:r w:rsidR="00EF38BF">
        <w:rPr>
          <w:sz w:val="28"/>
          <w:szCs w:val="28"/>
        </w:rPr>
        <w:t xml:space="preserve">if desired by their </w:t>
      </w:r>
      <w:r w:rsidR="006E7BD6">
        <w:rPr>
          <w:sz w:val="28"/>
          <w:szCs w:val="28"/>
        </w:rPr>
        <w:t xml:space="preserve">pleading </w:t>
      </w:r>
      <w:r w:rsidR="00EF38BF">
        <w:rPr>
          <w:sz w:val="28"/>
          <w:szCs w:val="28"/>
        </w:rPr>
        <w:t xml:space="preserve">clients </w:t>
      </w:r>
      <w:r w:rsidR="00C047CF">
        <w:rPr>
          <w:sz w:val="28"/>
          <w:szCs w:val="28"/>
        </w:rPr>
        <w:t xml:space="preserve">would </w:t>
      </w:r>
      <w:r w:rsidR="00F45ECE">
        <w:rPr>
          <w:sz w:val="28"/>
          <w:szCs w:val="28"/>
        </w:rPr>
        <w:t>help ensure constitutionally effective performance</w:t>
      </w:r>
      <w:r w:rsidR="0023478A">
        <w:rPr>
          <w:sz w:val="28"/>
          <w:szCs w:val="28"/>
        </w:rPr>
        <w:t>.</w:t>
      </w:r>
    </w:p>
    <w:p w14:paraId="4D45640F" w14:textId="4FF48146" w:rsidR="00C62B3F" w:rsidRDefault="002A4D11" w:rsidP="00554FA1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Third</w:t>
      </w:r>
      <w:r w:rsidR="0023478A">
        <w:rPr>
          <w:sz w:val="28"/>
          <w:szCs w:val="28"/>
        </w:rPr>
        <w:t xml:space="preserve">, although some members expressed </w:t>
      </w:r>
      <w:r w:rsidR="00C76230">
        <w:rPr>
          <w:sz w:val="28"/>
          <w:szCs w:val="28"/>
        </w:rPr>
        <w:t xml:space="preserve">concern that the proposed amendments would impose </w:t>
      </w:r>
      <w:r w:rsidR="008C60A0">
        <w:rPr>
          <w:sz w:val="28"/>
          <w:szCs w:val="28"/>
        </w:rPr>
        <w:t xml:space="preserve">costly </w:t>
      </w:r>
      <w:r w:rsidR="00C76230">
        <w:rPr>
          <w:sz w:val="28"/>
          <w:szCs w:val="28"/>
        </w:rPr>
        <w:t>new burdens on defense counsel</w:t>
      </w:r>
      <w:r w:rsidR="008C60A0">
        <w:rPr>
          <w:sz w:val="28"/>
          <w:szCs w:val="28"/>
        </w:rPr>
        <w:t xml:space="preserve">, the majority determined these burdens </w:t>
      </w:r>
      <w:r w:rsidR="004D035E">
        <w:rPr>
          <w:sz w:val="28"/>
          <w:szCs w:val="28"/>
        </w:rPr>
        <w:t>would</w:t>
      </w:r>
      <w:r w:rsidR="008C60A0">
        <w:rPr>
          <w:sz w:val="28"/>
          <w:szCs w:val="28"/>
        </w:rPr>
        <w:t xml:space="preserve"> ultimately </w:t>
      </w:r>
      <w:r w:rsidR="004D035E">
        <w:rPr>
          <w:sz w:val="28"/>
          <w:szCs w:val="28"/>
        </w:rPr>
        <w:t xml:space="preserve">be </w:t>
      </w:r>
      <w:r w:rsidR="008C60A0">
        <w:rPr>
          <w:sz w:val="28"/>
          <w:szCs w:val="28"/>
        </w:rPr>
        <w:t>minimal and otherwise justified.</w:t>
      </w:r>
      <w:r w:rsidR="0038548A">
        <w:rPr>
          <w:sz w:val="28"/>
          <w:szCs w:val="28"/>
        </w:rPr>
        <w:t xml:space="preserve"> </w:t>
      </w:r>
      <w:r w:rsidR="002906C3">
        <w:rPr>
          <w:sz w:val="28"/>
          <w:szCs w:val="28"/>
        </w:rPr>
        <w:t>The p</w:t>
      </w:r>
      <w:r w:rsidR="00695E0C">
        <w:rPr>
          <w:sz w:val="28"/>
          <w:szCs w:val="28"/>
        </w:rPr>
        <w:t xml:space="preserve">roposed amendments require what will </w:t>
      </w:r>
      <w:r w:rsidR="004D035E">
        <w:rPr>
          <w:sz w:val="28"/>
          <w:szCs w:val="28"/>
        </w:rPr>
        <w:t>likely</w:t>
      </w:r>
      <w:r w:rsidR="00695E0C">
        <w:rPr>
          <w:sz w:val="28"/>
          <w:szCs w:val="28"/>
        </w:rPr>
        <w:t xml:space="preserve"> be </w:t>
      </w:r>
      <w:r w:rsidR="00936D85">
        <w:rPr>
          <w:sz w:val="28"/>
          <w:szCs w:val="28"/>
        </w:rPr>
        <w:t>a relatively</w:t>
      </w:r>
      <w:r w:rsidR="00695E0C">
        <w:rPr>
          <w:sz w:val="28"/>
          <w:szCs w:val="28"/>
        </w:rPr>
        <w:t xml:space="preserve"> short consultation and </w:t>
      </w:r>
      <w:r w:rsidR="006C3028">
        <w:rPr>
          <w:sz w:val="28"/>
          <w:szCs w:val="28"/>
        </w:rPr>
        <w:t xml:space="preserve">the </w:t>
      </w:r>
      <w:r w:rsidR="00854844">
        <w:rPr>
          <w:sz w:val="28"/>
          <w:szCs w:val="28"/>
        </w:rPr>
        <w:t xml:space="preserve">filing of a </w:t>
      </w:r>
      <w:r w:rsidR="008F075E">
        <w:rPr>
          <w:sz w:val="28"/>
          <w:szCs w:val="28"/>
        </w:rPr>
        <w:t>short</w:t>
      </w:r>
      <w:r w:rsidR="00854844">
        <w:rPr>
          <w:sz w:val="28"/>
          <w:szCs w:val="28"/>
        </w:rPr>
        <w:t xml:space="preserve"> form </w:t>
      </w:r>
      <w:r w:rsidR="00936D85">
        <w:rPr>
          <w:sz w:val="28"/>
          <w:szCs w:val="28"/>
        </w:rPr>
        <w:t>pleading</w:t>
      </w:r>
      <w:r w:rsidR="00854844">
        <w:rPr>
          <w:sz w:val="28"/>
          <w:szCs w:val="28"/>
        </w:rPr>
        <w:t xml:space="preserve">. </w:t>
      </w:r>
      <w:r w:rsidR="008F075E">
        <w:rPr>
          <w:sz w:val="28"/>
          <w:szCs w:val="28"/>
        </w:rPr>
        <w:t>And</w:t>
      </w:r>
      <w:r w:rsidR="00854844">
        <w:rPr>
          <w:sz w:val="28"/>
          <w:szCs w:val="28"/>
        </w:rPr>
        <w:t xml:space="preserve">, as discussed above, </w:t>
      </w:r>
      <w:r w:rsidR="00C62B3F">
        <w:rPr>
          <w:sz w:val="28"/>
          <w:szCs w:val="28"/>
        </w:rPr>
        <w:t xml:space="preserve">counsel is already required to file </w:t>
      </w:r>
      <w:r w:rsidR="00F0566A">
        <w:rPr>
          <w:sz w:val="28"/>
          <w:szCs w:val="28"/>
        </w:rPr>
        <w:t>a</w:t>
      </w:r>
      <w:r w:rsidR="00C62B3F">
        <w:rPr>
          <w:sz w:val="28"/>
          <w:szCs w:val="28"/>
        </w:rPr>
        <w:t xml:space="preserve"> notice </w:t>
      </w:r>
      <w:r w:rsidR="00F0566A">
        <w:rPr>
          <w:sz w:val="28"/>
          <w:szCs w:val="28"/>
        </w:rPr>
        <w:t xml:space="preserve">of </w:t>
      </w:r>
      <w:r w:rsidR="00144BDA">
        <w:rPr>
          <w:sz w:val="28"/>
          <w:szCs w:val="28"/>
        </w:rPr>
        <w:t xml:space="preserve">appeal </w:t>
      </w:r>
      <w:r w:rsidR="00C62B3F">
        <w:rPr>
          <w:sz w:val="28"/>
          <w:szCs w:val="28"/>
        </w:rPr>
        <w:t>upon the defendant’s request</w:t>
      </w:r>
      <w:r w:rsidR="00F0566A">
        <w:rPr>
          <w:sz w:val="28"/>
          <w:szCs w:val="28"/>
        </w:rPr>
        <w:t xml:space="preserve"> under </w:t>
      </w:r>
      <w:r w:rsidR="00F0566A" w:rsidRPr="00F0566A">
        <w:rPr>
          <w:i/>
          <w:iCs/>
          <w:sz w:val="28"/>
          <w:szCs w:val="28"/>
        </w:rPr>
        <w:t>Garza</w:t>
      </w:r>
      <w:r w:rsidR="00C62B3F">
        <w:rPr>
          <w:sz w:val="28"/>
          <w:szCs w:val="28"/>
        </w:rPr>
        <w:t>.</w:t>
      </w:r>
    </w:p>
    <w:p w14:paraId="31A14382" w14:textId="37A5107B" w:rsidR="006C3028" w:rsidRDefault="008F075E" w:rsidP="00A24990">
      <w:pPr>
        <w:pStyle w:val="FootnoteText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Further,</w:t>
      </w:r>
      <w:r w:rsidR="006C3028">
        <w:rPr>
          <w:sz w:val="28"/>
          <w:szCs w:val="28"/>
        </w:rPr>
        <w:t xml:space="preserve"> a</w:t>
      </w:r>
      <w:r w:rsidR="006C3028" w:rsidRPr="00FC251B">
        <w:rPr>
          <w:sz w:val="28"/>
          <w:szCs w:val="28"/>
        </w:rPr>
        <w:t>lthough</w:t>
      </w:r>
      <w:r w:rsidR="006C3028">
        <w:rPr>
          <w:sz w:val="28"/>
          <w:szCs w:val="28"/>
        </w:rPr>
        <w:t xml:space="preserve"> the form PCR notice requires indicating </w:t>
      </w:r>
      <w:r>
        <w:rPr>
          <w:sz w:val="28"/>
          <w:szCs w:val="28"/>
        </w:rPr>
        <w:t>what</w:t>
      </w:r>
      <w:r w:rsidR="003F68ED">
        <w:rPr>
          <w:sz w:val="28"/>
          <w:szCs w:val="28"/>
        </w:rPr>
        <w:t xml:space="preserve"> grounds the defendant is seeking relief</w:t>
      </w:r>
      <w:r>
        <w:rPr>
          <w:sz w:val="28"/>
          <w:szCs w:val="28"/>
        </w:rPr>
        <w:t xml:space="preserve"> under</w:t>
      </w:r>
      <w:r w:rsidR="003F68ED">
        <w:rPr>
          <w:sz w:val="28"/>
          <w:szCs w:val="28"/>
        </w:rPr>
        <w:t xml:space="preserve">, </w:t>
      </w:r>
      <w:r w:rsidR="006C3028">
        <w:rPr>
          <w:sz w:val="28"/>
          <w:szCs w:val="28"/>
        </w:rPr>
        <w:t xml:space="preserve">the State Bar anticipates that practitioners will </w:t>
      </w:r>
      <w:r w:rsidR="006C3028">
        <w:rPr>
          <w:sz w:val="28"/>
          <w:szCs w:val="28"/>
        </w:rPr>
        <w:lastRenderedPageBreak/>
        <w:t xml:space="preserve">simply indicate all </w:t>
      </w:r>
      <w:r>
        <w:rPr>
          <w:sz w:val="28"/>
          <w:szCs w:val="28"/>
        </w:rPr>
        <w:t xml:space="preserve">possible </w:t>
      </w:r>
      <w:r w:rsidR="00123E30">
        <w:rPr>
          <w:sz w:val="28"/>
          <w:szCs w:val="28"/>
        </w:rPr>
        <w:t>grounds</w:t>
      </w:r>
      <w:r w:rsidR="006C3028">
        <w:rPr>
          <w:sz w:val="28"/>
          <w:szCs w:val="28"/>
        </w:rPr>
        <w:t>. Importantly, this requirement</w:t>
      </w:r>
      <w:r w:rsidR="003A3DB2">
        <w:rPr>
          <w:sz w:val="28"/>
          <w:szCs w:val="28"/>
        </w:rPr>
        <w:t>, particularly in a first PCR notice,</w:t>
      </w:r>
      <w:r w:rsidR="006C3028">
        <w:rPr>
          <w:sz w:val="28"/>
          <w:szCs w:val="28"/>
        </w:rPr>
        <w:t xml:space="preserve"> does not affect what claims PCR counsel can </w:t>
      </w:r>
      <w:r w:rsidR="00E322C1">
        <w:rPr>
          <w:sz w:val="28"/>
          <w:szCs w:val="28"/>
        </w:rPr>
        <w:t xml:space="preserve">ultimately </w:t>
      </w:r>
      <w:r w:rsidR="006C3028">
        <w:rPr>
          <w:sz w:val="28"/>
          <w:szCs w:val="28"/>
        </w:rPr>
        <w:t>raise in the</w:t>
      </w:r>
      <w:r w:rsidR="00F0566A">
        <w:rPr>
          <w:sz w:val="28"/>
          <w:szCs w:val="28"/>
        </w:rPr>
        <w:t xml:space="preserve"> final</w:t>
      </w:r>
      <w:r w:rsidR="006C3028">
        <w:rPr>
          <w:sz w:val="28"/>
          <w:szCs w:val="28"/>
        </w:rPr>
        <w:t xml:space="preserve"> PCR petition. </w:t>
      </w:r>
      <w:r w:rsidR="006C3028" w:rsidRPr="00490EBF">
        <w:rPr>
          <w:i/>
          <w:iCs/>
          <w:sz w:val="28"/>
          <w:szCs w:val="28"/>
        </w:rPr>
        <w:t>See State v. Pruett</w:t>
      </w:r>
      <w:r w:rsidR="006C3028" w:rsidRPr="00490EBF">
        <w:rPr>
          <w:sz w:val="28"/>
          <w:szCs w:val="28"/>
        </w:rPr>
        <w:t>, 185 Ariz. 128, 132</w:t>
      </w:r>
      <w:r w:rsidR="006C3028">
        <w:rPr>
          <w:sz w:val="28"/>
          <w:szCs w:val="28"/>
        </w:rPr>
        <w:t xml:space="preserve"> (</w:t>
      </w:r>
      <w:r w:rsidR="006C3028" w:rsidRPr="00490EBF">
        <w:rPr>
          <w:sz w:val="28"/>
          <w:szCs w:val="28"/>
        </w:rPr>
        <w:t>App. 1995)</w:t>
      </w:r>
      <w:r w:rsidR="006C3028">
        <w:rPr>
          <w:sz w:val="28"/>
          <w:szCs w:val="28"/>
        </w:rPr>
        <w:t xml:space="preserve"> (“</w:t>
      </w:r>
      <w:r w:rsidR="006C3028" w:rsidRPr="002A4D11">
        <w:rPr>
          <w:sz w:val="28"/>
          <w:szCs w:val="28"/>
        </w:rPr>
        <w:t>Not until the subsequent petition</w:t>
      </w:r>
      <w:r w:rsidR="006C3028">
        <w:rPr>
          <w:sz w:val="28"/>
          <w:szCs w:val="28"/>
        </w:rPr>
        <w:t xml:space="preserve"> . . . </w:t>
      </w:r>
      <w:r w:rsidR="006C3028" w:rsidRPr="002A4D11">
        <w:rPr>
          <w:sz w:val="28"/>
          <w:szCs w:val="28"/>
        </w:rPr>
        <w:t>must a petitioner identify his particular claims for relief.</w:t>
      </w:r>
      <w:r w:rsidR="006C3028">
        <w:rPr>
          <w:sz w:val="28"/>
          <w:szCs w:val="28"/>
        </w:rPr>
        <w:t xml:space="preserve">”); </w:t>
      </w:r>
      <w:r w:rsidR="006C3028" w:rsidRPr="004E6C12">
        <w:rPr>
          <w:i/>
          <w:iCs/>
          <w:sz w:val="28"/>
          <w:szCs w:val="28"/>
        </w:rPr>
        <w:t>State v. Kerl</w:t>
      </w:r>
      <w:r w:rsidR="006C3028" w:rsidRPr="004E6C12">
        <w:rPr>
          <w:sz w:val="28"/>
          <w:szCs w:val="28"/>
        </w:rPr>
        <w:t>, No. 1 CA-CR 23-0129 PRPC, 2023 WL 8826599, at *2 (Ariz. App. Dec. 21, 2023)</w:t>
      </w:r>
      <w:r w:rsidR="006C3028">
        <w:rPr>
          <w:sz w:val="28"/>
          <w:szCs w:val="28"/>
        </w:rPr>
        <w:t xml:space="preserve"> (“</w:t>
      </w:r>
      <w:r w:rsidR="006C3028" w:rsidRPr="000100B0">
        <w:rPr>
          <w:sz w:val="28"/>
          <w:szCs w:val="28"/>
        </w:rPr>
        <w:t>Rule 32 neither permits nor prohibits a defendant from raising claims in the petition that are different from those raised in the notice.</w:t>
      </w:r>
      <w:r w:rsidR="006C3028">
        <w:rPr>
          <w:sz w:val="28"/>
          <w:szCs w:val="28"/>
        </w:rPr>
        <w:t>”).</w:t>
      </w:r>
      <w:r w:rsidR="006C3028" w:rsidRPr="00490EBF">
        <w:rPr>
          <w:sz w:val="28"/>
          <w:szCs w:val="28"/>
        </w:rPr>
        <w:t xml:space="preserve"> </w:t>
      </w:r>
      <w:r w:rsidR="006C3028">
        <w:rPr>
          <w:sz w:val="28"/>
          <w:szCs w:val="28"/>
        </w:rPr>
        <w:t>Thus, in filing the notice</w:t>
      </w:r>
      <w:r w:rsidR="003A3DB2">
        <w:rPr>
          <w:sz w:val="28"/>
          <w:szCs w:val="28"/>
        </w:rPr>
        <w:t xml:space="preserve"> </w:t>
      </w:r>
      <w:r w:rsidR="0083305C">
        <w:rPr>
          <w:sz w:val="28"/>
          <w:szCs w:val="28"/>
        </w:rPr>
        <w:t>required by</w:t>
      </w:r>
      <w:r w:rsidR="00123E30">
        <w:rPr>
          <w:sz w:val="28"/>
          <w:szCs w:val="28"/>
        </w:rPr>
        <w:t xml:space="preserve"> the proposed amendments</w:t>
      </w:r>
      <w:r w:rsidR="006C3028">
        <w:rPr>
          <w:sz w:val="28"/>
          <w:szCs w:val="28"/>
        </w:rPr>
        <w:t xml:space="preserve">, trial counsel </w:t>
      </w:r>
      <w:r w:rsidR="0083305C">
        <w:rPr>
          <w:sz w:val="28"/>
          <w:szCs w:val="28"/>
        </w:rPr>
        <w:t>would</w:t>
      </w:r>
      <w:r w:rsidR="006C3028">
        <w:rPr>
          <w:sz w:val="28"/>
          <w:szCs w:val="28"/>
        </w:rPr>
        <w:t xml:space="preserve"> not </w:t>
      </w:r>
      <w:r w:rsidR="0083305C">
        <w:rPr>
          <w:sz w:val="28"/>
          <w:szCs w:val="28"/>
        </w:rPr>
        <w:t xml:space="preserve">be </w:t>
      </w:r>
      <w:r w:rsidR="006C3028">
        <w:rPr>
          <w:sz w:val="28"/>
          <w:szCs w:val="28"/>
        </w:rPr>
        <w:t>tasked with the burden of identifying</w:t>
      </w:r>
      <w:r w:rsidR="0083305C">
        <w:rPr>
          <w:sz w:val="28"/>
          <w:szCs w:val="28"/>
        </w:rPr>
        <w:t>, researching, and developing</w:t>
      </w:r>
      <w:r w:rsidR="006C3028">
        <w:rPr>
          <w:sz w:val="28"/>
          <w:szCs w:val="28"/>
        </w:rPr>
        <w:t xml:space="preserve"> the </w:t>
      </w:r>
      <w:r w:rsidR="00314436">
        <w:rPr>
          <w:sz w:val="28"/>
          <w:szCs w:val="28"/>
        </w:rPr>
        <w:t xml:space="preserve">precise, </w:t>
      </w:r>
      <w:r w:rsidR="006C3028">
        <w:rPr>
          <w:sz w:val="28"/>
          <w:szCs w:val="28"/>
        </w:rPr>
        <w:t xml:space="preserve">final PCR claims </w:t>
      </w:r>
      <w:r w:rsidR="00B5543C">
        <w:rPr>
          <w:sz w:val="28"/>
          <w:szCs w:val="28"/>
        </w:rPr>
        <w:t xml:space="preserve">that will be </w:t>
      </w:r>
      <w:r w:rsidR="00314436">
        <w:rPr>
          <w:sz w:val="28"/>
          <w:szCs w:val="28"/>
        </w:rPr>
        <w:t xml:space="preserve">raised in the petition </w:t>
      </w:r>
      <w:r w:rsidR="006C3028">
        <w:rPr>
          <w:sz w:val="28"/>
          <w:szCs w:val="28"/>
        </w:rPr>
        <w:t xml:space="preserve">and can simply indicate that all possible claims </w:t>
      </w:r>
      <w:r w:rsidR="00E322C1">
        <w:rPr>
          <w:sz w:val="28"/>
          <w:szCs w:val="28"/>
        </w:rPr>
        <w:t>may</w:t>
      </w:r>
      <w:r w:rsidR="006C3028">
        <w:rPr>
          <w:sz w:val="28"/>
          <w:szCs w:val="28"/>
        </w:rPr>
        <w:t xml:space="preserve"> be raised in the petition. </w:t>
      </w:r>
    </w:p>
    <w:p w14:paraId="7AF3DFC2" w14:textId="725BD09E" w:rsidR="007F65B7" w:rsidRPr="00770B74" w:rsidRDefault="00123E30" w:rsidP="00770B74">
      <w:pPr>
        <w:pStyle w:val="Body"/>
        <w:widowControl w:val="0"/>
        <w:spacing w:line="480" w:lineRule="auto"/>
        <w:ind w:firstLine="720"/>
        <w:jc w:val="both"/>
        <w:rPr>
          <w:rStyle w:val="BodyTextChar"/>
          <w:sz w:val="28"/>
          <w:szCs w:val="28"/>
        </w:rPr>
      </w:pPr>
      <w:r>
        <w:rPr>
          <w:sz w:val="28"/>
          <w:szCs w:val="28"/>
        </w:rPr>
        <w:t>As a final note</w:t>
      </w:r>
      <w:r w:rsidR="006C3028">
        <w:rPr>
          <w:sz w:val="28"/>
          <w:szCs w:val="28"/>
        </w:rPr>
        <w:t xml:space="preserve">, the State </w:t>
      </w:r>
      <w:r w:rsidR="00FE11E6">
        <w:rPr>
          <w:sz w:val="28"/>
          <w:szCs w:val="28"/>
        </w:rPr>
        <w:t>B</w:t>
      </w:r>
      <w:r w:rsidR="006C3028">
        <w:rPr>
          <w:sz w:val="28"/>
          <w:szCs w:val="28"/>
        </w:rPr>
        <w:t>ar does not believe that</w:t>
      </w:r>
      <w:r w:rsidR="006C3028" w:rsidRPr="005A0ADE">
        <w:rPr>
          <w:sz w:val="28"/>
          <w:szCs w:val="28"/>
        </w:rPr>
        <w:t xml:space="preserve"> </w:t>
      </w:r>
      <w:r w:rsidR="006C3028">
        <w:rPr>
          <w:sz w:val="28"/>
          <w:szCs w:val="28"/>
        </w:rPr>
        <w:t>an ethical issue arise</w:t>
      </w:r>
      <w:r w:rsidR="007D57AF">
        <w:rPr>
          <w:sz w:val="28"/>
          <w:szCs w:val="28"/>
        </w:rPr>
        <w:t>s</w:t>
      </w:r>
      <w:r w:rsidR="006C3028">
        <w:rPr>
          <w:sz w:val="28"/>
          <w:szCs w:val="28"/>
        </w:rPr>
        <w:t xml:space="preserve"> if trial counsel indicate</w:t>
      </w:r>
      <w:r w:rsidR="00FF620B">
        <w:rPr>
          <w:sz w:val="28"/>
          <w:szCs w:val="28"/>
        </w:rPr>
        <w:t>s</w:t>
      </w:r>
      <w:r w:rsidR="006C3028">
        <w:rPr>
          <w:sz w:val="28"/>
          <w:szCs w:val="28"/>
        </w:rPr>
        <w:t xml:space="preserve"> in the notice that their client intends to raise an ineffective assistance of counsel (“IAC”) claim. This is because the requirement to indicate whether an IAC claim will be raised </w:t>
      </w:r>
      <w:r w:rsidR="007D57AF">
        <w:rPr>
          <w:sz w:val="28"/>
          <w:szCs w:val="28"/>
        </w:rPr>
        <w:t>merely</w:t>
      </w:r>
      <w:r w:rsidR="006C3028">
        <w:rPr>
          <w:sz w:val="28"/>
          <w:szCs w:val="28"/>
        </w:rPr>
        <w:t xml:space="preserve"> function</w:t>
      </w:r>
      <w:r w:rsidR="007D57AF">
        <w:rPr>
          <w:sz w:val="28"/>
          <w:szCs w:val="28"/>
        </w:rPr>
        <w:t>s</w:t>
      </w:r>
      <w:r w:rsidR="006C3028">
        <w:rPr>
          <w:sz w:val="28"/>
          <w:szCs w:val="28"/>
        </w:rPr>
        <w:t xml:space="preserve"> as an alert to the trial court to appoint PCR counsel in a</w:t>
      </w:r>
      <w:r w:rsidR="00F63A12">
        <w:rPr>
          <w:sz w:val="28"/>
          <w:szCs w:val="28"/>
        </w:rPr>
        <w:t>n</w:t>
      </w:r>
      <w:r w:rsidR="006C3028">
        <w:rPr>
          <w:sz w:val="28"/>
          <w:szCs w:val="28"/>
        </w:rPr>
        <w:t xml:space="preserve"> office </w:t>
      </w:r>
      <w:r w:rsidR="00F63A12">
        <w:rPr>
          <w:sz w:val="28"/>
          <w:szCs w:val="28"/>
        </w:rPr>
        <w:t>different</w:t>
      </w:r>
      <w:r w:rsidR="006C3028">
        <w:rPr>
          <w:sz w:val="28"/>
          <w:szCs w:val="28"/>
        </w:rPr>
        <w:t xml:space="preserve"> </w:t>
      </w:r>
      <w:r w:rsidR="00F63A12">
        <w:rPr>
          <w:sz w:val="28"/>
          <w:szCs w:val="28"/>
        </w:rPr>
        <w:t xml:space="preserve">from that of </w:t>
      </w:r>
      <w:r w:rsidR="006C3028">
        <w:rPr>
          <w:sz w:val="28"/>
          <w:szCs w:val="28"/>
        </w:rPr>
        <w:t xml:space="preserve">trial counsel </w:t>
      </w:r>
      <w:r w:rsidR="00144BDA">
        <w:rPr>
          <w:sz w:val="28"/>
          <w:szCs w:val="28"/>
        </w:rPr>
        <w:t>to</w:t>
      </w:r>
      <w:r w:rsidR="006C3028">
        <w:rPr>
          <w:sz w:val="28"/>
          <w:szCs w:val="28"/>
        </w:rPr>
        <w:t xml:space="preserve"> avoid a conflict</w:t>
      </w:r>
      <w:r w:rsidR="00F63A12">
        <w:rPr>
          <w:sz w:val="28"/>
          <w:szCs w:val="28"/>
        </w:rPr>
        <w:t xml:space="preserve"> of interest</w:t>
      </w:r>
      <w:r w:rsidR="006C3028">
        <w:rPr>
          <w:sz w:val="28"/>
          <w:szCs w:val="28"/>
        </w:rPr>
        <w:t xml:space="preserve">. </w:t>
      </w:r>
      <w:r w:rsidR="006C3028" w:rsidRPr="005F566E">
        <w:rPr>
          <w:i/>
          <w:iCs/>
          <w:sz w:val="28"/>
          <w:szCs w:val="28"/>
        </w:rPr>
        <w:t>See State v. Rosales</w:t>
      </w:r>
      <w:r w:rsidR="006C3028" w:rsidRPr="005F566E">
        <w:rPr>
          <w:sz w:val="28"/>
          <w:szCs w:val="28"/>
        </w:rPr>
        <w:t>, 205 Ariz. 86, 89</w:t>
      </w:r>
      <w:r w:rsidR="006C3028">
        <w:rPr>
          <w:sz w:val="28"/>
          <w:szCs w:val="28"/>
        </w:rPr>
        <w:t xml:space="preserve"> ¶ 9 (</w:t>
      </w:r>
      <w:r w:rsidR="006C3028" w:rsidRPr="005F566E">
        <w:rPr>
          <w:sz w:val="28"/>
          <w:szCs w:val="28"/>
        </w:rPr>
        <w:t>App. 2003)</w:t>
      </w:r>
      <w:r w:rsidR="006C3028">
        <w:rPr>
          <w:sz w:val="28"/>
          <w:szCs w:val="28"/>
        </w:rPr>
        <w:t xml:space="preserve"> (“</w:t>
      </w:r>
      <w:r w:rsidR="006C3028" w:rsidRPr="00E279CF">
        <w:rPr>
          <w:sz w:val="28"/>
          <w:szCs w:val="28"/>
        </w:rPr>
        <w:t xml:space="preserve">we understand </w:t>
      </w:r>
      <w:r w:rsidR="006C3028">
        <w:rPr>
          <w:sz w:val="28"/>
          <w:szCs w:val="28"/>
        </w:rPr>
        <w:t>[the IAC]</w:t>
      </w:r>
      <w:r w:rsidR="006C3028" w:rsidRPr="00E279CF">
        <w:rPr>
          <w:sz w:val="28"/>
          <w:szCs w:val="28"/>
        </w:rPr>
        <w:t xml:space="preserve"> allegation </w:t>
      </w:r>
      <w:r w:rsidR="006C3028">
        <w:rPr>
          <w:sz w:val="28"/>
          <w:szCs w:val="28"/>
        </w:rPr>
        <w:t xml:space="preserve">[in the notice] </w:t>
      </w:r>
      <w:r w:rsidR="006C3028" w:rsidRPr="00E279CF">
        <w:rPr>
          <w:sz w:val="28"/>
          <w:szCs w:val="28"/>
        </w:rPr>
        <w:t>to have been made only in support of appellate counsel's request that different Rule 32 counsel be appointed to avoid any potential conflict of interest</w:t>
      </w:r>
      <w:r w:rsidR="006C3028">
        <w:rPr>
          <w:sz w:val="28"/>
          <w:szCs w:val="28"/>
        </w:rPr>
        <w:t>”).</w:t>
      </w:r>
    </w:p>
    <w:p w14:paraId="74CBABD8" w14:textId="1DA5C143" w:rsidR="000C48A9" w:rsidRPr="006F63FD" w:rsidRDefault="007A3F0F" w:rsidP="006766BF">
      <w:pPr>
        <w:pStyle w:val="Body"/>
        <w:widowControl w:val="0"/>
        <w:spacing w:line="480" w:lineRule="auto"/>
        <w:ind w:firstLine="0"/>
        <w:jc w:val="center"/>
        <w:rPr>
          <w:rStyle w:val="BodyTextChar"/>
          <w:b/>
          <w:sz w:val="28"/>
          <w:szCs w:val="28"/>
        </w:rPr>
      </w:pPr>
      <w:r w:rsidRPr="006F63FD">
        <w:rPr>
          <w:rStyle w:val="BodyTextChar"/>
          <w:b/>
          <w:sz w:val="28"/>
          <w:szCs w:val="28"/>
        </w:rPr>
        <w:lastRenderedPageBreak/>
        <w:t>CONCLUSION</w:t>
      </w:r>
    </w:p>
    <w:p w14:paraId="5D02FE20" w14:textId="7A7012FE" w:rsidR="000F7A7F" w:rsidRDefault="000C48A9" w:rsidP="00C62B3F">
      <w:pPr>
        <w:pStyle w:val="Body"/>
        <w:widowControl w:val="0"/>
        <w:tabs>
          <w:tab w:val="left" w:pos="720"/>
        </w:tabs>
        <w:spacing w:line="480" w:lineRule="auto"/>
        <w:ind w:firstLine="0"/>
        <w:jc w:val="both"/>
        <w:rPr>
          <w:sz w:val="28"/>
          <w:szCs w:val="28"/>
        </w:rPr>
      </w:pPr>
      <w:r w:rsidRPr="006F63FD">
        <w:rPr>
          <w:sz w:val="28"/>
          <w:szCs w:val="28"/>
        </w:rPr>
        <w:tab/>
      </w:r>
      <w:r w:rsidR="000F7C13" w:rsidRPr="006F63FD">
        <w:rPr>
          <w:sz w:val="28"/>
          <w:szCs w:val="28"/>
        </w:rPr>
        <w:t>The State Bar</w:t>
      </w:r>
      <w:r w:rsidR="00735659">
        <w:rPr>
          <w:sz w:val="28"/>
          <w:szCs w:val="28"/>
        </w:rPr>
        <w:t xml:space="preserve"> </w:t>
      </w:r>
      <w:r w:rsidR="000F7C13" w:rsidRPr="006F63FD">
        <w:rPr>
          <w:sz w:val="28"/>
          <w:szCs w:val="28"/>
        </w:rPr>
        <w:t xml:space="preserve">respectfully requests that </w:t>
      </w:r>
      <w:r w:rsidR="00C62B3F">
        <w:rPr>
          <w:sz w:val="28"/>
          <w:szCs w:val="28"/>
        </w:rPr>
        <w:t xml:space="preserve">the Court adopt the proposed </w:t>
      </w:r>
      <w:r w:rsidR="005B3511">
        <w:rPr>
          <w:sz w:val="28"/>
          <w:szCs w:val="28"/>
        </w:rPr>
        <w:t>amendments</w:t>
      </w:r>
      <w:r w:rsidR="00C62B3F">
        <w:rPr>
          <w:sz w:val="28"/>
          <w:szCs w:val="28"/>
        </w:rPr>
        <w:t xml:space="preserve"> </w:t>
      </w:r>
      <w:r w:rsidR="00144BDA">
        <w:rPr>
          <w:sz w:val="28"/>
          <w:szCs w:val="28"/>
        </w:rPr>
        <w:t xml:space="preserve">set forth in the Petition because </w:t>
      </w:r>
      <w:r w:rsidR="00C62B3F">
        <w:rPr>
          <w:sz w:val="28"/>
          <w:szCs w:val="28"/>
        </w:rPr>
        <w:t xml:space="preserve">they promote fairness, advance established constitutional law, and impose a minimal burden on criminal defense practitioners. </w:t>
      </w:r>
    </w:p>
    <w:p w14:paraId="7930316D" w14:textId="77777777" w:rsidR="002D06B5" w:rsidRPr="001B0910" w:rsidRDefault="002D06B5" w:rsidP="002D06B5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 w:rsidRPr="001B0910">
        <w:rPr>
          <w:sz w:val="28"/>
          <w:szCs w:val="28"/>
        </w:rPr>
        <w:t xml:space="preserve">       RESPECTFULLY SUBMITTED this </w:t>
      </w:r>
      <w:r w:rsidRPr="007728BD">
        <w:rPr>
          <w:sz w:val="28"/>
          <w:szCs w:val="28"/>
          <w:u w:val="single"/>
        </w:rPr>
        <w:t>1</w:t>
      </w:r>
      <w:r w:rsidRPr="007728BD">
        <w:rPr>
          <w:sz w:val="28"/>
          <w:szCs w:val="28"/>
          <w:u w:val="single"/>
          <w:vertAlign w:val="superscript"/>
        </w:rPr>
        <w:t>st</w:t>
      </w:r>
      <w:r>
        <w:rPr>
          <w:sz w:val="28"/>
          <w:szCs w:val="28"/>
        </w:rPr>
        <w:t xml:space="preserve"> </w:t>
      </w:r>
      <w:r w:rsidRPr="001B0910">
        <w:rPr>
          <w:sz w:val="28"/>
          <w:szCs w:val="28"/>
        </w:rPr>
        <w:t>day of</w:t>
      </w:r>
      <w:r>
        <w:rPr>
          <w:sz w:val="28"/>
          <w:szCs w:val="28"/>
        </w:rPr>
        <w:t xml:space="preserve"> </w:t>
      </w:r>
      <w:proofErr w:type="gramStart"/>
      <w:r w:rsidRPr="007728BD">
        <w:rPr>
          <w:sz w:val="28"/>
          <w:szCs w:val="28"/>
          <w:u w:val="single"/>
        </w:rPr>
        <w:t>May</w:t>
      </w:r>
      <w:r>
        <w:rPr>
          <w:sz w:val="28"/>
          <w:szCs w:val="28"/>
        </w:rPr>
        <w:t>,</w:t>
      </w:r>
      <w:proofErr w:type="gramEnd"/>
      <w:r w:rsidRPr="001B0910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1B0910">
        <w:rPr>
          <w:sz w:val="28"/>
          <w:szCs w:val="28"/>
        </w:rPr>
        <w:t>.</w:t>
      </w:r>
    </w:p>
    <w:p w14:paraId="48E51311" w14:textId="77777777" w:rsidR="002D06B5" w:rsidRPr="001B0910" w:rsidRDefault="002D06B5" w:rsidP="002D06B5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6392903" wp14:editId="49E7317B">
            <wp:simplePos x="0" y="0"/>
            <wp:positionH relativeFrom="column">
              <wp:posOffset>3120390</wp:posOffset>
            </wp:positionH>
            <wp:positionV relativeFrom="paragraph">
              <wp:posOffset>108585</wp:posOffset>
            </wp:positionV>
            <wp:extent cx="2022475" cy="493395"/>
            <wp:effectExtent l="0" t="0" r="0" b="0"/>
            <wp:wrapSquare wrapText="bothSides"/>
            <wp:docPr id="5169165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193F61" w14:textId="77777777" w:rsidR="002D06B5" w:rsidRPr="001B0910" w:rsidRDefault="002D06B5" w:rsidP="002D06B5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</w:p>
    <w:p w14:paraId="3EA13BAA" w14:textId="77777777" w:rsidR="002D06B5" w:rsidRPr="001B0910" w:rsidRDefault="002D06B5" w:rsidP="002D06B5">
      <w:pPr>
        <w:pStyle w:val="PleadingSignature"/>
        <w:keepNext w:val="0"/>
        <w:keepLines w:val="0"/>
        <w:pBdr>
          <w:top w:val="single" w:sz="4" w:space="1" w:color="auto"/>
        </w:pBdr>
        <w:spacing w:line="240" w:lineRule="auto"/>
        <w:ind w:left="5070"/>
        <w:rPr>
          <w:sz w:val="28"/>
          <w:szCs w:val="28"/>
        </w:rPr>
      </w:pPr>
      <w:r>
        <w:rPr>
          <w:sz w:val="28"/>
          <w:szCs w:val="28"/>
        </w:rPr>
        <w:t>Jessica J. Fotinos</w:t>
      </w:r>
    </w:p>
    <w:p w14:paraId="4A7AB0EA" w14:textId="77777777" w:rsidR="002D06B5" w:rsidRPr="001B0910" w:rsidRDefault="002D06B5" w:rsidP="002D06B5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  <w:r w:rsidRPr="001B0910">
        <w:rPr>
          <w:sz w:val="28"/>
          <w:szCs w:val="28"/>
        </w:rPr>
        <w:t>General Counsel</w:t>
      </w:r>
    </w:p>
    <w:p w14:paraId="5FE1D7C6" w14:textId="77777777" w:rsidR="002D06B5" w:rsidRPr="001B0910" w:rsidRDefault="002D06B5" w:rsidP="002D06B5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</w:p>
    <w:p w14:paraId="761FADCE" w14:textId="77777777" w:rsidR="002D06B5" w:rsidRPr="001B0910" w:rsidRDefault="002D06B5" w:rsidP="002D06B5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</w:p>
    <w:p w14:paraId="385BA0BD" w14:textId="77777777" w:rsidR="002D06B5" w:rsidRPr="001B0910" w:rsidRDefault="002D06B5" w:rsidP="002D06B5">
      <w:pPr>
        <w:widowControl w:val="0"/>
        <w:spacing w:line="240" w:lineRule="auto"/>
        <w:ind w:right="4140"/>
        <w:rPr>
          <w:sz w:val="28"/>
          <w:szCs w:val="28"/>
        </w:rPr>
      </w:pPr>
    </w:p>
    <w:p w14:paraId="2E323187" w14:textId="77777777" w:rsidR="002D06B5" w:rsidRPr="001B0910" w:rsidRDefault="002D06B5" w:rsidP="002D06B5">
      <w:pPr>
        <w:widowControl w:val="0"/>
        <w:spacing w:line="240" w:lineRule="auto"/>
        <w:ind w:right="4140"/>
        <w:rPr>
          <w:sz w:val="28"/>
          <w:szCs w:val="28"/>
        </w:rPr>
      </w:pPr>
    </w:p>
    <w:p w14:paraId="56A2CABA" w14:textId="77777777" w:rsidR="002D06B5" w:rsidRPr="001B0910" w:rsidRDefault="002D06B5" w:rsidP="002D06B5">
      <w:pPr>
        <w:widowControl w:val="0"/>
        <w:spacing w:line="240" w:lineRule="auto"/>
        <w:ind w:right="4140"/>
        <w:rPr>
          <w:sz w:val="28"/>
          <w:szCs w:val="28"/>
        </w:rPr>
      </w:pPr>
      <w:r w:rsidRPr="001B0910">
        <w:rPr>
          <w:sz w:val="28"/>
          <w:szCs w:val="28"/>
        </w:rPr>
        <w:t>Electronic copy filed with the</w:t>
      </w:r>
    </w:p>
    <w:p w14:paraId="3E4834BC" w14:textId="77777777" w:rsidR="002D06B5" w:rsidRPr="001B0910" w:rsidRDefault="002D06B5" w:rsidP="002D06B5">
      <w:pPr>
        <w:spacing w:line="240" w:lineRule="auto"/>
        <w:ind w:right="4140"/>
        <w:rPr>
          <w:sz w:val="28"/>
          <w:szCs w:val="28"/>
        </w:rPr>
      </w:pPr>
      <w:r w:rsidRPr="001B0910">
        <w:rPr>
          <w:sz w:val="28"/>
          <w:szCs w:val="28"/>
        </w:rPr>
        <w:t>Clerk of the Supreme Court of Arizona</w:t>
      </w:r>
    </w:p>
    <w:p w14:paraId="731BF11A" w14:textId="77777777" w:rsidR="002D06B5" w:rsidRPr="001B0910" w:rsidRDefault="002D06B5" w:rsidP="002D06B5">
      <w:pPr>
        <w:tabs>
          <w:tab w:val="left" w:pos="4836"/>
        </w:tabs>
        <w:spacing w:line="240" w:lineRule="auto"/>
        <w:ind w:right="3870"/>
        <w:rPr>
          <w:sz w:val="28"/>
          <w:szCs w:val="28"/>
        </w:rPr>
      </w:pPr>
      <w:r w:rsidRPr="001B0910">
        <w:rPr>
          <w:sz w:val="28"/>
          <w:szCs w:val="28"/>
        </w:rPr>
        <w:t xml:space="preserve">this </w:t>
      </w:r>
      <w:r w:rsidRPr="007728BD">
        <w:rPr>
          <w:sz w:val="28"/>
          <w:szCs w:val="28"/>
          <w:u w:val="single"/>
        </w:rPr>
        <w:t>1</w:t>
      </w:r>
      <w:proofErr w:type="gramStart"/>
      <w:r w:rsidRPr="007728BD">
        <w:rPr>
          <w:sz w:val="28"/>
          <w:szCs w:val="28"/>
          <w:u w:val="single"/>
          <w:vertAlign w:val="superscript"/>
        </w:rPr>
        <w:t>st</w:t>
      </w:r>
      <w:r w:rsidRPr="007728BD">
        <w:rPr>
          <w:sz w:val="28"/>
          <w:szCs w:val="28"/>
          <w:u w:val="single"/>
        </w:rPr>
        <w:t xml:space="preserve"> </w:t>
      </w:r>
      <w:r w:rsidRPr="001B0910">
        <w:rPr>
          <w:sz w:val="28"/>
          <w:szCs w:val="28"/>
        </w:rPr>
        <w:t xml:space="preserve"> day</w:t>
      </w:r>
      <w:proofErr w:type="gramEnd"/>
      <w:r w:rsidRPr="001B0910">
        <w:rPr>
          <w:sz w:val="28"/>
          <w:szCs w:val="28"/>
        </w:rPr>
        <w:t xml:space="preserve"> of </w:t>
      </w:r>
      <w:proofErr w:type="gramStart"/>
      <w:r w:rsidRPr="007728BD">
        <w:rPr>
          <w:sz w:val="28"/>
          <w:szCs w:val="28"/>
          <w:u w:val="single"/>
        </w:rPr>
        <w:t>May</w:t>
      </w:r>
      <w:r>
        <w:rPr>
          <w:sz w:val="28"/>
          <w:szCs w:val="28"/>
        </w:rPr>
        <w:t>,</w:t>
      </w:r>
      <w:proofErr w:type="gramEnd"/>
      <w:r w:rsidRPr="001B0910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1B0910">
        <w:rPr>
          <w:sz w:val="28"/>
          <w:szCs w:val="28"/>
        </w:rPr>
        <w:t>.</w:t>
      </w:r>
    </w:p>
    <w:p w14:paraId="11FD665D" w14:textId="77777777" w:rsidR="002D06B5" w:rsidRPr="001B0910" w:rsidRDefault="002D06B5" w:rsidP="002D06B5">
      <w:pPr>
        <w:spacing w:line="240" w:lineRule="auto"/>
        <w:ind w:right="4572"/>
        <w:rPr>
          <w:sz w:val="28"/>
          <w:szCs w:val="28"/>
        </w:rPr>
      </w:pPr>
    </w:p>
    <w:p w14:paraId="414CB143" w14:textId="77777777" w:rsidR="002D06B5" w:rsidRPr="001B0910" w:rsidRDefault="002D06B5" w:rsidP="002D06B5">
      <w:pPr>
        <w:spacing w:line="240" w:lineRule="auto"/>
        <w:ind w:right="4572"/>
        <w:rPr>
          <w:sz w:val="28"/>
          <w:szCs w:val="28"/>
        </w:rPr>
      </w:pPr>
      <w:r w:rsidRPr="001B0910">
        <w:rPr>
          <w:sz w:val="28"/>
          <w:szCs w:val="28"/>
        </w:rPr>
        <w:t>by:</w:t>
      </w:r>
      <w:r w:rsidRPr="007728BD">
        <w:rPr>
          <w:sz w:val="28"/>
          <w:szCs w:val="28"/>
          <w:u w:val="single"/>
        </w:rPr>
        <w:t xml:space="preserve"> </w:t>
      </w:r>
      <w:proofErr w:type="spellStart"/>
      <w:r w:rsidRPr="007728BD">
        <w:rPr>
          <w:sz w:val="28"/>
          <w:szCs w:val="28"/>
          <w:u w:val="single"/>
        </w:rPr>
        <w:t>PSeguin</w:t>
      </w:r>
      <w:proofErr w:type="spellEnd"/>
    </w:p>
    <w:p w14:paraId="748D94FA" w14:textId="77777777" w:rsidR="002D06B5" w:rsidRPr="00C62B3F" w:rsidRDefault="002D06B5" w:rsidP="00C62B3F">
      <w:pPr>
        <w:pStyle w:val="Body"/>
        <w:widowControl w:val="0"/>
        <w:tabs>
          <w:tab w:val="left" w:pos="720"/>
        </w:tabs>
        <w:spacing w:line="480" w:lineRule="auto"/>
        <w:ind w:firstLine="0"/>
        <w:jc w:val="both"/>
        <w:rPr>
          <w:spacing w:val="-3"/>
          <w:sz w:val="28"/>
          <w:szCs w:val="28"/>
        </w:rPr>
      </w:pPr>
    </w:p>
    <w:p w14:paraId="514D6FB1" w14:textId="77777777" w:rsidR="00494BDF" w:rsidRPr="000F7A7F" w:rsidRDefault="00494BDF" w:rsidP="000C48A9">
      <w:pPr>
        <w:pStyle w:val="Body"/>
        <w:widowControl w:val="0"/>
        <w:ind w:firstLine="0"/>
        <w:jc w:val="both"/>
        <w:rPr>
          <w:szCs w:val="26"/>
        </w:rPr>
      </w:pPr>
    </w:p>
    <w:p w14:paraId="22C2C8B9" w14:textId="77777777" w:rsidR="00933EA1" w:rsidRPr="000F7A7F" w:rsidRDefault="00933EA1" w:rsidP="000F7C13">
      <w:pPr>
        <w:spacing w:line="240" w:lineRule="auto"/>
        <w:rPr>
          <w:strike/>
          <w:sz w:val="26"/>
          <w:szCs w:val="26"/>
        </w:rPr>
      </w:pPr>
    </w:p>
    <w:p w14:paraId="259B1882" w14:textId="77777777" w:rsidR="00933EA1" w:rsidRPr="000F7A7F" w:rsidRDefault="00933EA1" w:rsidP="00933EA1">
      <w:pPr>
        <w:rPr>
          <w:sz w:val="26"/>
          <w:szCs w:val="26"/>
        </w:rPr>
      </w:pPr>
    </w:p>
    <w:p w14:paraId="4A07E8A6" w14:textId="77777777" w:rsidR="00052372" w:rsidRPr="000F7A7F" w:rsidRDefault="00052372" w:rsidP="00933EA1">
      <w:pPr>
        <w:tabs>
          <w:tab w:val="left" w:pos="8145"/>
        </w:tabs>
        <w:rPr>
          <w:sz w:val="26"/>
          <w:szCs w:val="26"/>
        </w:rPr>
      </w:pPr>
    </w:p>
    <w:sectPr w:rsidR="00052372" w:rsidRPr="000F7A7F" w:rsidSect="006F63FD">
      <w:headerReference w:type="default" r:id="rId9"/>
      <w:footerReference w:type="even" r:id="rId10"/>
      <w:footerReference w:type="default" r:id="rId11"/>
      <w:pgSz w:w="12240" w:h="15840" w:code="1"/>
      <w:pgMar w:top="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2FCE6" w14:textId="77777777" w:rsidR="00F64A87" w:rsidRDefault="00F64A87">
      <w:r>
        <w:separator/>
      </w:r>
    </w:p>
  </w:endnote>
  <w:endnote w:type="continuationSeparator" w:id="0">
    <w:p w14:paraId="57639FB5" w14:textId="77777777" w:rsidR="00F64A87" w:rsidRDefault="00F6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9B982" w14:textId="77777777" w:rsidR="007870CB" w:rsidRDefault="007870CB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1E722A" w14:textId="77777777" w:rsidR="007870CB" w:rsidRDefault="007870CB" w:rsidP="00861563">
    <w:pPr>
      <w:pStyle w:val="Footer"/>
      <w:ind w:right="360"/>
    </w:pPr>
  </w:p>
  <w:p w14:paraId="180E891B" w14:textId="77777777" w:rsidR="007D5C49" w:rsidRDefault="007D5C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424250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438E4540" w14:textId="77777777" w:rsidR="00933EA1" w:rsidRPr="006B4F9A" w:rsidRDefault="00933EA1">
        <w:pPr>
          <w:pStyle w:val="Footer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 w:rsidR="00E81026">
          <w:rPr>
            <w:noProof/>
            <w:sz w:val="26"/>
            <w:szCs w:val="26"/>
          </w:rPr>
          <w:t>2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  <w:p w14:paraId="44037EDE" w14:textId="77777777" w:rsidR="007D5C49" w:rsidRDefault="007D5C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05ABF" w14:textId="77777777" w:rsidR="00F64A87" w:rsidRDefault="00F64A87">
      <w:r>
        <w:separator/>
      </w:r>
    </w:p>
  </w:footnote>
  <w:footnote w:type="continuationSeparator" w:id="0">
    <w:p w14:paraId="050CA77E" w14:textId="77777777" w:rsidR="00F64A87" w:rsidRDefault="00F64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39EEE" w14:textId="77777777" w:rsidR="007870CB" w:rsidRDefault="000C48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198E9B" wp14:editId="628086A1">
              <wp:simplePos x="0" y="0"/>
              <wp:positionH relativeFrom="margin">
                <wp:posOffset>6000750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9B0311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2.5pt,0" to="472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B9C2C6" wp14:editId="2C722289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F716AC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rMJPJNwAAAAJAQAADwAAAAAAAAAAAAAAAAAKBAAAZHJzL2Rvd25yZXYu&#10;eG1sUEsFBgAAAAAEAAQA8wAAABM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1A3BE4F" wp14:editId="71C89CAF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850220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">
              <w10:wrap anchorx="margin" anchory="page"/>
            </v:line>
          </w:pict>
        </mc:Fallback>
      </mc:AlternateContent>
    </w:r>
  </w:p>
  <w:p w14:paraId="5BF4D0D3" w14:textId="77777777" w:rsidR="007D5C49" w:rsidRDefault="00000C3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FEA6C" wp14:editId="21410D06">
              <wp:simplePos x="0" y="0"/>
              <wp:positionH relativeFrom="margin">
                <wp:posOffset>-640080</wp:posOffset>
              </wp:positionH>
              <wp:positionV relativeFrom="margin">
                <wp:posOffset>-104775</wp:posOffset>
              </wp:positionV>
              <wp:extent cx="457200" cy="824865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4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9D663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14:paraId="4C6706F3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2782703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5218DDC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14:paraId="1F01F52A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2927111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5AC882F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59551A1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14:paraId="30D7C95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14:paraId="6152E8CA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14:paraId="44B9685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14:paraId="17E4E57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14:paraId="4342E1F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14:paraId="77E47AC0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14:paraId="134621C5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14:paraId="048A4C8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14:paraId="48A66ED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14:paraId="33F831B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14:paraId="5397DEA5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14:paraId="04453D62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14:paraId="6F50791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  <w:p w14:paraId="7D436DA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22</w:t>
                          </w:r>
                        </w:p>
                        <w:p w14:paraId="1ED2A65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23</w:t>
                          </w:r>
                        </w:p>
                        <w:p w14:paraId="124334A4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24</w:t>
                          </w:r>
                        </w:p>
                        <w:p w14:paraId="3747286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25</w:t>
                          </w:r>
                        </w:p>
                        <w:p w14:paraId="3FE6EE4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2FEA6C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-8.25pt;width:36pt;height:6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" stroked="f">
              <v:textbox inset="0,0,0,0">
                <w:txbxContent>
                  <w:p w14:paraId="579D6636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</w:t>
                    </w:r>
                  </w:p>
                  <w:p w14:paraId="4C6706F3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</w:t>
                    </w:r>
                  </w:p>
                  <w:p w14:paraId="2782703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3</w:t>
                    </w:r>
                  </w:p>
                  <w:p w14:paraId="5218DDC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4</w:t>
                    </w:r>
                  </w:p>
                  <w:p w14:paraId="1F01F52A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5</w:t>
                    </w:r>
                  </w:p>
                  <w:p w14:paraId="2927111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6</w:t>
                    </w:r>
                  </w:p>
                  <w:p w14:paraId="5AC882F7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7</w:t>
                    </w:r>
                  </w:p>
                  <w:p w14:paraId="59551A1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8</w:t>
                    </w:r>
                  </w:p>
                  <w:p w14:paraId="30D7C95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9</w:t>
                    </w:r>
                  </w:p>
                  <w:p w14:paraId="6152E8CA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10</w:t>
                    </w:r>
                  </w:p>
                  <w:p w14:paraId="44B96859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11</w:t>
                    </w:r>
                  </w:p>
                  <w:p w14:paraId="17E4E57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12</w:t>
                    </w:r>
                  </w:p>
                  <w:p w14:paraId="4342E1F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13</w:t>
                    </w:r>
                  </w:p>
                  <w:p w14:paraId="77E47AC0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14</w:t>
                    </w:r>
                  </w:p>
                  <w:p w14:paraId="134621C5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15</w:t>
                    </w:r>
                  </w:p>
                  <w:p w14:paraId="048A4C86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16</w:t>
                    </w:r>
                  </w:p>
                  <w:p w14:paraId="48A66ED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17</w:t>
                    </w:r>
                  </w:p>
                  <w:p w14:paraId="33F831B6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18</w:t>
                    </w:r>
                  </w:p>
                  <w:p w14:paraId="5397DEA5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19</w:t>
                    </w:r>
                  </w:p>
                  <w:p w14:paraId="04453D62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20</w:t>
                    </w:r>
                  </w:p>
                  <w:p w14:paraId="6F50791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21</w:t>
                    </w:r>
                  </w:p>
                  <w:p w14:paraId="7D436DA7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22</w:t>
                    </w:r>
                  </w:p>
                  <w:p w14:paraId="1ED2A65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23</w:t>
                    </w:r>
                  </w:p>
                  <w:p w14:paraId="124334A4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24</w:t>
                    </w:r>
                  </w:p>
                  <w:p w14:paraId="3747286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25</w:t>
                    </w:r>
                  </w:p>
                  <w:p w14:paraId="3FE6EE49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18288678">
    <w:abstractNumId w:val="11"/>
  </w:num>
  <w:num w:numId="2" w16cid:durableId="1338851655">
    <w:abstractNumId w:val="12"/>
  </w:num>
  <w:num w:numId="3" w16cid:durableId="1296182094">
    <w:abstractNumId w:val="0"/>
  </w:num>
  <w:num w:numId="4" w16cid:durableId="736973399">
    <w:abstractNumId w:val="4"/>
  </w:num>
  <w:num w:numId="5" w16cid:durableId="1994602185">
    <w:abstractNumId w:val="6"/>
  </w:num>
  <w:num w:numId="6" w16cid:durableId="705905435">
    <w:abstractNumId w:val="7"/>
  </w:num>
  <w:num w:numId="7" w16cid:durableId="1829319839">
    <w:abstractNumId w:val="1"/>
  </w:num>
  <w:num w:numId="8" w16cid:durableId="1136950692">
    <w:abstractNumId w:val="13"/>
  </w:num>
  <w:num w:numId="9" w16cid:durableId="1542329543">
    <w:abstractNumId w:val="8"/>
  </w:num>
  <w:num w:numId="10" w16cid:durableId="451173854">
    <w:abstractNumId w:val="10"/>
  </w:num>
  <w:num w:numId="11" w16cid:durableId="21368526">
    <w:abstractNumId w:val="9"/>
  </w:num>
  <w:num w:numId="12" w16cid:durableId="1141196481">
    <w:abstractNumId w:val="5"/>
  </w:num>
  <w:num w:numId="13" w16cid:durableId="984310016">
    <w:abstractNumId w:val="2"/>
  </w:num>
  <w:num w:numId="14" w16cid:durableId="102000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orneyName" w:val="-1"/>
    <w:docVar w:name="CaptionBoxStyle" w:val="2"/>
    <w:docVar w:name="CourtAlignment" w:val="1"/>
    <w:docVar w:name="CourtName" w:val="IN THE SUPERIOR COURT OF THE STATE OF ARIZONA_x000d__x000a_IN AND FOR THE COUNTY OF MARICOPA"/>
    <w:docVar w:name="FirmInFtr" w:val="0"/>
    <w:docVar w:name="FirmInSigBlkStyle" w:val="2"/>
    <w:docVar w:name="FirstLineNum" w:val="1"/>
    <w:docVar w:name="FirstPleadingLine" w:val="1"/>
    <w:docVar w:name="Font" w:val="Times New Roman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0"/>
    <w:docVar w:name="RightBorderStyle" w:val="1"/>
    <w:docVar w:name="SigBlkYes" w:val="-1"/>
    <w:docVar w:name="SignWith" w:val=" "/>
    <w:docVar w:name="SummaryInFtr" w:val="0"/>
  </w:docVars>
  <w:rsids>
    <w:rsidRoot w:val="00981E11"/>
    <w:rsid w:val="00000C35"/>
    <w:rsid w:val="000100B0"/>
    <w:rsid w:val="000410B3"/>
    <w:rsid w:val="00043D4D"/>
    <w:rsid w:val="00052372"/>
    <w:rsid w:val="000666D1"/>
    <w:rsid w:val="0007124F"/>
    <w:rsid w:val="0008003D"/>
    <w:rsid w:val="000917C0"/>
    <w:rsid w:val="00093FA1"/>
    <w:rsid w:val="000A1D6B"/>
    <w:rsid w:val="000C48A9"/>
    <w:rsid w:val="000F7A7F"/>
    <w:rsid w:val="000F7C13"/>
    <w:rsid w:val="00123E30"/>
    <w:rsid w:val="00135326"/>
    <w:rsid w:val="00144BDA"/>
    <w:rsid w:val="001954EE"/>
    <w:rsid w:val="001A2520"/>
    <w:rsid w:val="001B5E4F"/>
    <w:rsid w:val="001B6687"/>
    <w:rsid w:val="001F3FCD"/>
    <w:rsid w:val="001F591C"/>
    <w:rsid w:val="00207336"/>
    <w:rsid w:val="0022683E"/>
    <w:rsid w:val="0023478A"/>
    <w:rsid w:val="00242576"/>
    <w:rsid w:val="00272717"/>
    <w:rsid w:val="00274D6A"/>
    <w:rsid w:val="002906C3"/>
    <w:rsid w:val="00296C6E"/>
    <w:rsid w:val="002A4D11"/>
    <w:rsid w:val="002D06B5"/>
    <w:rsid w:val="002D6480"/>
    <w:rsid w:val="002F1135"/>
    <w:rsid w:val="00314436"/>
    <w:rsid w:val="00323ED9"/>
    <w:rsid w:val="00334B42"/>
    <w:rsid w:val="003511F9"/>
    <w:rsid w:val="00352347"/>
    <w:rsid w:val="003566D6"/>
    <w:rsid w:val="00357F4D"/>
    <w:rsid w:val="003617D1"/>
    <w:rsid w:val="003671D6"/>
    <w:rsid w:val="00367D29"/>
    <w:rsid w:val="00377199"/>
    <w:rsid w:val="0038548A"/>
    <w:rsid w:val="00387F80"/>
    <w:rsid w:val="003A28AC"/>
    <w:rsid w:val="003A3DB2"/>
    <w:rsid w:val="003C44AC"/>
    <w:rsid w:val="003F68ED"/>
    <w:rsid w:val="00407E2D"/>
    <w:rsid w:val="00416FF3"/>
    <w:rsid w:val="004331B2"/>
    <w:rsid w:val="00440E4C"/>
    <w:rsid w:val="00463734"/>
    <w:rsid w:val="00487E4A"/>
    <w:rsid w:val="00490EBF"/>
    <w:rsid w:val="00494BDF"/>
    <w:rsid w:val="004C3AE3"/>
    <w:rsid w:val="004C3F11"/>
    <w:rsid w:val="004D035E"/>
    <w:rsid w:val="004D6A2F"/>
    <w:rsid w:val="004E59D5"/>
    <w:rsid w:val="004E6C12"/>
    <w:rsid w:val="00504E1E"/>
    <w:rsid w:val="00506859"/>
    <w:rsid w:val="00511A83"/>
    <w:rsid w:val="00513084"/>
    <w:rsid w:val="00520F93"/>
    <w:rsid w:val="00554FA1"/>
    <w:rsid w:val="00566856"/>
    <w:rsid w:val="00581197"/>
    <w:rsid w:val="005845AE"/>
    <w:rsid w:val="0059202F"/>
    <w:rsid w:val="005A0ADE"/>
    <w:rsid w:val="005A0FA7"/>
    <w:rsid w:val="005A21B0"/>
    <w:rsid w:val="005B3511"/>
    <w:rsid w:val="005B5161"/>
    <w:rsid w:val="005D69F8"/>
    <w:rsid w:val="005D6AD4"/>
    <w:rsid w:val="005F566E"/>
    <w:rsid w:val="005F58AD"/>
    <w:rsid w:val="00615FBF"/>
    <w:rsid w:val="006338C1"/>
    <w:rsid w:val="00636F5E"/>
    <w:rsid w:val="00665CCF"/>
    <w:rsid w:val="006666D1"/>
    <w:rsid w:val="006721EC"/>
    <w:rsid w:val="006766BF"/>
    <w:rsid w:val="00691627"/>
    <w:rsid w:val="00692391"/>
    <w:rsid w:val="006932BA"/>
    <w:rsid w:val="00695E0C"/>
    <w:rsid w:val="006970DA"/>
    <w:rsid w:val="006A76C2"/>
    <w:rsid w:val="006B4F9A"/>
    <w:rsid w:val="006C3028"/>
    <w:rsid w:val="006E4770"/>
    <w:rsid w:val="006E7BD6"/>
    <w:rsid w:val="006F60B7"/>
    <w:rsid w:val="006F63FD"/>
    <w:rsid w:val="00717B9A"/>
    <w:rsid w:val="00721760"/>
    <w:rsid w:val="00732169"/>
    <w:rsid w:val="00735659"/>
    <w:rsid w:val="007427C6"/>
    <w:rsid w:val="0074548B"/>
    <w:rsid w:val="00770B74"/>
    <w:rsid w:val="0077110E"/>
    <w:rsid w:val="00774AE0"/>
    <w:rsid w:val="0078122B"/>
    <w:rsid w:val="00785D0D"/>
    <w:rsid w:val="007870CB"/>
    <w:rsid w:val="007A3F0F"/>
    <w:rsid w:val="007D57AF"/>
    <w:rsid w:val="007D5C49"/>
    <w:rsid w:val="007D73FF"/>
    <w:rsid w:val="007E3CCB"/>
    <w:rsid w:val="007F65B7"/>
    <w:rsid w:val="008006ED"/>
    <w:rsid w:val="00822598"/>
    <w:rsid w:val="00823117"/>
    <w:rsid w:val="00830E43"/>
    <w:rsid w:val="0083305C"/>
    <w:rsid w:val="008360A1"/>
    <w:rsid w:val="00844CEB"/>
    <w:rsid w:val="00854844"/>
    <w:rsid w:val="00861563"/>
    <w:rsid w:val="00866103"/>
    <w:rsid w:val="00871AAA"/>
    <w:rsid w:val="00876F57"/>
    <w:rsid w:val="00891AAA"/>
    <w:rsid w:val="008A4EB3"/>
    <w:rsid w:val="008B57A8"/>
    <w:rsid w:val="008C60A0"/>
    <w:rsid w:val="008D5176"/>
    <w:rsid w:val="008F075E"/>
    <w:rsid w:val="008F21BF"/>
    <w:rsid w:val="008F5446"/>
    <w:rsid w:val="009249DA"/>
    <w:rsid w:val="00931F22"/>
    <w:rsid w:val="00933EA1"/>
    <w:rsid w:val="00936D85"/>
    <w:rsid w:val="0094667B"/>
    <w:rsid w:val="00951416"/>
    <w:rsid w:val="00954A5E"/>
    <w:rsid w:val="00960D21"/>
    <w:rsid w:val="009778E9"/>
    <w:rsid w:val="00981D29"/>
    <w:rsid w:val="00981E11"/>
    <w:rsid w:val="0098747C"/>
    <w:rsid w:val="009F1997"/>
    <w:rsid w:val="00A056FF"/>
    <w:rsid w:val="00A1564B"/>
    <w:rsid w:val="00A24990"/>
    <w:rsid w:val="00A4249C"/>
    <w:rsid w:val="00A5194F"/>
    <w:rsid w:val="00A5773F"/>
    <w:rsid w:val="00A81B86"/>
    <w:rsid w:val="00A871D6"/>
    <w:rsid w:val="00A93A7C"/>
    <w:rsid w:val="00AD52D4"/>
    <w:rsid w:val="00AE3007"/>
    <w:rsid w:val="00AE552D"/>
    <w:rsid w:val="00AF282C"/>
    <w:rsid w:val="00AF3FF7"/>
    <w:rsid w:val="00AF5777"/>
    <w:rsid w:val="00B1491D"/>
    <w:rsid w:val="00B332B2"/>
    <w:rsid w:val="00B357A9"/>
    <w:rsid w:val="00B47B7D"/>
    <w:rsid w:val="00B50CB1"/>
    <w:rsid w:val="00B5543C"/>
    <w:rsid w:val="00BA7A9D"/>
    <w:rsid w:val="00BD2F59"/>
    <w:rsid w:val="00BD3C31"/>
    <w:rsid w:val="00BD667D"/>
    <w:rsid w:val="00C03E0F"/>
    <w:rsid w:val="00C047CF"/>
    <w:rsid w:val="00C23103"/>
    <w:rsid w:val="00C52E56"/>
    <w:rsid w:val="00C5407A"/>
    <w:rsid w:val="00C62B3F"/>
    <w:rsid w:val="00C662B0"/>
    <w:rsid w:val="00C76230"/>
    <w:rsid w:val="00C81395"/>
    <w:rsid w:val="00C84FD4"/>
    <w:rsid w:val="00C86131"/>
    <w:rsid w:val="00C958EE"/>
    <w:rsid w:val="00CB00DF"/>
    <w:rsid w:val="00CB31AF"/>
    <w:rsid w:val="00CD21FB"/>
    <w:rsid w:val="00CD71A9"/>
    <w:rsid w:val="00CF3CA1"/>
    <w:rsid w:val="00D0315E"/>
    <w:rsid w:val="00D3288F"/>
    <w:rsid w:val="00D3695E"/>
    <w:rsid w:val="00D423FE"/>
    <w:rsid w:val="00D442E4"/>
    <w:rsid w:val="00D60D9B"/>
    <w:rsid w:val="00D7120A"/>
    <w:rsid w:val="00D80EDC"/>
    <w:rsid w:val="00DC3BC2"/>
    <w:rsid w:val="00DF4F15"/>
    <w:rsid w:val="00E047D3"/>
    <w:rsid w:val="00E172BC"/>
    <w:rsid w:val="00E266B7"/>
    <w:rsid w:val="00E279CF"/>
    <w:rsid w:val="00E321C5"/>
    <w:rsid w:val="00E322C1"/>
    <w:rsid w:val="00E51F46"/>
    <w:rsid w:val="00E5541E"/>
    <w:rsid w:val="00E5772B"/>
    <w:rsid w:val="00E67511"/>
    <w:rsid w:val="00E8066B"/>
    <w:rsid w:val="00E81026"/>
    <w:rsid w:val="00E82D0F"/>
    <w:rsid w:val="00E950B5"/>
    <w:rsid w:val="00EB2339"/>
    <w:rsid w:val="00EE194A"/>
    <w:rsid w:val="00EF38BF"/>
    <w:rsid w:val="00F05449"/>
    <w:rsid w:val="00F0566A"/>
    <w:rsid w:val="00F05879"/>
    <w:rsid w:val="00F06F5B"/>
    <w:rsid w:val="00F2485D"/>
    <w:rsid w:val="00F33926"/>
    <w:rsid w:val="00F37AED"/>
    <w:rsid w:val="00F43901"/>
    <w:rsid w:val="00F43E57"/>
    <w:rsid w:val="00F45ECE"/>
    <w:rsid w:val="00F60C61"/>
    <w:rsid w:val="00F63A12"/>
    <w:rsid w:val="00F64670"/>
    <w:rsid w:val="00F64A87"/>
    <w:rsid w:val="00F64B52"/>
    <w:rsid w:val="00F702DE"/>
    <w:rsid w:val="00F70BE4"/>
    <w:rsid w:val="00F850BE"/>
    <w:rsid w:val="00F87E29"/>
    <w:rsid w:val="00FB4B49"/>
    <w:rsid w:val="00FB5291"/>
    <w:rsid w:val="00FB5E84"/>
    <w:rsid w:val="00FC251B"/>
    <w:rsid w:val="00FD246B"/>
    <w:rsid w:val="00FE11E6"/>
    <w:rsid w:val="00FE352D"/>
    <w:rsid w:val="00FF205E"/>
    <w:rsid w:val="00FF620B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65F33E"/>
  <w15:chartTrackingRefBased/>
  <w15:docId w15:val="{59032CF6-9C55-4DC8-8482-24CBD937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74AE0"/>
  </w:style>
  <w:style w:type="character" w:styleId="CommentReference">
    <w:name w:val="annotation reference"/>
    <w:basedOn w:val="DefaultParagraphFont"/>
    <w:rsid w:val="00144B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4BD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144BDA"/>
  </w:style>
  <w:style w:type="paragraph" w:styleId="CommentSubject">
    <w:name w:val="annotation subject"/>
    <w:basedOn w:val="CommentText"/>
    <w:next w:val="CommentText"/>
    <w:link w:val="CommentSubjectChar"/>
    <w:rsid w:val="00144B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4B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nksm\application%20data\microsoft\templates\Legal%20Pleadings\ORDER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2503A-9B6E-4526-B5D7-88469558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 FORM.dot</Template>
  <TotalTime>3</TotalTime>
  <Pages>4</Pages>
  <Words>812</Words>
  <Characters>4004</Characters>
  <Application>Microsoft Office Word</Application>
  <DocSecurity>0</DocSecurity>
  <Lines>200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>State Bar of Arizona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subject/>
  <dc:creator>Superior Court</dc:creator>
  <cp:keywords/>
  <cp:lastModifiedBy>Patricia Seguin</cp:lastModifiedBy>
  <cp:revision>2</cp:revision>
  <cp:lastPrinted>2014-04-30T16:27:00Z</cp:lastPrinted>
  <dcterms:created xsi:type="dcterms:W3CDTF">2026-05-01T21:39:00Z</dcterms:created>
  <dcterms:modified xsi:type="dcterms:W3CDTF">2026-05-01T21:39:00Z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