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36" w:type="dxa"/>
        <w:tblLayout w:type="fixed"/>
        <w:tblLook w:val="0000" w:firstRow="0" w:lastRow="0" w:firstColumn="0" w:lastColumn="0" w:noHBand="0" w:noVBand="0"/>
      </w:tblPr>
      <w:tblGrid>
        <w:gridCol w:w="4836"/>
        <w:gridCol w:w="4200"/>
      </w:tblGrid>
      <w:tr w:rsidR="00357F4D" w:rsidRPr="000F7A7F" w14:paraId="2DD96AE8" w14:textId="77777777" w:rsidTr="006F63FD">
        <w:trPr>
          <w:cantSplit/>
          <w:trHeight w:val="1987"/>
        </w:trPr>
        <w:tc>
          <w:tcPr>
            <w:tcW w:w="4836" w:type="dxa"/>
          </w:tcPr>
          <w:p w14:paraId="6103FD4D" w14:textId="77777777" w:rsidR="00D263DA" w:rsidRPr="008C30C2" w:rsidRDefault="00D263DA" w:rsidP="00D263DA">
            <w:pPr>
              <w:widowControl w:val="0"/>
              <w:spacing w:line="240" w:lineRule="exact"/>
              <w:ind w:left="108" w:right="252"/>
              <w:rPr>
                <w:sz w:val="28"/>
                <w:szCs w:val="28"/>
              </w:rPr>
            </w:pPr>
            <w:bookmarkStart w:id="0" w:name="_zzmpFIXED_CounselTable"/>
            <w:r w:rsidRPr="008C30C2">
              <w:rPr>
                <w:sz w:val="28"/>
                <w:szCs w:val="28"/>
              </w:rPr>
              <w:t>Randal McDonald (Bar No. 032008)</w:t>
            </w:r>
          </w:p>
          <w:p w14:paraId="71195906" w14:textId="77777777" w:rsidR="00D263DA" w:rsidRPr="008C30C2" w:rsidRDefault="00D263DA" w:rsidP="00D263DA">
            <w:pPr>
              <w:widowControl w:val="0"/>
              <w:spacing w:line="240" w:lineRule="exact"/>
              <w:ind w:left="108" w:right="252"/>
              <w:rPr>
                <w:sz w:val="28"/>
                <w:szCs w:val="28"/>
              </w:rPr>
            </w:pPr>
            <w:r w:rsidRPr="008C30C2">
              <w:rPr>
                <w:sz w:val="28"/>
                <w:szCs w:val="28"/>
              </w:rPr>
              <w:t>Robert Dormady (Bar No. 031755)</w:t>
            </w:r>
          </w:p>
          <w:p w14:paraId="74792427" w14:textId="77777777" w:rsidR="00D263DA" w:rsidRPr="008C30C2" w:rsidRDefault="00D263DA" w:rsidP="00D263DA">
            <w:pPr>
              <w:widowControl w:val="0"/>
              <w:spacing w:line="240" w:lineRule="exact"/>
              <w:ind w:left="108" w:right="252"/>
              <w:rPr>
                <w:sz w:val="28"/>
                <w:szCs w:val="28"/>
              </w:rPr>
            </w:pPr>
            <w:r w:rsidRPr="008C30C2">
              <w:rPr>
                <w:sz w:val="28"/>
                <w:szCs w:val="28"/>
              </w:rPr>
              <w:t>Andi Humphreys (Bar No. 037814)</w:t>
            </w:r>
          </w:p>
          <w:p w14:paraId="666CD870" w14:textId="77777777" w:rsidR="00D263DA" w:rsidRPr="008C30C2" w:rsidRDefault="00D263DA" w:rsidP="00D263DA">
            <w:pPr>
              <w:widowControl w:val="0"/>
              <w:spacing w:line="240" w:lineRule="exact"/>
              <w:ind w:left="108" w:right="252"/>
              <w:rPr>
                <w:b/>
                <w:sz w:val="28"/>
                <w:szCs w:val="28"/>
              </w:rPr>
            </w:pPr>
            <w:r w:rsidRPr="008C30C2">
              <w:rPr>
                <w:b/>
                <w:sz w:val="28"/>
                <w:szCs w:val="28"/>
              </w:rPr>
              <w:t>Post-Conviction Legal Clinic</w:t>
            </w:r>
          </w:p>
          <w:p w14:paraId="78B82CA8" w14:textId="77777777" w:rsidR="00D263DA" w:rsidRPr="008C30C2" w:rsidRDefault="00D263DA" w:rsidP="00D263DA">
            <w:pPr>
              <w:widowControl w:val="0"/>
              <w:spacing w:line="240" w:lineRule="exact"/>
              <w:ind w:firstLine="110"/>
              <w:rPr>
                <w:sz w:val="28"/>
                <w:szCs w:val="28"/>
              </w:rPr>
            </w:pPr>
            <w:r w:rsidRPr="008C30C2">
              <w:rPr>
                <w:sz w:val="28"/>
                <w:szCs w:val="28"/>
              </w:rPr>
              <w:t>Sandra Day O’Connor College of Law</w:t>
            </w:r>
          </w:p>
          <w:p w14:paraId="4C961F6B" w14:textId="77777777" w:rsidR="00D263DA" w:rsidRPr="008C30C2" w:rsidRDefault="00D263DA" w:rsidP="00D263DA">
            <w:pPr>
              <w:widowControl w:val="0"/>
              <w:spacing w:line="240" w:lineRule="exact"/>
              <w:ind w:left="108" w:right="252"/>
              <w:rPr>
                <w:sz w:val="28"/>
                <w:szCs w:val="28"/>
              </w:rPr>
            </w:pPr>
            <w:r w:rsidRPr="008C30C2">
              <w:rPr>
                <w:sz w:val="28"/>
                <w:szCs w:val="28"/>
              </w:rPr>
              <w:t>111 E. Taylor St.</w:t>
            </w:r>
          </w:p>
          <w:p w14:paraId="36402569" w14:textId="77777777" w:rsidR="00D263DA" w:rsidRPr="008C30C2" w:rsidRDefault="00D263DA" w:rsidP="00D263DA">
            <w:pPr>
              <w:widowControl w:val="0"/>
              <w:spacing w:line="240" w:lineRule="exact"/>
              <w:ind w:left="108" w:right="252"/>
              <w:rPr>
                <w:sz w:val="28"/>
                <w:szCs w:val="28"/>
              </w:rPr>
            </w:pPr>
            <w:r w:rsidRPr="008C30C2">
              <w:rPr>
                <w:sz w:val="28"/>
                <w:szCs w:val="28"/>
              </w:rPr>
              <w:t>Phoenix, AZ 850004</w:t>
            </w:r>
            <w:r w:rsidRPr="008C30C2" w:rsidDel="00564553">
              <w:rPr>
                <w:sz w:val="28"/>
                <w:szCs w:val="28"/>
              </w:rPr>
              <w:t xml:space="preserve"> </w:t>
            </w:r>
          </w:p>
          <w:p w14:paraId="55E8094E" w14:textId="77777777" w:rsidR="00D263DA" w:rsidRPr="008C30C2" w:rsidRDefault="00D263DA" w:rsidP="00D263DA">
            <w:pPr>
              <w:widowControl w:val="0"/>
              <w:spacing w:line="240" w:lineRule="exact"/>
              <w:ind w:left="108" w:right="252"/>
              <w:rPr>
                <w:sz w:val="28"/>
                <w:szCs w:val="28"/>
              </w:rPr>
            </w:pPr>
            <w:r w:rsidRPr="008C30C2">
              <w:rPr>
                <w:sz w:val="28"/>
                <w:szCs w:val="28"/>
              </w:rPr>
              <w:t>(480) 965-2874</w:t>
            </w:r>
          </w:p>
          <w:p w14:paraId="41B9DF36" w14:textId="77777777" w:rsidR="00D263DA" w:rsidRPr="008C30C2" w:rsidRDefault="00D263DA" w:rsidP="00D263DA">
            <w:pPr>
              <w:widowControl w:val="0"/>
              <w:spacing w:line="240" w:lineRule="exact"/>
              <w:ind w:left="108" w:right="252"/>
              <w:rPr>
                <w:sz w:val="28"/>
                <w:szCs w:val="28"/>
              </w:rPr>
            </w:pPr>
            <w:hyperlink r:id="rId8" w:history="1">
              <w:r w:rsidRPr="008C30C2">
                <w:rPr>
                  <w:color w:val="0000FF"/>
                  <w:sz w:val="28"/>
                  <w:szCs w:val="28"/>
                  <w:u w:val="single"/>
                </w:rPr>
                <w:t>randal.mcdonald@asu.edu</w:t>
              </w:r>
            </w:hyperlink>
          </w:p>
          <w:p w14:paraId="17C8DCE2" w14:textId="77777777" w:rsidR="00D263DA" w:rsidRPr="008C30C2" w:rsidRDefault="00D263DA" w:rsidP="00D263DA">
            <w:pPr>
              <w:widowControl w:val="0"/>
              <w:spacing w:line="240" w:lineRule="exact"/>
              <w:ind w:left="108" w:right="252"/>
              <w:rPr>
                <w:sz w:val="28"/>
                <w:szCs w:val="28"/>
              </w:rPr>
            </w:pPr>
            <w:hyperlink r:id="rId9" w:history="1">
              <w:r w:rsidRPr="008C30C2">
                <w:rPr>
                  <w:color w:val="0000FF"/>
                  <w:sz w:val="28"/>
                  <w:szCs w:val="28"/>
                  <w:u w:val="single"/>
                </w:rPr>
                <w:t>robert.dormady@asu.edu</w:t>
              </w:r>
            </w:hyperlink>
          </w:p>
          <w:p w14:paraId="7B3DBC20" w14:textId="5F92A4CB" w:rsidR="006F63FD" w:rsidRPr="00D263DA" w:rsidRDefault="00D263DA" w:rsidP="00D263DA">
            <w:pPr>
              <w:widowControl w:val="0"/>
              <w:spacing w:line="240" w:lineRule="exact"/>
              <w:ind w:left="108" w:right="252"/>
              <w:rPr>
                <w:sz w:val="26"/>
                <w:szCs w:val="26"/>
              </w:rPr>
            </w:pPr>
            <w:hyperlink r:id="rId10" w:history="1">
              <w:r w:rsidRPr="008C30C2">
                <w:rPr>
                  <w:color w:val="0000FF"/>
                  <w:sz w:val="28"/>
                  <w:szCs w:val="28"/>
                  <w:u w:val="single"/>
                </w:rPr>
                <w:t>andi.humphreys@asu.edu</w:t>
              </w:r>
            </w:hyperlink>
          </w:p>
        </w:tc>
        <w:tc>
          <w:tcPr>
            <w:tcW w:w="4200" w:type="dxa"/>
          </w:tcPr>
          <w:p w14:paraId="0A670938" w14:textId="77777777" w:rsidR="00357F4D" w:rsidRPr="000F7A7F" w:rsidRDefault="00357F4D" w:rsidP="00000C35">
            <w:pPr>
              <w:ind w:left="113" w:right="113"/>
              <w:rPr>
                <w:sz w:val="26"/>
                <w:szCs w:val="26"/>
              </w:rPr>
            </w:pPr>
          </w:p>
        </w:tc>
      </w:tr>
      <w:bookmarkEnd w:id="0"/>
    </w:tbl>
    <w:p w14:paraId="08E71DA7" w14:textId="77777777" w:rsidR="00357F4D" w:rsidRPr="000F7A7F" w:rsidRDefault="00357F4D" w:rsidP="00735659">
      <w:pPr>
        <w:pStyle w:val="Court"/>
        <w:spacing w:line="508" w:lineRule="exact"/>
        <w:jc w:val="left"/>
        <w:rPr>
          <w:b/>
        </w:rPr>
      </w:pPr>
    </w:p>
    <w:p w14:paraId="25693B34"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024B1021" w14:textId="77777777" w:rsidTr="004331B2">
        <w:tc>
          <w:tcPr>
            <w:tcW w:w="4680" w:type="dxa"/>
            <w:tcBorders>
              <w:top w:val="nil"/>
              <w:bottom w:val="single" w:sz="4" w:space="0" w:color="auto"/>
              <w:right w:val="single" w:sz="4" w:space="0" w:color="auto"/>
            </w:tcBorders>
          </w:tcPr>
          <w:p w14:paraId="511101D2"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147FBD84" w14:textId="72BDB75F" w:rsidR="00357F4D" w:rsidRPr="00732169" w:rsidRDefault="00E67511" w:rsidP="00E321C5">
            <w:pPr>
              <w:pStyle w:val="Caption"/>
              <w:spacing w:before="240" w:line="260" w:lineRule="exact"/>
              <w:rPr>
                <w:b/>
                <w:sz w:val="28"/>
                <w:szCs w:val="28"/>
              </w:rPr>
            </w:pPr>
            <w:r w:rsidRPr="00732169">
              <w:rPr>
                <w:b/>
                <w:sz w:val="28"/>
                <w:szCs w:val="28"/>
              </w:rPr>
              <w:t xml:space="preserve">PETITION TO </w:t>
            </w:r>
            <w:r w:rsidR="00957D72">
              <w:rPr>
                <w:b/>
                <w:sz w:val="28"/>
                <w:szCs w:val="28"/>
              </w:rPr>
              <w:t xml:space="preserve">AMEND </w:t>
            </w:r>
            <w:r w:rsidR="00D9132A">
              <w:rPr>
                <w:b/>
                <w:sz w:val="28"/>
                <w:szCs w:val="28"/>
              </w:rPr>
              <w:t>RULES 32.4 AND 33.4 OF THE RULES OF CRIMINAL PROCEDURE</w:t>
            </w:r>
          </w:p>
          <w:p w14:paraId="03963DD5" w14:textId="77777777" w:rsidR="00357F4D" w:rsidRPr="000F7A7F" w:rsidRDefault="00357F4D" w:rsidP="00E321C5">
            <w:pPr>
              <w:pStyle w:val="Caption"/>
              <w:spacing w:before="240" w:after="240"/>
              <w:rPr>
                <w:szCs w:val="26"/>
              </w:rPr>
            </w:pPr>
          </w:p>
        </w:tc>
        <w:tc>
          <w:tcPr>
            <w:tcW w:w="4524" w:type="dxa"/>
            <w:tcBorders>
              <w:top w:val="nil"/>
              <w:left w:val="single" w:sz="4" w:space="0" w:color="auto"/>
            </w:tcBorders>
          </w:tcPr>
          <w:p w14:paraId="35CED5CB" w14:textId="60269200"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8A4EB3">
              <w:rPr>
                <w:sz w:val="28"/>
                <w:szCs w:val="28"/>
              </w:rPr>
              <w:t>2</w:t>
            </w:r>
            <w:r w:rsidR="00482946">
              <w:rPr>
                <w:sz w:val="28"/>
                <w:szCs w:val="28"/>
              </w:rPr>
              <w:t>6</w:t>
            </w:r>
            <w:r w:rsidR="00F850BE">
              <w:rPr>
                <w:sz w:val="28"/>
                <w:szCs w:val="28"/>
              </w:rPr>
              <w:t>-</w:t>
            </w:r>
            <w:r w:rsidR="00957D72">
              <w:rPr>
                <w:sz w:val="28"/>
                <w:szCs w:val="28"/>
              </w:rPr>
              <w:t>0005</w:t>
            </w:r>
          </w:p>
          <w:p w14:paraId="5AEC962D" w14:textId="3E24D90F" w:rsidR="00357F4D" w:rsidRPr="008C30C2" w:rsidRDefault="00A4249C" w:rsidP="000F7A7F">
            <w:pPr>
              <w:pStyle w:val="Caption"/>
              <w:tabs>
                <w:tab w:val="left" w:pos="1238"/>
              </w:tabs>
              <w:spacing w:line="260" w:lineRule="exact"/>
              <w:ind w:right="115"/>
              <w:jc w:val="center"/>
              <w:rPr>
                <w:b/>
                <w:sz w:val="28"/>
                <w:szCs w:val="28"/>
              </w:rPr>
            </w:pPr>
            <w:r w:rsidRPr="008C30C2">
              <w:rPr>
                <w:b/>
                <w:sz w:val="28"/>
                <w:szCs w:val="28"/>
              </w:rPr>
              <w:t>COMMENT</w:t>
            </w:r>
          </w:p>
          <w:p w14:paraId="414A167D" w14:textId="77777777" w:rsidR="00357F4D" w:rsidRPr="000F7A7F" w:rsidRDefault="00357F4D" w:rsidP="00E321C5">
            <w:pPr>
              <w:pStyle w:val="DocumentTitle"/>
              <w:rPr>
                <w:szCs w:val="26"/>
              </w:rPr>
            </w:pPr>
          </w:p>
          <w:p w14:paraId="524D8097" w14:textId="77777777" w:rsidR="00357F4D" w:rsidRPr="000F7A7F" w:rsidRDefault="00357F4D" w:rsidP="00E321C5">
            <w:pPr>
              <w:pStyle w:val="Caption"/>
              <w:ind w:left="1512" w:right="115" w:hanging="1253"/>
              <w:rPr>
                <w:szCs w:val="26"/>
              </w:rPr>
            </w:pPr>
          </w:p>
        </w:tc>
      </w:tr>
    </w:tbl>
    <w:bookmarkEnd w:id="1"/>
    <w:p w14:paraId="2DE54F5C" w14:textId="24794F0D" w:rsidR="00B514A3" w:rsidRDefault="00B514A3" w:rsidP="00230902">
      <w:pPr>
        <w:pStyle w:val="Body"/>
        <w:widowControl w:val="0"/>
        <w:ind w:firstLine="720"/>
        <w:jc w:val="both"/>
        <w:rPr>
          <w:sz w:val="28"/>
          <w:szCs w:val="28"/>
        </w:rPr>
      </w:pPr>
      <w:r w:rsidRPr="00B514A3">
        <w:rPr>
          <w:sz w:val="28"/>
          <w:szCs w:val="28"/>
        </w:rPr>
        <w:t xml:space="preserve">Pursuant to Rule 28(e), Rules of the Arizona Supreme Court, the Arizona State University Post-Conviction Clinic respectfully submits this comment </w:t>
      </w:r>
      <w:r w:rsidR="006E0B06">
        <w:rPr>
          <w:sz w:val="28"/>
          <w:szCs w:val="28"/>
        </w:rPr>
        <w:t>in opposition to</w:t>
      </w:r>
      <w:r w:rsidRPr="00B514A3">
        <w:rPr>
          <w:sz w:val="28"/>
          <w:szCs w:val="28"/>
        </w:rPr>
        <w:t xml:space="preserve"> the </w:t>
      </w:r>
      <w:r w:rsidR="006E0B06">
        <w:rPr>
          <w:sz w:val="28"/>
          <w:szCs w:val="28"/>
        </w:rPr>
        <w:t xml:space="preserve">above-captioned </w:t>
      </w:r>
      <w:r w:rsidRPr="00B514A3">
        <w:rPr>
          <w:sz w:val="28"/>
          <w:szCs w:val="28"/>
        </w:rPr>
        <w:t>petition seeking to amend Rules 32.4 and 33.4 to impose a seven-page limit on notices of post-conviction relief.</w:t>
      </w:r>
    </w:p>
    <w:p w14:paraId="290DA59B" w14:textId="21EF7A53" w:rsidR="00230902" w:rsidRPr="00B514A3" w:rsidRDefault="00230902" w:rsidP="00230902">
      <w:pPr>
        <w:pStyle w:val="Body"/>
        <w:widowControl w:val="0"/>
        <w:ind w:firstLine="720"/>
        <w:jc w:val="both"/>
        <w:rPr>
          <w:sz w:val="28"/>
          <w:szCs w:val="28"/>
        </w:rPr>
      </w:pPr>
      <w:r w:rsidRPr="008C232C">
        <w:rPr>
          <w:sz w:val="28"/>
          <w:szCs w:val="28"/>
        </w:rPr>
        <w:t>The ASU Post-Conviction Clinic is a pro bono legal aid clinic that has been housed in the Sandra Day O’Connor College of Law for the past 17 years. The Post-Conviction Cl</w:t>
      </w:r>
      <w:r w:rsidR="006E0B06">
        <w:rPr>
          <w:sz w:val="28"/>
          <w:szCs w:val="28"/>
        </w:rPr>
        <w:t>in</w:t>
      </w:r>
      <w:r w:rsidRPr="008C232C">
        <w:rPr>
          <w:sz w:val="28"/>
          <w:szCs w:val="28"/>
        </w:rPr>
        <w:t>ic is primarily staffed by Rule 39</w:t>
      </w:r>
      <w:r w:rsidR="00A57EBA">
        <w:rPr>
          <w:sz w:val="28"/>
          <w:szCs w:val="28"/>
        </w:rPr>
        <w:t>-</w:t>
      </w:r>
      <w:r w:rsidRPr="008C232C">
        <w:rPr>
          <w:sz w:val="28"/>
          <w:szCs w:val="28"/>
        </w:rPr>
        <w:t xml:space="preserve">certified law students and their supervising attorneys. The Post-Conviction Clinic investigates claims of wrongful conviction and manifest injustice from prisoners convicted of crimes in Arizona. The </w:t>
      </w:r>
      <w:r w:rsidR="00A57EBA">
        <w:rPr>
          <w:sz w:val="28"/>
          <w:szCs w:val="28"/>
        </w:rPr>
        <w:t>C</w:t>
      </w:r>
      <w:r w:rsidRPr="008C232C">
        <w:rPr>
          <w:sz w:val="28"/>
          <w:szCs w:val="28"/>
        </w:rPr>
        <w:t>linic regularly represents clients who are in various stages of post-conviction proceedings</w:t>
      </w:r>
      <w:r w:rsidR="006E0B06">
        <w:rPr>
          <w:sz w:val="28"/>
          <w:szCs w:val="28"/>
        </w:rPr>
        <w:t xml:space="preserve"> </w:t>
      </w:r>
      <w:r w:rsidRPr="00B514A3">
        <w:rPr>
          <w:sz w:val="28"/>
          <w:szCs w:val="28"/>
        </w:rPr>
        <w:t xml:space="preserve">and regularly </w:t>
      </w:r>
      <w:proofErr w:type="gramStart"/>
      <w:r w:rsidRPr="00B514A3">
        <w:rPr>
          <w:sz w:val="28"/>
          <w:szCs w:val="28"/>
        </w:rPr>
        <w:t>encounters</w:t>
      </w:r>
      <w:proofErr w:type="gramEnd"/>
      <w:r w:rsidRPr="00B514A3">
        <w:rPr>
          <w:sz w:val="28"/>
          <w:szCs w:val="28"/>
        </w:rPr>
        <w:t xml:space="preserve"> procedural barriers that can preclude meritorious claims.</w:t>
      </w:r>
    </w:p>
    <w:p w14:paraId="512257E9" w14:textId="4834D545" w:rsidR="00B514A3" w:rsidRPr="00B514A3" w:rsidRDefault="00B514A3" w:rsidP="00230902">
      <w:pPr>
        <w:pStyle w:val="Body"/>
        <w:widowControl w:val="0"/>
        <w:ind w:firstLine="720"/>
        <w:jc w:val="both"/>
        <w:rPr>
          <w:sz w:val="28"/>
          <w:szCs w:val="28"/>
        </w:rPr>
      </w:pPr>
      <w:r w:rsidRPr="00B514A3">
        <w:rPr>
          <w:sz w:val="28"/>
          <w:szCs w:val="28"/>
        </w:rPr>
        <w:lastRenderedPageBreak/>
        <w:t xml:space="preserve">Under Rule 32.2, a petitioner filing a successive or untimely notice may raise only </w:t>
      </w:r>
      <w:r w:rsidR="006E0B06">
        <w:rPr>
          <w:sz w:val="28"/>
          <w:szCs w:val="28"/>
        </w:rPr>
        <w:t>limited claims</w:t>
      </w:r>
      <w:r w:rsidRPr="00B514A3">
        <w:rPr>
          <w:sz w:val="28"/>
          <w:szCs w:val="28"/>
        </w:rPr>
        <w:t xml:space="preserve">. The rule requires the notice itself to “set forth the substance of the specific exception and the reasons for not raising the claim in the previous petition or in a timely manner,” and provides that if those reasons do not appear, “the notice shall be summarily dismissed.” Courts may enforce preclusion </w:t>
      </w:r>
      <w:proofErr w:type="spellStart"/>
      <w:r w:rsidRPr="006E0B06">
        <w:rPr>
          <w:i/>
          <w:iCs/>
          <w:sz w:val="28"/>
          <w:szCs w:val="28"/>
        </w:rPr>
        <w:t>sua</w:t>
      </w:r>
      <w:proofErr w:type="spellEnd"/>
      <w:r w:rsidRPr="006E0B06">
        <w:rPr>
          <w:i/>
          <w:iCs/>
          <w:sz w:val="28"/>
          <w:szCs w:val="28"/>
        </w:rPr>
        <w:t xml:space="preserve"> sponte</w:t>
      </w:r>
      <w:r w:rsidRPr="00B514A3">
        <w:rPr>
          <w:sz w:val="28"/>
          <w:szCs w:val="28"/>
        </w:rPr>
        <w:t>,</w:t>
      </w:r>
      <w:r w:rsidR="006E0B06">
        <w:rPr>
          <w:sz w:val="28"/>
          <w:szCs w:val="28"/>
        </w:rPr>
        <w:t xml:space="preserve"> without giving the defendant an opportunity to respond,</w:t>
      </w:r>
      <w:r w:rsidRPr="00B514A3">
        <w:rPr>
          <w:sz w:val="28"/>
          <w:szCs w:val="28"/>
        </w:rPr>
        <w:t xml:space="preserve"> and failure to plead the applicable exception</w:t>
      </w:r>
      <w:r w:rsidR="006E0B06">
        <w:rPr>
          <w:sz w:val="28"/>
          <w:szCs w:val="28"/>
        </w:rPr>
        <w:t xml:space="preserve"> often</w:t>
      </w:r>
      <w:r w:rsidRPr="00B514A3">
        <w:rPr>
          <w:sz w:val="28"/>
          <w:szCs w:val="28"/>
        </w:rPr>
        <w:t xml:space="preserve"> forecloses review.</w:t>
      </w:r>
    </w:p>
    <w:p w14:paraId="0883D814" w14:textId="56D4E662" w:rsidR="00B514A3" w:rsidRPr="00B514A3" w:rsidRDefault="00B514A3" w:rsidP="00230902">
      <w:pPr>
        <w:pStyle w:val="Body"/>
        <w:widowControl w:val="0"/>
        <w:ind w:firstLine="720"/>
        <w:jc w:val="both"/>
        <w:rPr>
          <w:sz w:val="28"/>
          <w:szCs w:val="28"/>
        </w:rPr>
      </w:pPr>
      <w:r w:rsidRPr="00B514A3">
        <w:rPr>
          <w:sz w:val="28"/>
          <w:szCs w:val="28"/>
        </w:rPr>
        <w:t xml:space="preserve">Rule 32.4 reinforces that the notice must do more than initiate the proceeding. Form 24(b) reflects this requirement. It directs defendants filing untimely notices to explain why the delay was not their fault, permits additional pages, and already spans four pages. It also requires petitioners to certify that all known claims </w:t>
      </w:r>
      <w:r w:rsidR="006E0B06">
        <w:rPr>
          <w:sz w:val="28"/>
          <w:szCs w:val="28"/>
        </w:rPr>
        <w:t>have</w:t>
      </w:r>
      <w:r w:rsidRPr="00B514A3">
        <w:rPr>
          <w:sz w:val="28"/>
          <w:szCs w:val="28"/>
        </w:rPr>
        <w:t xml:space="preserve"> be</w:t>
      </w:r>
      <w:r w:rsidR="006E0B06">
        <w:rPr>
          <w:sz w:val="28"/>
          <w:szCs w:val="28"/>
        </w:rPr>
        <w:t>en</w:t>
      </w:r>
      <w:r w:rsidRPr="00B514A3">
        <w:rPr>
          <w:sz w:val="28"/>
          <w:szCs w:val="28"/>
        </w:rPr>
        <w:t xml:space="preserve"> raised.</w:t>
      </w:r>
    </w:p>
    <w:p w14:paraId="71C43283" w14:textId="0A5FB7EC" w:rsidR="00B514A3" w:rsidRPr="00B514A3" w:rsidRDefault="00B514A3" w:rsidP="00230902">
      <w:pPr>
        <w:pStyle w:val="Body"/>
        <w:widowControl w:val="0"/>
        <w:ind w:firstLine="720"/>
        <w:jc w:val="both"/>
        <w:rPr>
          <w:sz w:val="28"/>
          <w:szCs w:val="28"/>
        </w:rPr>
      </w:pPr>
      <w:r w:rsidRPr="00B514A3">
        <w:rPr>
          <w:sz w:val="28"/>
          <w:szCs w:val="28"/>
        </w:rPr>
        <w:t xml:space="preserve">The form alone is often insufficient. Courts have recognized that additional factual detail may be required. See </w:t>
      </w:r>
      <w:r w:rsidRPr="00B514A3">
        <w:rPr>
          <w:i/>
          <w:iCs/>
          <w:sz w:val="28"/>
          <w:szCs w:val="28"/>
        </w:rPr>
        <w:t>State v. Jacobs</w:t>
      </w:r>
      <w:r w:rsidRPr="00B514A3">
        <w:rPr>
          <w:sz w:val="28"/>
          <w:szCs w:val="28"/>
        </w:rPr>
        <w:t>, 1 CA-CR 23-0167 PRPC, 2023 WL 6223066 (App. Sept. 26, 2023). The Arizona Supreme Court acknowledged this in Administrative Order No. 2023-140, which amended Form 24(b) to provide space for successive petitioners to explain why claims were not raised earlier. Some versions of the form explicitly invite attachments. The rule and form thus assume that proper notice</w:t>
      </w:r>
      <w:r>
        <w:rPr>
          <w:sz w:val="28"/>
          <w:szCs w:val="28"/>
        </w:rPr>
        <w:t xml:space="preserve">, </w:t>
      </w:r>
      <w:r w:rsidRPr="00B514A3">
        <w:rPr>
          <w:sz w:val="28"/>
          <w:szCs w:val="28"/>
        </w:rPr>
        <w:t>especially in untimely or successive cases</w:t>
      </w:r>
      <w:r>
        <w:rPr>
          <w:sz w:val="28"/>
          <w:szCs w:val="28"/>
        </w:rPr>
        <w:t xml:space="preserve">, </w:t>
      </w:r>
      <w:r w:rsidRPr="00B514A3">
        <w:rPr>
          <w:sz w:val="28"/>
          <w:szCs w:val="28"/>
        </w:rPr>
        <w:t>may require factual explanation beyond the form itself.</w:t>
      </w:r>
    </w:p>
    <w:p w14:paraId="46DB6830" w14:textId="0FDE60F0" w:rsidR="00B514A3" w:rsidRPr="00B514A3" w:rsidRDefault="00B514A3" w:rsidP="00230902">
      <w:pPr>
        <w:pStyle w:val="Body"/>
        <w:widowControl w:val="0"/>
        <w:ind w:firstLine="720"/>
        <w:jc w:val="both"/>
        <w:rPr>
          <w:sz w:val="28"/>
          <w:szCs w:val="28"/>
        </w:rPr>
      </w:pPr>
      <w:r w:rsidRPr="00B514A3">
        <w:rPr>
          <w:sz w:val="28"/>
          <w:szCs w:val="28"/>
        </w:rPr>
        <w:t xml:space="preserve">The proposed amendment would impose a strict seven-page limit. While page limits can promote brevity, a rigid cap is incompatible with the function of the notice in Rule 32 and 33 proceedings. Because the notice is the only required pleading before the petition, it often must explain procedural history, establish an applicable exception, and show why the claim is not precluded. In many cases, this requires describing newly discovered evidence, changes in the law, or prior counsel’s failure </w:t>
      </w:r>
      <w:r w:rsidRPr="00B514A3">
        <w:rPr>
          <w:sz w:val="28"/>
          <w:szCs w:val="28"/>
        </w:rPr>
        <w:lastRenderedPageBreak/>
        <w:t>to raise claims</w:t>
      </w:r>
      <w:r>
        <w:rPr>
          <w:sz w:val="28"/>
          <w:szCs w:val="28"/>
        </w:rPr>
        <w:t xml:space="preserve">. These are </w:t>
      </w:r>
      <w:r w:rsidRPr="00B514A3">
        <w:rPr>
          <w:sz w:val="28"/>
          <w:szCs w:val="28"/>
        </w:rPr>
        <w:t>matters that cannot always be compressed into seven pages.</w:t>
      </w:r>
    </w:p>
    <w:p w14:paraId="1FB24C1E" w14:textId="1D8B643B" w:rsidR="00B514A3" w:rsidRPr="00B514A3" w:rsidRDefault="00B514A3" w:rsidP="00230902">
      <w:pPr>
        <w:pStyle w:val="Body"/>
        <w:widowControl w:val="0"/>
        <w:ind w:firstLine="720"/>
        <w:jc w:val="both"/>
        <w:rPr>
          <w:sz w:val="28"/>
          <w:szCs w:val="28"/>
        </w:rPr>
      </w:pPr>
      <w:r w:rsidRPr="00B514A3">
        <w:rPr>
          <w:sz w:val="28"/>
          <w:szCs w:val="28"/>
        </w:rPr>
        <w:t xml:space="preserve">Preclusion operates as a complete bar. If a notice fails to adequately plead an exception, the court must dismiss it. The consequence of an over-short notice is therefore severe: a petitioner may lose any opportunity for review not because the claim lacks merit, but because the explanation was </w:t>
      </w:r>
      <w:r w:rsidR="0029256A">
        <w:rPr>
          <w:sz w:val="28"/>
          <w:szCs w:val="28"/>
        </w:rPr>
        <w:t>too short and now the window for a timely claim has passed</w:t>
      </w:r>
      <w:r w:rsidRPr="00B514A3">
        <w:rPr>
          <w:sz w:val="28"/>
          <w:szCs w:val="28"/>
        </w:rPr>
        <w:t>. This risk will fall most heavily on self-represented and indigent petitioners, who already struggle to navigate these rules and rely on forms that contemplate additional pages. A strict page limit would force them to omit claims or abbreviate explanations at the cost of forfeiting relief.</w:t>
      </w:r>
    </w:p>
    <w:p w14:paraId="36CBEB74" w14:textId="77777777" w:rsidR="00B514A3" w:rsidRPr="00B514A3" w:rsidRDefault="00B514A3" w:rsidP="00230902">
      <w:pPr>
        <w:pStyle w:val="Body"/>
        <w:widowControl w:val="0"/>
        <w:ind w:firstLine="720"/>
        <w:jc w:val="both"/>
        <w:rPr>
          <w:sz w:val="28"/>
          <w:szCs w:val="28"/>
        </w:rPr>
      </w:pPr>
      <w:r w:rsidRPr="00B514A3">
        <w:rPr>
          <w:sz w:val="28"/>
          <w:szCs w:val="28"/>
        </w:rPr>
        <w:t>The petition offers little evidence that current notices are so lengthy as to justify a uniform limit. It does not identify cases in which notice length has meaningfully burdened courts. Existing rules already allow courts to address abusive or prolix filings. A fixed page cap is therefore unlikely to improve efficiency and may instead generate additional litigation over compliance, extensions, and timeliness.</w:t>
      </w:r>
    </w:p>
    <w:p w14:paraId="580C120E" w14:textId="4400F5F0" w:rsidR="00B514A3" w:rsidRPr="00B514A3" w:rsidRDefault="00B514A3" w:rsidP="006E0B06">
      <w:pPr>
        <w:pStyle w:val="Body"/>
        <w:keepNext/>
        <w:ind w:firstLine="720"/>
        <w:jc w:val="both"/>
        <w:rPr>
          <w:sz w:val="28"/>
          <w:szCs w:val="28"/>
        </w:rPr>
      </w:pPr>
      <w:r w:rsidRPr="00B514A3">
        <w:rPr>
          <w:sz w:val="28"/>
          <w:szCs w:val="28"/>
        </w:rPr>
        <w:t xml:space="preserve">Recent case law underscores how easily petitioners can default at the notice stage. In </w:t>
      </w:r>
      <w:r w:rsidRPr="00B514A3">
        <w:rPr>
          <w:i/>
          <w:iCs/>
          <w:sz w:val="28"/>
          <w:szCs w:val="28"/>
        </w:rPr>
        <w:t>Jacobs</w:t>
      </w:r>
      <w:r w:rsidRPr="00B514A3">
        <w:rPr>
          <w:sz w:val="28"/>
          <w:szCs w:val="28"/>
        </w:rPr>
        <w:t xml:space="preserve">, the petitioner failed to explain why he did not raise an </w:t>
      </w:r>
      <w:proofErr w:type="gramStart"/>
      <w:r w:rsidRPr="00B514A3">
        <w:rPr>
          <w:sz w:val="28"/>
          <w:szCs w:val="28"/>
        </w:rPr>
        <w:t>actual-innocence</w:t>
      </w:r>
      <w:proofErr w:type="gramEnd"/>
      <w:r w:rsidRPr="00B514A3">
        <w:rPr>
          <w:sz w:val="28"/>
          <w:szCs w:val="28"/>
        </w:rPr>
        <w:t xml:space="preserve"> claim earlier, and the court dismissed the notice despite his use of the standard form. 2023 WL 6223066, at *2. In </w:t>
      </w:r>
      <w:r w:rsidRPr="00B514A3">
        <w:rPr>
          <w:i/>
          <w:iCs/>
          <w:sz w:val="28"/>
          <w:szCs w:val="28"/>
        </w:rPr>
        <w:t>State v. Petty</w:t>
      </w:r>
      <w:r w:rsidRPr="00B514A3">
        <w:rPr>
          <w:sz w:val="28"/>
          <w:szCs w:val="28"/>
        </w:rPr>
        <w:t xml:space="preserve">, 225 Ariz. 369, 371 ¶ 4 (App. 2010), a successive notice was dismissed because the required explanation was not apparent, leading to additional litigation before relief was ultimately allowed. In </w:t>
      </w:r>
      <w:r w:rsidRPr="00B514A3">
        <w:rPr>
          <w:i/>
          <w:iCs/>
          <w:sz w:val="28"/>
          <w:szCs w:val="28"/>
        </w:rPr>
        <w:t>State v. Harden</w:t>
      </w:r>
      <w:r w:rsidRPr="00B514A3">
        <w:rPr>
          <w:sz w:val="28"/>
          <w:szCs w:val="28"/>
        </w:rPr>
        <w:t>, the court affirmed dismissal of an untimely notice where the petitioner failed to articulate sufficient reasons for delay</w:t>
      </w:r>
      <w:r w:rsidR="0029256A">
        <w:rPr>
          <w:sz w:val="28"/>
          <w:szCs w:val="28"/>
        </w:rPr>
        <w:t xml:space="preserve">. </w:t>
      </w:r>
      <w:r w:rsidR="0029256A" w:rsidRPr="00B514A3">
        <w:rPr>
          <w:sz w:val="28"/>
          <w:szCs w:val="28"/>
        </w:rPr>
        <w:t>228 Ariz. 131 (App. 2011)</w:t>
      </w:r>
      <w:r w:rsidRPr="00B514A3">
        <w:rPr>
          <w:sz w:val="28"/>
          <w:szCs w:val="28"/>
        </w:rPr>
        <w:t xml:space="preserve">. These cases show that the notice already functions as a meaningful </w:t>
      </w:r>
      <w:r w:rsidRPr="00B514A3">
        <w:rPr>
          <w:sz w:val="28"/>
          <w:szCs w:val="28"/>
        </w:rPr>
        <w:lastRenderedPageBreak/>
        <w:t>gatekeeping mechanism requiring factual detail. A strict page limit would only heighten the risk of dismissal on technical grounds</w:t>
      </w:r>
      <w:r w:rsidR="006975DF">
        <w:rPr>
          <w:sz w:val="28"/>
          <w:szCs w:val="28"/>
        </w:rPr>
        <w:t>.</w:t>
      </w:r>
    </w:p>
    <w:p w14:paraId="74CBABD8" w14:textId="0DDC05EB" w:rsidR="000C48A9" w:rsidRPr="006F63FD" w:rsidRDefault="007A3F0F" w:rsidP="00230902">
      <w:pPr>
        <w:pStyle w:val="Body"/>
        <w:widowControl w:val="0"/>
        <w:ind w:firstLine="0"/>
        <w:jc w:val="center"/>
        <w:rPr>
          <w:rStyle w:val="BodyTextChar"/>
          <w:b/>
          <w:sz w:val="28"/>
          <w:szCs w:val="28"/>
        </w:rPr>
      </w:pPr>
      <w:r w:rsidRPr="006F63FD">
        <w:rPr>
          <w:rStyle w:val="BodyTextChar"/>
          <w:b/>
          <w:sz w:val="28"/>
          <w:szCs w:val="28"/>
        </w:rPr>
        <w:t>CONCLUSION</w:t>
      </w:r>
    </w:p>
    <w:p w14:paraId="4A07E8A6" w14:textId="40309CFA" w:rsidR="00052372" w:rsidRDefault="000C48A9" w:rsidP="00230902">
      <w:pPr>
        <w:pStyle w:val="Body"/>
        <w:widowControl w:val="0"/>
        <w:tabs>
          <w:tab w:val="left" w:pos="720"/>
        </w:tabs>
        <w:ind w:firstLine="0"/>
        <w:jc w:val="both"/>
        <w:rPr>
          <w:sz w:val="28"/>
          <w:szCs w:val="28"/>
        </w:rPr>
      </w:pPr>
      <w:r w:rsidRPr="006F63FD">
        <w:rPr>
          <w:sz w:val="28"/>
          <w:szCs w:val="28"/>
        </w:rPr>
        <w:tab/>
      </w:r>
      <w:r w:rsidR="00B514A3" w:rsidRPr="00B514A3">
        <w:rPr>
          <w:sz w:val="28"/>
          <w:szCs w:val="28"/>
        </w:rPr>
        <w:t xml:space="preserve">For these reasons, the Arizona State University Post-Conviction Clinic respectfully requests that the Court </w:t>
      </w:r>
      <w:r w:rsidR="006E0B06">
        <w:rPr>
          <w:b/>
          <w:bCs/>
          <w:sz w:val="28"/>
          <w:szCs w:val="28"/>
        </w:rPr>
        <w:t>deny</w:t>
      </w:r>
      <w:r w:rsidR="006E0B06">
        <w:rPr>
          <w:sz w:val="28"/>
          <w:szCs w:val="28"/>
        </w:rPr>
        <w:t xml:space="preserve"> the petition and </w:t>
      </w:r>
      <w:r w:rsidR="00B514A3" w:rsidRPr="006E0B06">
        <w:rPr>
          <w:sz w:val="28"/>
          <w:szCs w:val="28"/>
        </w:rPr>
        <w:t>decline</w:t>
      </w:r>
      <w:r w:rsidR="00B514A3" w:rsidRPr="00B514A3">
        <w:rPr>
          <w:sz w:val="28"/>
          <w:szCs w:val="28"/>
        </w:rPr>
        <w:t xml:space="preserve"> to adopt a seven-page limit on notices of post-conviction relief.</w:t>
      </w:r>
    </w:p>
    <w:p w14:paraId="55FCFD9A" w14:textId="77777777" w:rsidR="006E0B06" w:rsidRDefault="006E0B06" w:rsidP="00230902">
      <w:pPr>
        <w:pStyle w:val="Body"/>
        <w:widowControl w:val="0"/>
        <w:tabs>
          <w:tab w:val="left" w:pos="720"/>
        </w:tabs>
        <w:ind w:firstLine="0"/>
        <w:jc w:val="both"/>
        <w:rPr>
          <w:sz w:val="28"/>
          <w:szCs w:val="28"/>
        </w:rPr>
      </w:pPr>
    </w:p>
    <w:tbl>
      <w:tblPr>
        <w:tblW w:w="9576" w:type="dxa"/>
        <w:tblInd w:w="-108" w:type="dxa"/>
        <w:tblLayout w:type="fixed"/>
        <w:tblCellMar>
          <w:left w:w="0" w:type="dxa"/>
          <w:right w:w="0" w:type="dxa"/>
        </w:tblCellMar>
        <w:tblLook w:val="0000" w:firstRow="0" w:lastRow="0" w:firstColumn="0" w:lastColumn="0" w:noHBand="0" w:noVBand="0"/>
      </w:tblPr>
      <w:tblGrid>
        <w:gridCol w:w="4338"/>
        <w:gridCol w:w="5238"/>
      </w:tblGrid>
      <w:tr w:rsidR="00D263DA" w:rsidRPr="001111CD" w14:paraId="26BEC591" w14:textId="77777777" w:rsidTr="00A55CD1">
        <w:trPr>
          <w:cantSplit/>
        </w:trPr>
        <w:tc>
          <w:tcPr>
            <w:tcW w:w="4338" w:type="dxa"/>
          </w:tcPr>
          <w:p w14:paraId="541B6939" w14:textId="45D847B6" w:rsidR="00D263DA" w:rsidRPr="008C30C2" w:rsidRDefault="00D263DA" w:rsidP="00A55CD1">
            <w:pPr>
              <w:pStyle w:val="PleadingSignature"/>
              <w:spacing w:before="240"/>
              <w:rPr>
                <w:sz w:val="28"/>
                <w:szCs w:val="28"/>
              </w:rPr>
            </w:pPr>
            <w:r w:rsidRPr="008C30C2">
              <w:rPr>
                <w:sz w:val="28"/>
                <w:szCs w:val="28"/>
              </w:rPr>
              <w:t>Dated:  May 1, 2026</w:t>
            </w:r>
          </w:p>
          <w:p w14:paraId="3AA0832E" w14:textId="77777777" w:rsidR="00D263DA" w:rsidRPr="008C30C2" w:rsidRDefault="00D263DA" w:rsidP="00A55CD1">
            <w:pPr>
              <w:pStyle w:val="PleadingSignature"/>
              <w:rPr>
                <w:sz w:val="28"/>
                <w:szCs w:val="28"/>
              </w:rPr>
            </w:pPr>
          </w:p>
        </w:tc>
        <w:tc>
          <w:tcPr>
            <w:tcW w:w="5238" w:type="dxa"/>
          </w:tcPr>
          <w:p w14:paraId="3AD53C86" w14:textId="77777777" w:rsidR="00D263DA" w:rsidRPr="008C30C2" w:rsidRDefault="00D263DA" w:rsidP="00A55CD1">
            <w:pPr>
              <w:pStyle w:val="PleadingSignature"/>
              <w:spacing w:before="240"/>
              <w:rPr>
                <w:caps/>
                <w:sz w:val="28"/>
                <w:szCs w:val="28"/>
              </w:rPr>
            </w:pPr>
            <w:r w:rsidRPr="008C30C2">
              <w:rPr>
                <w:caps/>
                <w:sz w:val="28"/>
                <w:szCs w:val="28"/>
              </w:rPr>
              <w:t>POST-CONVICTION LEGAL CLINIC</w:t>
            </w:r>
          </w:p>
          <w:p w14:paraId="217FBF17" w14:textId="77777777" w:rsidR="00D263DA" w:rsidRPr="008C30C2" w:rsidRDefault="00D263DA" w:rsidP="00A55CD1">
            <w:pPr>
              <w:keepNext/>
              <w:keepLines/>
              <w:spacing w:before="480"/>
              <w:ind w:right="108"/>
              <w:rPr>
                <w:sz w:val="28"/>
                <w:szCs w:val="28"/>
                <w:u w:val="single"/>
              </w:rPr>
            </w:pPr>
            <w:r w:rsidRPr="008C30C2">
              <w:rPr>
                <w:sz w:val="28"/>
                <w:szCs w:val="28"/>
              </w:rPr>
              <w:t>By:</w:t>
            </w:r>
            <w:r w:rsidRPr="008C30C2">
              <w:rPr>
                <w:sz w:val="28"/>
                <w:szCs w:val="28"/>
                <w:u w:val="single"/>
              </w:rPr>
              <w:t xml:space="preserve"> /s/ Randal McDonald</w:t>
            </w:r>
            <w:r w:rsidRPr="008C30C2">
              <w:rPr>
                <w:sz w:val="28"/>
                <w:szCs w:val="28"/>
                <w:u w:val="single"/>
              </w:rPr>
              <w:tab/>
            </w:r>
          </w:p>
          <w:p w14:paraId="3CD2AA1A" w14:textId="77777777" w:rsidR="00D263DA" w:rsidRPr="008C30C2" w:rsidRDefault="00D263DA" w:rsidP="00A55CD1">
            <w:pPr>
              <w:pStyle w:val="FirmInformation"/>
              <w:rPr>
                <w:sz w:val="28"/>
                <w:szCs w:val="28"/>
              </w:rPr>
            </w:pPr>
            <w:r w:rsidRPr="008C30C2">
              <w:rPr>
                <w:sz w:val="28"/>
                <w:szCs w:val="28"/>
              </w:rPr>
              <w:t>Randal McDonald</w:t>
            </w:r>
          </w:p>
          <w:p w14:paraId="78D46BA0" w14:textId="77777777" w:rsidR="00D263DA" w:rsidRPr="008C30C2" w:rsidRDefault="00D263DA" w:rsidP="00A55CD1">
            <w:pPr>
              <w:pStyle w:val="FirmInformation"/>
              <w:rPr>
                <w:sz w:val="28"/>
                <w:szCs w:val="28"/>
              </w:rPr>
            </w:pPr>
            <w:r w:rsidRPr="008C30C2">
              <w:rPr>
                <w:sz w:val="28"/>
                <w:szCs w:val="28"/>
              </w:rPr>
              <w:t>Robert J. Dormady</w:t>
            </w:r>
          </w:p>
          <w:p w14:paraId="0831E492" w14:textId="77777777" w:rsidR="00D263DA" w:rsidRPr="008C30C2" w:rsidRDefault="00D263DA" w:rsidP="00A55CD1">
            <w:pPr>
              <w:pStyle w:val="FirmInformation"/>
              <w:rPr>
                <w:sz w:val="28"/>
                <w:szCs w:val="28"/>
              </w:rPr>
            </w:pPr>
            <w:r w:rsidRPr="008C30C2">
              <w:rPr>
                <w:sz w:val="28"/>
                <w:szCs w:val="28"/>
              </w:rPr>
              <w:t>Andi Humphreys</w:t>
            </w:r>
          </w:p>
          <w:p w14:paraId="6A20A498" w14:textId="23E2B1CF" w:rsidR="00D263DA" w:rsidRPr="008C30C2" w:rsidRDefault="00D263DA" w:rsidP="00A55CD1">
            <w:pPr>
              <w:pStyle w:val="FirmInformation"/>
              <w:rPr>
                <w:sz w:val="28"/>
                <w:szCs w:val="28"/>
              </w:rPr>
            </w:pPr>
            <w:r w:rsidRPr="008C30C2">
              <w:rPr>
                <w:sz w:val="28"/>
                <w:szCs w:val="28"/>
              </w:rPr>
              <w:t>Morgann Kelly</w:t>
            </w:r>
            <w:r w:rsidR="008C30C2">
              <w:rPr>
                <w:sz w:val="28"/>
                <w:szCs w:val="28"/>
              </w:rPr>
              <w:t xml:space="preserve"> (</w:t>
            </w:r>
            <w:r w:rsidRPr="008C30C2">
              <w:rPr>
                <w:sz w:val="28"/>
                <w:szCs w:val="28"/>
              </w:rPr>
              <w:t>Rule 39-certified Student</w:t>
            </w:r>
            <w:r w:rsidR="008C30C2">
              <w:rPr>
                <w:sz w:val="28"/>
                <w:szCs w:val="28"/>
              </w:rPr>
              <w:t>)</w:t>
            </w:r>
          </w:p>
          <w:p w14:paraId="73D03106" w14:textId="4ACC05E6" w:rsidR="00D263DA" w:rsidRPr="008C30C2" w:rsidRDefault="00D263DA" w:rsidP="00A55CD1">
            <w:pPr>
              <w:pStyle w:val="FirmInformation"/>
              <w:rPr>
                <w:sz w:val="28"/>
                <w:szCs w:val="28"/>
              </w:rPr>
            </w:pPr>
            <w:r w:rsidRPr="008C30C2">
              <w:rPr>
                <w:sz w:val="28"/>
                <w:szCs w:val="28"/>
              </w:rPr>
              <w:t>Mattias Lederer</w:t>
            </w:r>
            <w:r w:rsidR="008C30C2">
              <w:rPr>
                <w:sz w:val="28"/>
                <w:szCs w:val="28"/>
              </w:rPr>
              <w:t xml:space="preserve"> (</w:t>
            </w:r>
            <w:r w:rsidRPr="008C30C2">
              <w:rPr>
                <w:sz w:val="28"/>
                <w:szCs w:val="28"/>
              </w:rPr>
              <w:t>Rule 39-certified Student</w:t>
            </w:r>
            <w:r w:rsidR="008C30C2">
              <w:rPr>
                <w:sz w:val="28"/>
                <w:szCs w:val="28"/>
              </w:rPr>
              <w:t>)</w:t>
            </w:r>
          </w:p>
          <w:p w14:paraId="798209E6" w14:textId="7BF4DD3F" w:rsidR="00D263DA" w:rsidRPr="008C30C2" w:rsidRDefault="00D263DA" w:rsidP="00D263DA">
            <w:pPr>
              <w:pStyle w:val="FirmInformation"/>
              <w:rPr>
                <w:sz w:val="28"/>
                <w:szCs w:val="28"/>
              </w:rPr>
            </w:pPr>
            <w:r w:rsidRPr="008C30C2">
              <w:rPr>
                <w:sz w:val="28"/>
                <w:szCs w:val="28"/>
              </w:rPr>
              <w:t>111 East Taylor Street</w:t>
            </w:r>
            <w:r w:rsidRPr="008C30C2">
              <w:rPr>
                <w:sz w:val="28"/>
                <w:szCs w:val="28"/>
              </w:rPr>
              <w:br/>
              <w:t>Phoenix, Arizona 85004</w:t>
            </w:r>
          </w:p>
          <w:p w14:paraId="0CC2C2FB" w14:textId="77777777" w:rsidR="00D263DA" w:rsidRPr="008C30C2" w:rsidRDefault="00D263DA" w:rsidP="00A55CD1">
            <w:pPr>
              <w:pStyle w:val="PleadingSignature"/>
              <w:rPr>
                <w:sz w:val="28"/>
                <w:szCs w:val="28"/>
              </w:rPr>
            </w:pPr>
          </w:p>
        </w:tc>
      </w:tr>
    </w:tbl>
    <w:p w14:paraId="43C76932" w14:textId="77777777" w:rsidR="00D263DA" w:rsidRPr="009F4E11" w:rsidRDefault="00D263DA" w:rsidP="009F4E11">
      <w:pPr>
        <w:pStyle w:val="Body"/>
        <w:widowControl w:val="0"/>
        <w:tabs>
          <w:tab w:val="left" w:pos="720"/>
        </w:tabs>
        <w:spacing w:line="480" w:lineRule="auto"/>
        <w:ind w:firstLine="0"/>
        <w:jc w:val="both"/>
        <w:rPr>
          <w:spacing w:val="-3"/>
          <w:sz w:val="28"/>
          <w:szCs w:val="28"/>
        </w:rPr>
      </w:pPr>
    </w:p>
    <w:sectPr w:rsidR="00D263DA" w:rsidRPr="009F4E11" w:rsidSect="006F63FD">
      <w:headerReference w:type="default" r:id="rId11"/>
      <w:footerReference w:type="even" r:id="rId12"/>
      <w:footerReference w:type="default" r:id="rId13"/>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CF0E1" w14:textId="77777777" w:rsidR="00F02313" w:rsidRDefault="00F02313">
      <w:r>
        <w:separator/>
      </w:r>
    </w:p>
  </w:endnote>
  <w:endnote w:type="continuationSeparator" w:id="0">
    <w:p w14:paraId="3105850C" w14:textId="77777777" w:rsidR="00F02313" w:rsidRDefault="00F0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FC131" w14:textId="77777777" w:rsidR="00F02313" w:rsidRDefault="00F02313">
      <w:r>
        <w:separator/>
      </w:r>
    </w:p>
  </w:footnote>
  <w:footnote w:type="continuationSeparator" w:id="0">
    <w:p w14:paraId="0859C694" w14:textId="77777777" w:rsidR="00F02313" w:rsidRDefault="00F02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39EA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4BC8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0D318"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1"/>
  </w:num>
  <w:num w:numId="2" w16cid:durableId="1338851655">
    <w:abstractNumId w:val="12"/>
  </w:num>
  <w:num w:numId="3" w16cid:durableId="1296182094">
    <w:abstractNumId w:val="0"/>
  </w:num>
  <w:num w:numId="4" w16cid:durableId="736973399">
    <w:abstractNumId w:val="4"/>
  </w:num>
  <w:num w:numId="5" w16cid:durableId="1994602185">
    <w:abstractNumId w:val="6"/>
  </w:num>
  <w:num w:numId="6" w16cid:durableId="705905435">
    <w:abstractNumId w:val="7"/>
  </w:num>
  <w:num w:numId="7" w16cid:durableId="1829319839">
    <w:abstractNumId w:val="1"/>
  </w:num>
  <w:num w:numId="8" w16cid:durableId="1136950692">
    <w:abstractNumId w:val="13"/>
  </w:num>
  <w:num w:numId="9" w16cid:durableId="1542329543">
    <w:abstractNumId w:val="8"/>
  </w:num>
  <w:num w:numId="10" w16cid:durableId="451173854">
    <w:abstractNumId w:val="10"/>
  </w:num>
  <w:num w:numId="11" w16cid:durableId="21368526">
    <w:abstractNumId w:val="9"/>
  </w:num>
  <w:num w:numId="12" w16cid:durableId="1141196481">
    <w:abstractNumId w:val="5"/>
  </w:num>
  <w:num w:numId="13" w16cid:durableId="984310016">
    <w:abstractNumId w:val="2"/>
  </w:num>
  <w:num w:numId="14" w16cid:durableId="1020007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11B9C"/>
    <w:rsid w:val="0001323B"/>
    <w:rsid w:val="000410B3"/>
    <w:rsid w:val="00043D4D"/>
    <w:rsid w:val="00052372"/>
    <w:rsid w:val="000533FF"/>
    <w:rsid w:val="000666D1"/>
    <w:rsid w:val="000730B2"/>
    <w:rsid w:val="0008003D"/>
    <w:rsid w:val="00086C84"/>
    <w:rsid w:val="000917C0"/>
    <w:rsid w:val="000A1D6B"/>
    <w:rsid w:val="000C48A9"/>
    <w:rsid w:val="000E434E"/>
    <w:rsid w:val="000F2A31"/>
    <w:rsid w:val="000F7A7F"/>
    <w:rsid w:val="000F7C13"/>
    <w:rsid w:val="00134AA1"/>
    <w:rsid w:val="00135326"/>
    <w:rsid w:val="0018320E"/>
    <w:rsid w:val="001A2520"/>
    <w:rsid w:val="001C430B"/>
    <w:rsid w:val="001D1C40"/>
    <w:rsid w:val="001E3C02"/>
    <w:rsid w:val="001F3FCD"/>
    <w:rsid w:val="001F591C"/>
    <w:rsid w:val="00207336"/>
    <w:rsid w:val="00227938"/>
    <w:rsid w:val="00230902"/>
    <w:rsid w:val="00231FE3"/>
    <w:rsid w:val="00274D6A"/>
    <w:rsid w:val="0029256A"/>
    <w:rsid w:val="00294D09"/>
    <w:rsid w:val="002C4FFD"/>
    <w:rsid w:val="00334B42"/>
    <w:rsid w:val="00345562"/>
    <w:rsid w:val="003511F9"/>
    <w:rsid w:val="00352347"/>
    <w:rsid w:val="003566D6"/>
    <w:rsid w:val="00357F4D"/>
    <w:rsid w:val="003617D1"/>
    <w:rsid w:val="00377199"/>
    <w:rsid w:val="003A28AC"/>
    <w:rsid w:val="0040539A"/>
    <w:rsid w:val="00407E2D"/>
    <w:rsid w:val="004331B2"/>
    <w:rsid w:val="00440E4C"/>
    <w:rsid w:val="00445DD0"/>
    <w:rsid w:val="00463734"/>
    <w:rsid w:val="00482946"/>
    <w:rsid w:val="00484A50"/>
    <w:rsid w:val="00494BDF"/>
    <w:rsid w:val="004B5ADB"/>
    <w:rsid w:val="004C3AE3"/>
    <w:rsid w:val="004C5A8D"/>
    <w:rsid w:val="004E0C7C"/>
    <w:rsid w:val="00504E1E"/>
    <w:rsid w:val="00506859"/>
    <w:rsid w:val="00520F93"/>
    <w:rsid w:val="00532435"/>
    <w:rsid w:val="00557906"/>
    <w:rsid w:val="00566856"/>
    <w:rsid w:val="005845AE"/>
    <w:rsid w:val="005A21B0"/>
    <w:rsid w:val="005B2351"/>
    <w:rsid w:val="005B5161"/>
    <w:rsid w:val="005D0E54"/>
    <w:rsid w:val="005D6AD4"/>
    <w:rsid w:val="005F0187"/>
    <w:rsid w:val="00616BB4"/>
    <w:rsid w:val="006338C1"/>
    <w:rsid w:val="00636F5E"/>
    <w:rsid w:val="00665CCF"/>
    <w:rsid w:val="006666D1"/>
    <w:rsid w:val="006721EC"/>
    <w:rsid w:val="006766BF"/>
    <w:rsid w:val="00692391"/>
    <w:rsid w:val="006932BA"/>
    <w:rsid w:val="006975DF"/>
    <w:rsid w:val="006A76C2"/>
    <w:rsid w:val="006B4F9A"/>
    <w:rsid w:val="006D1B9B"/>
    <w:rsid w:val="006E0B06"/>
    <w:rsid w:val="006E4770"/>
    <w:rsid w:val="006E498D"/>
    <w:rsid w:val="006E4F4F"/>
    <w:rsid w:val="006F4442"/>
    <w:rsid w:val="006F63FD"/>
    <w:rsid w:val="00703EF6"/>
    <w:rsid w:val="00705BF8"/>
    <w:rsid w:val="00732169"/>
    <w:rsid w:val="00735659"/>
    <w:rsid w:val="007427C6"/>
    <w:rsid w:val="0077110E"/>
    <w:rsid w:val="007870CB"/>
    <w:rsid w:val="007916EA"/>
    <w:rsid w:val="00794E97"/>
    <w:rsid w:val="007979B0"/>
    <w:rsid w:val="007A38F5"/>
    <w:rsid w:val="007A3F0F"/>
    <w:rsid w:val="007C190B"/>
    <w:rsid w:val="007D5C49"/>
    <w:rsid w:val="007D73FF"/>
    <w:rsid w:val="007E3CCB"/>
    <w:rsid w:val="007F0741"/>
    <w:rsid w:val="008006ED"/>
    <w:rsid w:val="00822598"/>
    <w:rsid w:val="008360A1"/>
    <w:rsid w:val="00861563"/>
    <w:rsid w:val="00871AAA"/>
    <w:rsid w:val="00876F57"/>
    <w:rsid w:val="00880643"/>
    <w:rsid w:val="00891AAA"/>
    <w:rsid w:val="008A4EB3"/>
    <w:rsid w:val="008C30C2"/>
    <w:rsid w:val="008D3426"/>
    <w:rsid w:val="00930DEA"/>
    <w:rsid w:val="00931F22"/>
    <w:rsid w:val="00933EA1"/>
    <w:rsid w:val="00951416"/>
    <w:rsid w:val="00954A5E"/>
    <w:rsid w:val="0095778D"/>
    <w:rsid w:val="00957D72"/>
    <w:rsid w:val="00960D21"/>
    <w:rsid w:val="00981D29"/>
    <w:rsid w:val="00981E11"/>
    <w:rsid w:val="00990305"/>
    <w:rsid w:val="009D50CE"/>
    <w:rsid w:val="009F4E11"/>
    <w:rsid w:val="00A1564B"/>
    <w:rsid w:val="00A4249C"/>
    <w:rsid w:val="00A5194F"/>
    <w:rsid w:val="00A57EBA"/>
    <w:rsid w:val="00A76EE3"/>
    <w:rsid w:val="00A871D6"/>
    <w:rsid w:val="00A93A7C"/>
    <w:rsid w:val="00AD08D5"/>
    <w:rsid w:val="00AE552D"/>
    <w:rsid w:val="00AF282C"/>
    <w:rsid w:val="00AF3FF7"/>
    <w:rsid w:val="00B1491D"/>
    <w:rsid w:val="00B47B7D"/>
    <w:rsid w:val="00B514A3"/>
    <w:rsid w:val="00BC431A"/>
    <w:rsid w:val="00BD1AE9"/>
    <w:rsid w:val="00C03E0F"/>
    <w:rsid w:val="00C52E56"/>
    <w:rsid w:val="00C5407A"/>
    <w:rsid w:val="00C662B0"/>
    <w:rsid w:val="00C8149A"/>
    <w:rsid w:val="00C84FD4"/>
    <w:rsid w:val="00C958EE"/>
    <w:rsid w:val="00CB00DF"/>
    <w:rsid w:val="00CB4E89"/>
    <w:rsid w:val="00CC3972"/>
    <w:rsid w:val="00CD21FB"/>
    <w:rsid w:val="00D03467"/>
    <w:rsid w:val="00D263DA"/>
    <w:rsid w:val="00D31D0A"/>
    <w:rsid w:val="00D3695E"/>
    <w:rsid w:val="00D423FE"/>
    <w:rsid w:val="00D442E4"/>
    <w:rsid w:val="00D453E6"/>
    <w:rsid w:val="00D60D9B"/>
    <w:rsid w:val="00D6564E"/>
    <w:rsid w:val="00D7167B"/>
    <w:rsid w:val="00D80EDC"/>
    <w:rsid w:val="00D9132A"/>
    <w:rsid w:val="00DA0E62"/>
    <w:rsid w:val="00DF4F15"/>
    <w:rsid w:val="00E047D3"/>
    <w:rsid w:val="00E114AA"/>
    <w:rsid w:val="00E15741"/>
    <w:rsid w:val="00E266B7"/>
    <w:rsid w:val="00E321C5"/>
    <w:rsid w:val="00E51F46"/>
    <w:rsid w:val="00E5772B"/>
    <w:rsid w:val="00E67511"/>
    <w:rsid w:val="00E81026"/>
    <w:rsid w:val="00E82D0F"/>
    <w:rsid w:val="00E950B5"/>
    <w:rsid w:val="00F02313"/>
    <w:rsid w:val="00F05879"/>
    <w:rsid w:val="00F06F5B"/>
    <w:rsid w:val="00F2485D"/>
    <w:rsid w:val="00F33926"/>
    <w:rsid w:val="00F435F7"/>
    <w:rsid w:val="00F60C61"/>
    <w:rsid w:val="00F64B52"/>
    <w:rsid w:val="00F850BE"/>
    <w:rsid w:val="00F903F1"/>
    <w:rsid w:val="00FB5291"/>
    <w:rsid w:val="00FB5E84"/>
    <w:rsid w:val="00FC1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link w:val="FirmInformationChar"/>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customStyle="1" w:styleId="FirmInformationChar">
    <w:name w:val="Firm Information Char"/>
    <w:link w:val="FirmInformation"/>
    <w:rsid w:val="00D263DA"/>
    <w:rPr>
      <w:sz w:val="26"/>
    </w:rPr>
  </w:style>
  <w:style w:type="paragraph" w:styleId="Revision">
    <w:name w:val="Revision"/>
    <w:hidden/>
    <w:uiPriority w:val="99"/>
    <w:semiHidden/>
    <w:rsid w:val="00A57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ndal.mcdonald@asu.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di.humphreys@asu.edu" TargetMode="External"/><Relationship Id="rId4" Type="http://schemas.openxmlformats.org/officeDocument/2006/relationships/settings" Target="settings.xml"/><Relationship Id="rId9" Type="http://schemas.openxmlformats.org/officeDocument/2006/relationships/hyperlink" Target="mailto:robert.dormady@asu.ed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4</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Randal McDonald</cp:lastModifiedBy>
  <cp:revision>2</cp:revision>
  <cp:lastPrinted>2014-04-30T16:27:00Z</cp:lastPrinted>
  <dcterms:created xsi:type="dcterms:W3CDTF">2026-05-01T22:20:00Z</dcterms:created>
  <dcterms:modified xsi:type="dcterms:W3CDTF">2026-05-01T22:20:00Z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