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9548" w14:textId="77777777" w:rsidR="00E931EE" w:rsidRPr="005F6F54" w:rsidRDefault="00E931EE" w:rsidP="00E931EE">
      <w:pPr>
        <w:jc w:val="both"/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Greg Sakall</w:t>
      </w:r>
    </w:p>
    <w:p w14:paraId="0530BD2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Judge, Division 23</w:t>
      </w:r>
    </w:p>
    <w:p w14:paraId="39D469E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Pima County Superior Court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49BCCDAA" w14:textId="1697FDA1" w:rsidR="00484B4E" w:rsidRDefault="0084487C" w:rsidP="00484B4E">
      <w:pPr>
        <w:jc w:val="both"/>
        <w:rPr>
          <w:rFonts w:ascii="Century Schoolbook" w:hAnsi="Century Schoolbook"/>
          <w:lang w:val="en"/>
        </w:rPr>
      </w:pPr>
      <w:hyperlink r:id="rId8" w:history="1">
        <w:r w:rsidRPr="000A1D87">
          <w:rPr>
            <w:rStyle w:val="Hyperlink"/>
            <w:rFonts w:ascii="Century Schoolbook" w:hAnsi="Century Schoolbook"/>
            <w:lang w:val="en"/>
          </w:rPr>
          <w:t>vlayan@courts.az.gov</w:t>
        </w:r>
      </w:hyperlink>
      <w:r w:rsidR="00484B4E">
        <w:t xml:space="preserve"> (for COFC purposes only)</w:t>
      </w:r>
    </w:p>
    <w:p w14:paraId="00E570F4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7D2AE1D5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</w:p>
    <w:p w14:paraId="71269420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3C83C098" w14:textId="79AEF0A3" w:rsidR="001451DE" w:rsidRPr="005F6F54" w:rsidRDefault="001451DE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</w:t>
      </w:r>
      <w:proofErr w:type="gramStart"/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proofErr w:type="gramEnd"/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801C5D" w:rsidRPr="005F6F54">
        <w:rPr>
          <w:rFonts w:ascii="Century Schoolbook" w:hAnsi="Century Schoolbook"/>
          <w:color w:val="000000"/>
          <w:sz w:val="26"/>
          <w:szCs w:val="26"/>
        </w:rPr>
        <w:t>Arizona Supreme Court No. R-</w:t>
      </w:r>
      <w:r w:rsidR="005E24E6">
        <w:rPr>
          <w:rFonts w:ascii="Century Schoolbook" w:hAnsi="Century Schoolbook"/>
          <w:color w:val="000000"/>
          <w:sz w:val="26"/>
          <w:szCs w:val="26"/>
        </w:rPr>
        <w:t>2</w:t>
      </w:r>
      <w:r w:rsidR="00484B4E">
        <w:rPr>
          <w:rFonts w:ascii="Century Schoolbook" w:hAnsi="Century Schoolbook"/>
          <w:color w:val="000000"/>
          <w:sz w:val="26"/>
          <w:szCs w:val="26"/>
        </w:rPr>
        <w:t>6</w:t>
      </w:r>
      <w:r w:rsidR="005E24E6">
        <w:rPr>
          <w:rFonts w:ascii="Century Schoolbook" w:hAnsi="Century Schoolbook"/>
          <w:color w:val="000000"/>
          <w:sz w:val="26"/>
          <w:szCs w:val="26"/>
        </w:rPr>
        <w:t>-</w:t>
      </w:r>
      <w:r w:rsidR="00484B4E">
        <w:rPr>
          <w:rFonts w:ascii="Century Schoolbook" w:hAnsi="Century Schoolbook"/>
          <w:color w:val="000000"/>
          <w:sz w:val="26"/>
          <w:szCs w:val="26"/>
        </w:rPr>
        <w:t>xxxx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</w:t>
      </w:r>
      <w:proofErr w:type="gramStart"/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proofErr w:type="gramEnd"/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      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</w:t>
      </w:r>
    </w:p>
    <w:p w14:paraId="485E535B" w14:textId="2583E5EB" w:rsidR="00A7057A" w:rsidRDefault="00484B4E" w:rsidP="001451DE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EMERGENCY P</w:t>
      </w:r>
      <w:r w:rsidR="00A7057A" w:rsidRPr="005F6F54">
        <w:rPr>
          <w:rFonts w:ascii="Century Schoolbook" w:hAnsi="Century Schoolbook"/>
          <w:color w:val="000000"/>
          <w:sz w:val="26"/>
          <w:szCs w:val="26"/>
        </w:rPr>
        <w:t xml:space="preserve">ETITION </w:t>
      </w:r>
      <w:proofErr w:type="gramStart"/>
      <w:r w:rsidR="00A7057A" w:rsidRPr="005F6F54">
        <w:rPr>
          <w:rFonts w:ascii="Century Schoolbook" w:hAnsi="Century Schoolbook"/>
          <w:color w:val="000000"/>
          <w:sz w:val="26"/>
          <w:szCs w:val="26"/>
        </w:rPr>
        <w:t>TO</w:t>
      </w:r>
      <w:r w:rsidR="005E24E6">
        <w:rPr>
          <w:rFonts w:ascii="Century Schoolbook" w:hAnsi="Century Schoolbook"/>
          <w:color w:val="000000"/>
          <w:sz w:val="26"/>
          <w:szCs w:val="26"/>
        </w:rPr>
        <w:tab/>
      </w:r>
      <w:r w:rsidR="00623CFC" w:rsidRPr="005F6F54">
        <w:rPr>
          <w:rFonts w:ascii="Century Schoolbook" w:hAnsi="Century Schoolbook"/>
          <w:color w:val="000000"/>
          <w:sz w:val="26"/>
          <w:szCs w:val="26"/>
        </w:rPr>
        <w:t>)</w:t>
      </w:r>
      <w:proofErr w:type="gramEnd"/>
    </w:p>
    <w:p w14:paraId="3C06AE84" w14:textId="7CC74A08" w:rsidR="005E24E6" w:rsidRDefault="005E24E6" w:rsidP="00250972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>AMEND RULE</w:t>
      </w:r>
      <w:r w:rsidR="00484B4E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5501C1" w:rsidRPr="005F6F54">
        <w:rPr>
          <w:rFonts w:ascii="Century Schoolbook" w:hAnsi="Century Schoolbook"/>
          <w:color w:val="000000"/>
          <w:sz w:val="26"/>
          <w:szCs w:val="26"/>
        </w:rPr>
        <w:t xml:space="preserve">77, </w:t>
      </w:r>
      <w:proofErr w:type="gramStart"/>
      <w:r w:rsidR="00484B4E">
        <w:rPr>
          <w:rFonts w:ascii="Century Schoolbook" w:hAnsi="Century Schoolbook"/>
          <w:color w:val="000000"/>
          <w:sz w:val="26"/>
          <w:szCs w:val="26"/>
        </w:rPr>
        <w:t>ARIZONA</w:t>
      </w:r>
      <w:r w:rsidR="00484B4E">
        <w:rPr>
          <w:rFonts w:ascii="Century Schoolbook" w:hAnsi="Century Schoolbook"/>
          <w:color w:val="000000"/>
          <w:sz w:val="26"/>
          <w:szCs w:val="26"/>
        </w:rPr>
        <w:tab/>
      </w:r>
      <w:r>
        <w:rPr>
          <w:rFonts w:ascii="Century Schoolbook" w:hAnsi="Century Schoolbook"/>
          <w:color w:val="000000"/>
          <w:sz w:val="26"/>
          <w:szCs w:val="26"/>
        </w:rPr>
        <w:t>)</w:t>
      </w:r>
      <w:proofErr w:type="gramEnd"/>
    </w:p>
    <w:p w14:paraId="6D814CD4" w14:textId="77777777" w:rsidR="00484B4E" w:rsidRDefault="0044074C" w:rsidP="001451DE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RULES OF </w:t>
      </w:r>
      <w:r w:rsidR="005501C1" w:rsidRPr="005F6F54">
        <w:rPr>
          <w:rFonts w:ascii="Century Schoolbook" w:hAnsi="Century Schoolbook"/>
          <w:color w:val="000000"/>
          <w:sz w:val="26"/>
          <w:szCs w:val="26"/>
        </w:rPr>
        <w:t>FAMILY</w:t>
      </w:r>
      <w:r w:rsidR="00484B4E">
        <w:rPr>
          <w:rFonts w:ascii="Century Schoolbook" w:hAnsi="Century Schoolbook"/>
          <w:color w:val="000000"/>
          <w:sz w:val="26"/>
          <w:szCs w:val="26"/>
        </w:rPr>
        <w:t xml:space="preserve"> LAW</w:t>
      </w:r>
      <w:r w:rsidR="00484B4E">
        <w:rPr>
          <w:rFonts w:ascii="Century Schoolbook" w:hAnsi="Century Schoolbook"/>
          <w:color w:val="000000"/>
          <w:sz w:val="26"/>
          <w:szCs w:val="26"/>
        </w:rPr>
        <w:tab/>
      </w:r>
      <w:r w:rsidR="00250972">
        <w:rPr>
          <w:rFonts w:ascii="Century Schoolbook" w:hAnsi="Century Schoolbook"/>
          <w:color w:val="000000"/>
          <w:sz w:val="26"/>
          <w:szCs w:val="26"/>
        </w:rPr>
        <w:tab/>
      </w:r>
      <w:r w:rsidR="005E24E6">
        <w:rPr>
          <w:rFonts w:ascii="Century Schoolbook" w:hAnsi="Century Schoolbook"/>
          <w:color w:val="000000"/>
          <w:sz w:val="26"/>
          <w:szCs w:val="26"/>
        </w:rPr>
        <w:t>)</w:t>
      </w:r>
    </w:p>
    <w:p w14:paraId="355F5966" w14:textId="146D42CD" w:rsidR="00A7057A" w:rsidRPr="005F6F54" w:rsidRDefault="0044074C" w:rsidP="00484B4E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PROCEDURE </w:t>
      </w:r>
      <w:r w:rsidRPr="005F6F54">
        <w:rPr>
          <w:rFonts w:ascii="Century Schoolbook" w:hAnsi="Century Schoolbook"/>
          <w:color w:val="000000"/>
          <w:sz w:val="26"/>
          <w:szCs w:val="26"/>
        </w:rPr>
        <w:tab/>
      </w:r>
      <w:r w:rsidR="00484B4E">
        <w:rPr>
          <w:rFonts w:ascii="Century Schoolbook" w:hAnsi="Century Schoolbook"/>
          <w:color w:val="000000"/>
          <w:sz w:val="26"/>
          <w:szCs w:val="26"/>
        </w:rPr>
        <w:tab/>
      </w:r>
      <w:r w:rsidR="005E24E6">
        <w:rPr>
          <w:rFonts w:ascii="Century Schoolbook" w:hAnsi="Century Schoolbook"/>
          <w:color w:val="000000"/>
          <w:sz w:val="26"/>
          <w:szCs w:val="26"/>
        </w:rPr>
        <w:tab/>
      </w:r>
      <w:r w:rsidR="005E24E6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</w:p>
    <w:p w14:paraId="667BA89B" w14:textId="292328BD" w:rsidR="001451DE" w:rsidRPr="005F6F54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sz w:val="26"/>
          <w:szCs w:val="26"/>
        </w:rPr>
      </w:pPr>
      <w:proofErr w:type="gramStart"/>
      <w:r w:rsidRPr="005F6F54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5F6F54">
        <w:rPr>
          <w:rFonts w:ascii="Century Schoolbook" w:hAnsi="Century Schoolbook"/>
          <w:color w:val="000000"/>
          <w:sz w:val="26"/>
          <w:szCs w:val="26"/>
        </w:rPr>
        <w:tab/>
      </w:r>
      <w:proofErr w:type="gramEnd"/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506CC4E2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347CA0BD" w14:textId="02330243" w:rsidR="00484B4E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="00484B4E" w:rsidRPr="00484B4E">
        <w:rPr>
          <w:rFonts w:ascii="Century Schoolbook" w:hAnsi="Century Schoolbook"/>
          <w:sz w:val="26"/>
          <w:szCs w:val="26"/>
        </w:rPr>
        <w:t xml:space="preserve">Pursuant to Rule 28 of the Rules of the Supreme Court, </w:t>
      </w:r>
      <w:r w:rsidR="00484B4E">
        <w:rPr>
          <w:rFonts w:ascii="Century Schoolbook" w:hAnsi="Century Schoolbook"/>
          <w:sz w:val="26"/>
          <w:szCs w:val="26"/>
        </w:rPr>
        <w:t>t</w:t>
      </w:r>
      <w:r w:rsidR="005501C1" w:rsidRPr="00484B4E">
        <w:rPr>
          <w:rFonts w:ascii="Century Schoolbook" w:hAnsi="Century Schoolbook"/>
          <w:sz w:val="26"/>
          <w:szCs w:val="26"/>
        </w:rPr>
        <w:t xml:space="preserve">he </w:t>
      </w:r>
      <w:r w:rsidR="004E3A71" w:rsidRPr="00484B4E">
        <w:rPr>
          <w:rFonts w:ascii="Century Schoolbook" w:hAnsi="Century Schoolbook"/>
          <w:sz w:val="26"/>
          <w:szCs w:val="26"/>
        </w:rPr>
        <w:t>Committee</w:t>
      </w:r>
      <w:r w:rsidR="003C3420" w:rsidRPr="00484B4E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7A37F6" w:rsidRPr="00484B4E">
        <w:rPr>
          <w:rFonts w:ascii="Century Schoolbook" w:hAnsi="Century Schoolbook"/>
          <w:sz w:val="26"/>
          <w:szCs w:val="26"/>
        </w:rPr>
        <w:t xml:space="preserve"> </w:t>
      </w:r>
      <w:r w:rsidR="00716377" w:rsidRPr="00484B4E">
        <w:rPr>
          <w:rFonts w:ascii="Century Schoolbook" w:hAnsi="Century Schoolbook"/>
          <w:sz w:val="26"/>
          <w:szCs w:val="26"/>
        </w:rPr>
        <w:t xml:space="preserve">respectfully </w:t>
      </w:r>
      <w:r w:rsidR="00484B4E" w:rsidRPr="00484B4E">
        <w:rPr>
          <w:rFonts w:ascii="Century Schoolbook" w:hAnsi="Century Schoolbook"/>
          <w:sz w:val="26"/>
          <w:szCs w:val="26"/>
        </w:rPr>
        <w:t>petitions the Court to modify Rule 7</w:t>
      </w:r>
      <w:r w:rsidR="00484B4E">
        <w:rPr>
          <w:rFonts w:ascii="Century Schoolbook" w:hAnsi="Century Schoolbook"/>
          <w:sz w:val="26"/>
          <w:szCs w:val="26"/>
        </w:rPr>
        <w:t>7</w:t>
      </w:r>
      <w:r w:rsidR="00484B4E" w:rsidRPr="00484B4E">
        <w:rPr>
          <w:rFonts w:ascii="Century Schoolbook" w:hAnsi="Century Schoolbook"/>
          <w:sz w:val="26"/>
          <w:szCs w:val="26"/>
        </w:rPr>
        <w:t xml:space="preserve"> of the Arizona Rules of Family Law Procedure. Further, </w:t>
      </w:r>
      <w:r w:rsidR="007E6591">
        <w:rPr>
          <w:rFonts w:ascii="Century Schoolbook" w:hAnsi="Century Schoolbook"/>
          <w:sz w:val="26"/>
          <w:szCs w:val="26"/>
        </w:rPr>
        <w:t>COFC</w:t>
      </w:r>
      <w:r w:rsidR="00484B4E" w:rsidRPr="00484B4E">
        <w:rPr>
          <w:rFonts w:ascii="Century Schoolbook" w:hAnsi="Century Schoolbook"/>
          <w:sz w:val="26"/>
          <w:szCs w:val="26"/>
        </w:rPr>
        <w:t xml:space="preserve"> request</w:t>
      </w:r>
      <w:r w:rsidR="007E6591">
        <w:rPr>
          <w:rFonts w:ascii="Century Schoolbook" w:hAnsi="Century Schoolbook"/>
          <w:sz w:val="26"/>
          <w:szCs w:val="26"/>
        </w:rPr>
        <w:t>s</w:t>
      </w:r>
      <w:r w:rsidR="00484B4E" w:rsidRPr="00484B4E">
        <w:rPr>
          <w:rFonts w:ascii="Century Schoolbook" w:hAnsi="Century Schoolbook"/>
          <w:sz w:val="26"/>
          <w:szCs w:val="26"/>
        </w:rPr>
        <w:t xml:space="preserve"> expedited consideration of this Petition pursuant to Supreme Court Rule 28(h)(1) and the issuance of an emergency order pursuant to Supreme Court Rule 28(h)(2).</w:t>
      </w:r>
    </w:p>
    <w:p w14:paraId="612A5594" w14:textId="77777777" w:rsidR="0077409A" w:rsidRDefault="00484B4E" w:rsidP="0077409A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On August 26, 2025, the Court granted COFC’s Petition R-24-0060 which, in part, added a new Rule 77(d)(2) to provide for additional procedures applicable to trial and evidentiary hearings with a self-represented party. As relevant to this petition, Rule 77(d)(2) </w:t>
      </w:r>
      <w:r w:rsidR="007E6591">
        <w:rPr>
          <w:rFonts w:ascii="Century Schoolbook" w:hAnsi="Century Schoolbook"/>
          <w:sz w:val="26"/>
          <w:szCs w:val="26"/>
        </w:rPr>
        <w:t xml:space="preserve">generally </w:t>
      </w:r>
      <w:r>
        <w:rPr>
          <w:rFonts w:ascii="Century Schoolbook" w:hAnsi="Century Schoolbook"/>
          <w:sz w:val="26"/>
          <w:szCs w:val="26"/>
        </w:rPr>
        <w:t xml:space="preserve">provides for the court to </w:t>
      </w:r>
      <w:r>
        <w:rPr>
          <w:rFonts w:ascii="Century Schoolbook" w:hAnsi="Century Schoolbook"/>
          <w:sz w:val="26"/>
          <w:szCs w:val="26"/>
        </w:rPr>
        <w:lastRenderedPageBreak/>
        <w:t xml:space="preserve">conduct the direct examination of a self-represented party unless there is a request otherwise before testimony begins. </w:t>
      </w:r>
      <w:r w:rsidR="00210BFE">
        <w:rPr>
          <w:rFonts w:ascii="Century Schoolbook" w:hAnsi="Century Schoolbook"/>
          <w:sz w:val="26"/>
          <w:szCs w:val="26"/>
        </w:rPr>
        <w:t>The rule provides as follows:</w:t>
      </w:r>
    </w:p>
    <w:p w14:paraId="05DB2387" w14:textId="3021FD10" w:rsidR="00210BFE" w:rsidRDefault="00210BFE" w:rsidP="0077409A">
      <w:pPr>
        <w:ind w:left="720" w:right="720"/>
        <w:jc w:val="both"/>
        <w:rPr>
          <w:rFonts w:ascii="Century Schoolbook" w:hAnsi="Century Schoolbook"/>
          <w:sz w:val="26"/>
          <w:szCs w:val="26"/>
        </w:rPr>
      </w:pPr>
      <w:r w:rsidRPr="00210BFE">
        <w:rPr>
          <w:rFonts w:ascii="Century Schoolbook" w:hAnsi="Century Schoolbook"/>
          <w:sz w:val="26"/>
          <w:szCs w:val="26"/>
        </w:rPr>
        <w:t>(2) </w:t>
      </w:r>
      <w:r w:rsidRPr="00210BFE">
        <w:rPr>
          <w:rFonts w:ascii="Century Schoolbook" w:hAnsi="Century Schoolbook"/>
          <w:i/>
          <w:iCs/>
          <w:sz w:val="26"/>
          <w:szCs w:val="26"/>
        </w:rPr>
        <w:t>Additional Procedures Applicable to Trials and Evidentiary Hearings with a Self-Represented Party</w:t>
      </w:r>
      <w:r w:rsidRPr="00210BFE">
        <w:rPr>
          <w:rFonts w:ascii="Century Schoolbook" w:hAnsi="Century Schoolbook"/>
          <w:sz w:val="26"/>
          <w:szCs w:val="26"/>
        </w:rPr>
        <w:t xml:space="preserve">. In addition to the procedures of Rule 77(d)(1) and absent a request otherwise before testimony begins, the court will conduct the direct examination of a self-represented party on the issues raised by the parties' pleadings, pretrial statements, and </w:t>
      </w:r>
      <w:proofErr w:type="gramStart"/>
      <w:r w:rsidRPr="00210BFE">
        <w:rPr>
          <w:rFonts w:ascii="Century Schoolbook" w:hAnsi="Century Schoolbook"/>
          <w:sz w:val="26"/>
          <w:szCs w:val="26"/>
        </w:rPr>
        <w:t>notices of issues</w:t>
      </w:r>
      <w:proofErr w:type="gramEnd"/>
      <w:r w:rsidRPr="00210BFE">
        <w:rPr>
          <w:rFonts w:ascii="Century Schoolbook" w:hAnsi="Century Schoolbook"/>
          <w:sz w:val="26"/>
          <w:szCs w:val="26"/>
        </w:rPr>
        <w:t>. The court must allow a self-represented party to, within that party's allotted trial time, (1) testify about relevant information not addressed by the court's direct examination; (2) conduct their own direct examination upon request; and (3) cross-examine any other parties and their witnesses.</w:t>
      </w:r>
    </w:p>
    <w:p w14:paraId="46978D37" w14:textId="77777777" w:rsidR="002E6A2E" w:rsidRDefault="002E6A2E" w:rsidP="002E6A2E">
      <w:pPr>
        <w:ind w:left="720" w:right="720"/>
        <w:jc w:val="both"/>
        <w:rPr>
          <w:rFonts w:ascii="Century Schoolbook" w:hAnsi="Century Schoolbook"/>
          <w:sz w:val="26"/>
          <w:szCs w:val="26"/>
        </w:rPr>
      </w:pPr>
    </w:p>
    <w:p w14:paraId="67C1E77E" w14:textId="540B0191" w:rsidR="00484B4E" w:rsidRDefault="00210BFE" w:rsidP="00210BF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Rule 77(d)(2). </w:t>
      </w:r>
      <w:r w:rsidR="00484B4E">
        <w:rPr>
          <w:rFonts w:ascii="Century Schoolbook" w:hAnsi="Century Schoolbook"/>
          <w:sz w:val="26"/>
          <w:szCs w:val="26"/>
        </w:rPr>
        <w:t>The amendment became effective January 1, 2026.</w:t>
      </w:r>
    </w:p>
    <w:p w14:paraId="7D90ACF5" w14:textId="77777777" w:rsidR="0077409A" w:rsidRDefault="00484B4E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 </w:t>
      </w:r>
      <w:r w:rsidR="00210BFE">
        <w:rPr>
          <w:rFonts w:ascii="Century Schoolbook" w:hAnsi="Century Schoolbook"/>
          <w:sz w:val="26"/>
          <w:szCs w:val="26"/>
        </w:rPr>
        <w:tab/>
        <w:t>Since its effective date, family courts in Arizona have faced conflicting arguments on whether the phrase “</w:t>
      </w:r>
      <w:r w:rsidR="00210BFE" w:rsidRPr="00210BFE">
        <w:rPr>
          <w:rFonts w:ascii="Century Schoolbook" w:hAnsi="Century Schoolbook"/>
          <w:sz w:val="26"/>
          <w:szCs w:val="26"/>
        </w:rPr>
        <w:t>absent a request otherwise</w:t>
      </w:r>
      <w:r w:rsidR="00210BFE">
        <w:rPr>
          <w:rFonts w:ascii="Century Schoolbook" w:hAnsi="Century Schoolbook"/>
          <w:sz w:val="26"/>
          <w:szCs w:val="26"/>
        </w:rPr>
        <w:t xml:space="preserve">” </w:t>
      </w:r>
      <w:r w:rsidR="0077409A">
        <w:rPr>
          <w:rFonts w:ascii="Century Schoolbook" w:hAnsi="Century Schoolbook"/>
          <w:sz w:val="26"/>
          <w:szCs w:val="26"/>
        </w:rPr>
        <w:t>either allows (</w:t>
      </w:r>
      <w:proofErr w:type="spellStart"/>
      <w:r w:rsidR="0077409A">
        <w:rPr>
          <w:rFonts w:ascii="Century Schoolbook" w:hAnsi="Century Schoolbook"/>
          <w:sz w:val="26"/>
          <w:szCs w:val="26"/>
        </w:rPr>
        <w:t>i</w:t>
      </w:r>
      <w:proofErr w:type="spellEnd"/>
      <w:r w:rsidR="0077409A">
        <w:rPr>
          <w:rFonts w:ascii="Century Schoolbook" w:hAnsi="Century Schoolbook"/>
          <w:sz w:val="26"/>
          <w:szCs w:val="26"/>
        </w:rPr>
        <w:t xml:space="preserve">) only the self-represented party to object to the family court conducting the direct examination of that party or (ii) allows the </w:t>
      </w:r>
      <w:r w:rsidR="00210BFE">
        <w:rPr>
          <w:rFonts w:ascii="Century Schoolbook" w:hAnsi="Century Schoolbook"/>
          <w:sz w:val="26"/>
          <w:szCs w:val="26"/>
        </w:rPr>
        <w:t xml:space="preserve">opposing party to object to the family court conducting the direct examination of a self-represented party. The </w:t>
      </w:r>
      <w:r w:rsidR="0077409A">
        <w:rPr>
          <w:rFonts w:ascii="Century Schoolbook" w:hAnsi="Century Schoolbook"/>
          <w:sz w:val="26"/>
          <w:szCs w:val="26"/>
        </w:rPr>
        <w:t xml:space="preserve">latter </w:t>
      </w:r>
      <w:r w:rsidR="00210BFE">
        <w:rPr>
          <w:rFonts w:ascii="Century Schoolbook" w:hAnsi="Century Schoolbook"/>
          <w:sz w:val="26"/>
          <w:szCs w:val="26"/>
        </w:rPr>
        <w:t>argument has been raised pri</w:t>
      </w:r>
      <w:r w:rsidR="002E6A2E">
        <w:rPr>
          <w:rFonts w:ascii="Century Schoolbook" w:hAnsi="Century Schoolbook"/>
          <w:sz w:val="26"/>
          <w:szCs w:val="26"/>
        </w:rPr>
        <w:t>marily</w:t>
      </w:r>
      <w:r w:rsidR="00210BFE">
        <w:rPr>
          <w:rFonts w:ascii="Century Schoolbook" w:hAnsi="Century Schoolbook"/>
          <w:sz w:val="26"/>
          <w:szCs w:val="26"/>
        </w:rPr>
        <w:t xml:space="preserve"> by attorney</w:t>
      </w:r>
      <w:r w:rsidR="002E6A2E">
        <w:rPr>
          <w:rFonts w:ascii="Century Schoolbook" w:hAnsi="Century Schoolbook"/>
          <w:sz w:val="26"/>
          <w:szCs w:val="26"/>
        </w:rPr>
        <w:t>s</w:t>
      </w:r>
      <w:r w:rsidR="00210BFE">
        <w:rPr>
          <w:rFonts w:ascii="Century Schoolbook" w:hAnsi="Century Schoolbook"/>
          <w:sz w:val="26"/>
          <w:szCs w:val="26"/>
        </w:rPr>
        <w:t xml:space="preserve"> representing opposing part</w:t>
      </w:r>
      <w:r w:rsidR="002E6A2E">
        <w:rPr>
          <w:rFonts w:ascii="Century Schoolbook" w:hAnsi="Century Schoolbook"/>
          <w:sz w:val="26"/>
          <w:szCs w:val="26"/>
        </w:rPr>
        <w:t>ies</w:t>
      </w:r>
      <w:r w:rsidR="00210BFE">
        <w:rPr>
          <w:rFonts w:ascii="Century Schoolbook" w:hAnsi="Century Schoolbook"/>
          <w:sz w:val="26"/>
          <w:szCs w:val="26"/>
        </w:rPr>
        <w:t xml:space="preserve">. </w:t>
      </w:r>
    </w:p>
    <w:p w14:paraId="2D1F9B9D" w14:textId="581144C6" w:rsidR="00E44357" w:rsidRDefault="00210BFE" w:rsidP="0077409A">
      <w:pPr>
        <w:spacing w:line="480" w:lineRule="auto"/>
        <w:ind w:left="144" w:firstLine="576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It had been COFC’s intent in proposing Rule 77(d)(2) that the request would have to come from the self-represented</w:t>
      </w:r>
      <w:r w:rsidR="007E6591">
        <w:rPr>
          <w:rFonts w:ascii="Century Schoolbook" w:hAnsi="Century Schoolbook"/>
          <w:sz w:val="26"/>
          <w:szCs w:val="26"/>
        </w:rPr>
        <w:t xml:space="preserve"> </w:t>
      </w:r>
      <w:r w:rsidR="0077409A">
        <w:rPr>
          <w:rFonts w:ascii="Century Schoolbook" w:hAnsi="Century Schoolbook"/>
          <w:sz w:val="26"/>
          <w:szCs w:val="26"/>
        </w:rPr>
        <w:t xml:space="preserve">party </w:t>
      </w:r>
      <w:r w:rsidR="007E6591">
        <w:rPr>
          <w:rFonts w:ascii="Century Schoolbook" w:hAnsi="Century Schoolbook"/>
          <w:sz w:val="26"/>
          <w:szCs w:val="26"/>
        </w:rPr>
        <w:t>to be examined</w:t>
      </w:r>
      <w:r w:rsidR="002E6A2E">
        <w:rPr>
          <w:rFonts w:ascii="Century Schoolbook" w:hAnsi="Century Schoolbook"/>
          <w:sz w:val="26"/>
          <w:szCs w:val="26"/>
        </w:rPr>
        <w:t>, not the opposing party</w:t>
      </w:r>
      <w:r w:rsidR="007E6591">
        <w:rPr>
          <w:rFonts w:ascii="Century Schoolbook" w:hAnsi="Century Schoolbook"/>
          <w:sz w:val="26"/>
          <w:szCs w:val="26"/>
        </w:rPr>
        <w:t xml:space="preserve"> or that party’s counsel</w:t>
      </w:r>
      <w:r w:rsidR="002E6A2E">
        <w:rPr>
          <w:rFonts w:ascii="Century Schoolbook" w:hAnsi="Century Schoolbook"/>
          <w:sz w:val="26"/>
          <w:szCs w:val="26"/>
        </w:rPr>
        <w:t>.</w:t>
      </w:r>
      <w:r w:rsidR="0077409A">
        <w:rPr>
          <w:rFonts w:ascii="Century Schoolbook" w:hAnsi="Century Schoolbook"/>
          <w:sz w:val="26"/>
          <w:szCs w:val="26"/>
        </w:rPr>
        <w:t xml:space="preserve"> Furthermore, </w:t>
      </w:r>
      <w:r w:rsidR="00E44357">
        <w:rPr>
          <w:rFonts w:ascii="Century Schoolbook" w:hAnsi="Century Schoolbook"/>
          <w:sz w:val="26"/>
          <w:szCs w:val="26"/>
        </w:rPr>
        <w:t xml:space="preserve">COFC’s purpose behind proposing Rule 77(d)(2) was </w:t>
      </w:r>
      <w:r w:rsidR="0077409A">
        <w:rPr>
          <w:rFonts w:ascii="Century Schoolbook" w:hAnsi="Century Schoolbook"/>
          <w:sz w:val="26"/>
          <w:szCs w:val="26"/>
        </w:rPr>
        <w:t xml:space="preserve">to ensure that in cases involving self-represented litigants, the family court “provide leadership to ensure that it has relevant </w:t>
      </w:r>
      <w:r w:rsidR="0077409A">
        <w:rPr>
          <w:rFonts w:ascii="Century Schoolbook" w:hAnsi="Century Schoolbook"/>
          <w:sz w:val="26"/>
          <w:szCs w:val="26"/>
        </w:rPr>
        <w:lastRenderedPageBreak/>
        <w:t xml:space="preserve">information before making a final </w:t>
      </w:r>
      <w:proofErr w:type="gramStart"/>
      <w:r w:rsidR="0077409A">
        <w:rPr>
          <w:rFonts w:ascii="Century Schoolbook" w:hAnsi="Century Schoolbook"/>
          <w:sz w:val="26"/>
          <w:szCs w:val="26"/>
        </w:rPr>
        <w:t>decision[</w:t>
      </w:r>
      <w:proofErr w:type="gramEnd"/>
      <w:r w:rsidR="0077409A">
        <w:rPr>
          <w:rFonts w:ascii="Century Schoolbook" w:hAnsi="Century Schoolbook"/>
          <w:sz w:val="26"/>
          <w:szCs w:val="26"/>
        </w:rPr>
        <w:t xml:space="preserve">,]” while ensuring each party’s due process rights. Amended Petition, R-24-0060, p. 3. It would frustrate the purpose of Rule 77(d)(2) if an opposing party were able to prevent the Court from questioning a self-represented party. </w:t>
      </w:r>
    </w:p>
    <w:p w14:paraId="1D5A43F7" w14:textId="74C04B1F" w:rsidR="002E6A2E" w:rsidRDefault="002E6A2E" w:rsidP="007E6591">
      <w:pPr>
        <w:spacing w:line="480" w:lineRule="auto"/>
        <w:ind w:left="144" w:firstLine="576"/>
        <w:jc w:val="both"/>
        <w:rPr>
          <w:rFonts w:ascii="Century Schoolbook" w:hAnsi="Century Schoolbook"/>
          <w:sz w:val="26"/>
          <w:szCs w:val="26"/>
        </w:rPr>
      </w:pPr>
      <w:proofErr w:type="gramStart"/>
      <w:r>
        <w:rPr>
          <w:rFonts w:ascii="Century Schoolbook" w:hAnsi="Century Schoolbook"/>
          <w:sz w:val="26"/>
          <w:szCs w:val="26"/>
        </w:rPr>
        <w:t>In order to</w:t>
      </w:r>
      <w:proofErr w:type="gramEnd"/>
      <w:r>
        <w:rPr>
          <w:rFonts w:ascii="Century Schoolbook" w:hAnsi="Century Schoolbook"/>
          <w:sz w:val="26"/>
          <w:szCs w:val="26"/>
        </w:rPr>
        <w:t xml:space="preserve"> ensure that there is statewide uniformity in implementing this new rule, COFC respectfully request that the Court modify Rule 77(d)(2) as follows:</w:t>
      </w:r>
    </w:p>
    <w:p w14:paraId="3F115EAE" w14:textId="45CF5A56" w:rsidR="002E6A2E" w:rsidRDefault="002E6A2E" w:rsidP="002E6A2E">
      <w:pPr>
        <w:ind w:left="720" w:right="720"/>
        <w:jc w:val="both"/>
        <w:rPr>
          <w:rFonts w:ascii="Century Schoolbook" w:hAnsi="Century Schoolbook"/>
          <w:sz w:val="26"/>
          <w:szCs w:val="26"/>
        </w:rPr>
      </w:pPr>
      <w:r w:rsidRPr="00210BFE">
        <w:rPr>
          <w:rFonts w:ascii="Century Schoolbook" w:hAnsi="Century Schoolbook"/>
          <w:sz w:val="26"/>
          <w:szCs w:val="26"/>
        </w:rPr>
        <w:t>(2) </w:t>
      </w:r>
      <w:r w:rsidRPr="00210BFE">
        <w:rPr>
          <w:rFonts w:ascii="Century Schoolbook" w:hAnsi="Century Schoolbook"/>
          <w:i/>
          <w:iCs/>
          <w:sz w:val="26"/>
          <w:szCs w:val="26"/>
        </w:rPr>
        <w:t>Additional Procedures Applicable to Trials and Evidentiary Hearings with a Self-Represented Party</w:t>
      </w:r>
      <w:r w:rsidRPr="00210BFE">
        <w:rPr>
          <w:rFonts w:ascii="Century Schoolbook" w:hAnsi="Century Schoolbook"/>
          <w:sz w:val="26"/>
          <w:szCs w:val="26"/>
        </w:rPr>
        <w:t xml:space="preserve">. In addition to the procedures of Rule 77(d)(1) and absent a request otherwise </w:t>
      </w:r>
      <w:r>
        <w:rPr>
          <w:rFonts w:ascii="Century Schoolbook" w:hAnsi="Century Schoolbook"/>
          <w:sz w:val="26"/>
          <w:szCs w:val="26"/>
          <w:u w:val="single"/>
        </w:rPr>
        <w:t xml:space="preserve">from the self-represented party </w:t>
      </w:r>
      <w:r w:rsidRPr="00210BFE">
        <w:rPr>
          <w:rFonts w:ascii="Century Schoolbook" w:hAnsi="Century Schoolbook"/>
          <w:sz w:val="26"/>
          <w:szCs w:val="26"/>
        </w:rPr>
        <w:t xml:space="preserve">before </w:t>
      </w:r>
      <w:r w:rsidRPr="002E6A2E">
        <w:rPr>
          <w:rFonts w:ascii="Century Schoolbook" w:hAnsi="Century Schoolbook"/>
          <w:sz w:val="26"/>
          <w:szCs w:val="26"/>
          <w:u w:val="single"/>
        </w:rPr>
        <w:t>any</w:t>
      </w:r>
      <w:r w:rsidRPr="002E6A2E">
        <w:rPr>
          <w:rFonts w:ascii="Century Schoolbook" w:hAnsi="Century Schoolbook"/>
          <w:sz w:val="26"/>
          <w:szCs w:val="26"/>
        </w:rPr>
        <w:t xml:space="preserve"> testimony</w:t>
      </w:r>
      <w:r w:rsidRPr="00210BFE">
        <w:rPr>
          <w:rFonts w:ascii="Century Schoolbook" w:hAnsi="Century Schoolbook"/>
          <w:sz w:val="26"/>
          <w:szCs w:val="26"/>
        </w:rPr>
        <w:t xml:space="preserve"> begins, the court will conduct the direct examination of </w:t>
      </w:r>
      <w:r w:rsidRPr="002E6A2E">
        <w:rPr>
          <w:rFonts w:ascii="Century Schoolbook" w:hAnsi="Century Schoolbook"/>
          <w:strike/>
          <w:sz w:val="26"/>
          <w:szCs w:val="26"/>
        </w:rPr>
        <w:t>a self-</w:t>
      </w:r>
      <w:proofErr w:type="gramStart"/>
      <w:r w:rsidRPr="002E6A2E">
        <w:rPr>
          <w:rFonts w:ascii="Century Schoolbook" w:hAnsi="Century Schoolbook"/>
          <w:strike/>
          <w:sz w:val="26"/>
          <w:szCs w:val="26"/>
        </w:rPr>
        <w:t>represented</w:t>
      </w:r>
      <w:r w:rsidRPr="00210BFE">
        <w:rPr>
          <w:rFonts w:ascii="Century Schoolbook" w:hAnsi="Century Schoolbook"/>
          <w:sz w:val="26"/>
          <w:szCs w:val="26"/>
        </w:rPr>
        <w:t xml:space="preserve"> </w:t>
      </w:r>
      <w:r w:rsidRPr="002E6A2E">
        <w:rPr>
          <w:rFonts w:ascii="Century Schoolbook" w:hAnsi="Century Schoolbook"/>
          <w:sz w:val="26"/>
          <w:szCs w:val="26"/>
          <w:u w:val="single"/>
        </w:rPr>
        <w:t>that</w:t>
      </w:r>
      <w:proofErr w:type="gramEnd"/>
      <w:r>
        <w:rPr>
          <w:rFonts w:ascii="Century Schoolbook" w:hAnsi="Century Schoolbook"/>
          <w:sz w:val="26"/>
          <w:szCs w:val="26"/>
        </w:rPr>
        <w:t xml:space="preserve"> </w:t>
      </w:r>
      <w:r w:rsidRPr="002E6A2E">
        <w:rPr>
          <w:rFonts w:ascii="Century Schoolbook" w:hAnsi="Century Schoolbook"/>
          <w:sz w:val="26"/>
          <w:szCs w:val="26"/>
        </w:rPr>
        <w:t>party</w:t>
      </w:r>
      <w:r w:rsidRPr="00210BFE">
        <w:rPr>
          <w:rFonts w:ascii="Century Schoolbook" w:hAnsi="Century Schoolbook"/>
          <w:sz w:val="26"/>
          <w:szCs w:val="26"/>
        </w:rPr>
        <w:t xml:space="preserve"> on the issues raised by the parties' pleadings, pretrial statements, and notices of issues. The court must allow a self-represented party to, within that party's allotted trial time, (1) testify about relevant information not addressed by the court's direct examination; (2) conduct their own direct examination upon request; and (3) cross-examine any other parties and their witnesses.</w:t>
      </w:r>
    </w:p>
    <w:p w14:paraId="4EEDBDD0" w14:textId="77777777" w:rsidR="002E6A2E" w:rsidRDefault="002E6A2E" w:rsidP="002E6A2E">
      <w:pPr>
        <w:spacing w:line="480" w:lineRule="auto"/>
        <w:jc w:val="both"/>
        <w:rPr>
          <w:rFonts w:ascii="Century Schoolbook" w:hAnsi="Century Schoolbook"/>
          <w:sz w:val="26"/>
          <w:szCs w:val="26"/>
        </w:rPr>
      </w:pPr>
    </w:p>
    <w:p w14:paraId="5AB69D73" w14:textId="297D938D" w:rsidR="002E6A2E" w:rsidRDefault="002E6A2E" w:rsidP="002E6A2E">
      <w:pPr>
        <w:spacing w:line="480" w:lineRule="auto"/>
        <w:ind w:firstLine="720"/>
        <w:jc w:val="both"/>
        <w:rPr>
          <w:rFonts w:ascii="Century Schoolbook" w:hAnsi="Century Schoolbook"/>
          <w:sz w:val="26"/>
          <w:szCs w:val="26"/>
        </w:rPr>
      </w:pPr>
      <w:r w:rsidRPr="002E6A2E">
        <w:rPr>
          <w:rFonts w:ascii="Century Schoolbook" w:hAnsi="Century Schoolbook"/>
          <w:sz w:val="26"/>
          <w:szCs w:val="26"/>
        </w:rPr>
        <w:t xml:space="preserve">Expedited consideration and an emergency order is necessary to mitigate or eliminate these adverse effects on litigants, children, and the </w:t>
      </w:r>
      <w:r>
        <w:rPr>
          <w:rFonts w:ascii="Century Schoolbook" w:hAnsi="Century Schoolbook"/>
          <w:sz w:val="26"/>
          <w:szCs w:val="26"/>
        </w:rPr>
        <w:t>family</w:t>
      </w:r>
      <w:r w:rsidRPr="002E6A2E">
        <w:rPr>
          <w:rFonts w:ascii="Century Schoolbook" w:hAnsi="Century Schoolbook"/>
          <w:sz w:val="26"/>
          <w:szCs w:val="26"/>
        </w:rPr>
        <w:t xml:space="preserve"> courts.  </w:t>
      </w:r>
    </w:p>
    <w:p w14:paraId="13EAD0F2" w14:textId="31FBED58" w:rsidR="00C41CA7" w:rsidRPr="00484B4E" w:rsidRDefault="00511B7B" w:rsidP="00511B7B">
      <w:pPr>
        <w:rPr>
          <w:rFonts w:ascii="Century Schoolbook" w:hAnsi="Century Schoolbook"/>
          <w:sz w:val="26"/>
          <w:szCs w:val="26"/>
        </w:rPr>
      </w:pP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="00C41CA7" w:rsidRPr="00484B4E">
        <w:rPr>
          <w:rFonts w:ascii="Century Schoolbook" w:hAnsi="Century Schoolbook"/>
          <w:sz w:val="26"/>
          <w:szCs w:val="26"/>
        </w:rPr>
        <w:t xml:space="preserve">DATED this </w:t>
      </w:r>
      <w:r w:rsidR="002E6A2E">
        <w:rPr>
          <w:rFonts w:ascii="Century Schoolbook" w:hAnsi="Century Schoolbook"/>
          <w:sz w:val="26"/>
          <w:szCs w:val="26"/>
        </w:rPr>
        <w:t>1st</w:t>
      </w:r>
      <w:r w:rsidR="005501C1" w:rsidRPr="00484B4E">
        <w:rPr>
          <w:rFonts w:ascii="Century Schoolbook" w:hAnsi="Century Schoolbook"/>
          <w:sz w:val="26"/>
          <w:szCs w:val="26"/>
        </w:rPr>
        <w:t xml:space="preserve"> </w:t>
      </w:r>
      <w:r w:rsidR="00C41CA7" w:rsidRPr="00484B4E">
        <w:rPr>
          <w:rFonts w:ascii="Century Schoolbook" w:hAnsi="Century Schoolbook"/>
          <w:sz w:val="26"/>
          <w:szCs w:val="26"/>
        </w:rPr>
        <w:t xml:space="preserve">day of </w:t>
      </w:r>
      <w:proofErr w:type="gramStart"/>
      <w:r w:rsidR="009B78B5" w:rsidRPr="00484B4E">
        <w:rPr>
          <w:rFonts w:ascii="Century Schoolbook" w:hAnsi="Century Schoolbook"/>
          <w:sz w:val="26"/>
          <w:szCs w:val="26"/>
        </w:rPr>
        <w:t>Ma</w:t>
      </w:r>
      <w:r w:rsidR="002E6A2E">
        <w:rPr>
          <w:rFonts w:ascii="Century Schoolbook" w:hAnsi="Century Schoolbook"/>
          <w:sz w:val="26"/>
          <w:szCs w:val="26"/>
        </w:rPr>
        <w:t>y</w:t>
      </w:r>
      <w:r w:rsidR="002D2124" w:rsidRPr="00484B4E">
        <w:rPr>
          <w:rFonts w:ascii="Century Schoolbook" w:hAnsi="Century Schoolbook"/>
          <w:sz w:val="26"/>
          <w:szCs w:val="26"/>
        </w:rPr>
        <w:t>,</w:t>
      </w:r>
      <w:proofErr w:type="gramEnd"/>
      <w:r w:rsidR="00F42685" w:rsidRPr="00484B4E">
        <w:rPr>
          <w:rFonts w:ascii="Century Schoolbook" w:hAnsi="Century Schoolbook"/>
          <w:sz w:val="26"/>
          <w:szCs w:val="26"/>
        </w:rPr>
        <w:t xml:space="preserve"> 2</w:t>
      </w:r>
      <w:r w:rsidR="00C41CA7" w:rsidRPr="00484B4E">
        <w:rPr>
          <w:rFonts w:ascii="Century Schoolbook" w:hAnsi="Century Schoolbook"/>
          <w:sz w:val="26"/>
          <w:szCs w:val="26"/>
        </w:rPr>
        <w:t>0</w:t>
      </w:r>
      <w:r w:rsidR="00FA3A0D" w:rsidRPr="00484B4E">
        <w:rPr>
          <w:rFonts w:ascii="Century Schoolbook" w:hAnsi="Century Schoolbook"/>
          <w:sz w:val="26"/>
          <w:szCs w:val="26"/>
        </w:rPr>
        <w:t>2</w:t>
      </w:r>
      <w:r w:rsidR="002E6A2E">
        <w:rPr>
          <w:rFonts w:ascii="Century Schoolbook" w:hAnsi="Century Schoolbook"/>
          <w:sz w:val="26"/>
          <w:szCs w:val="26"/>
        </w:rPr>
        <w:t>6</w:t>
      </w:r>
      <w:r w:rsidR="00C41CA7" w:rsidRPr="00484B4E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Pr="00484B4E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661640B6" w14:textId="77777777" w:rsidR="00E066F6" w:rsidRPr="00484B4E" w:rsidRDefault="00E066F6" w:rsidP="00511B7B">
      <w:pPr>
        <w:rPr>
          <w:rFonts w:ascii="Century Schoolbook" w:hAnsi="Century Schoolbook"/>
          <w:sz w:val="26"/>
          <w:szCs w:val="26"/>
        </w:rPr>
      </w:pPr>
    </w:p>
    <w:p w14:paraId="6F2E5900" w14:textId="18921B0C" w:rsidR="005F4724" w:rsidRPr="00484B4E" w:rsidRDefault="00E066F6">
      <w:pPr>
        <w:jc w:val="both"/>
        <w:rPr>
          <w:rFonts w:ascii="Century Schoolbook" w:hAnsi="Century Schoolbook"/>
          <w:sz w:val="26"/>
          <w:szCs w:val="26"/>
        </w:rPr>
      </w:pP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  <w:t>/s/ Greg Sakall</w:t>
      </w:r>
    </w:p>
    <w:p w14:paraId="52073FEF" w14:textId="77777777" w:rsidR="00E066F6" w:rsidRPr="00484B4E" w:rsidRDefault="00E066F6">
      <w:pPr>
        <w:jc w:val="both"/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Pr="00484B4E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="00DD4E3C" w:rsidRPr="00484B4E">
        <w:rPr>
          <w:rFonts w:ascii="Century Schoolbook" w:hAnsi="Century Schoolbook"/>
          <w:sz w:val="26"/>
          <w:szCs w:val="26"/>
        </w:rPr>
        <w:tab/>
      </w:r>
      <w:r w:rsidR="00DD4E3C"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="00F42685" w:rsidRPr="00484B4E">
        <w:rPr>
          <w:rFonts w:ascii="Century Schoolbook" w:hAnsi="Century Schoolbook"/>
          <w:sz w:val="26"/>
          <w:szCs w:val="26"/>
        </w:rPr>
        <w:t>Greg Sakall</w:t>
      </w:r>
    </w:p>
    <w:p w14:paraId="081CDB18" w14:textId="79193230" w:rsidR="00656F65" w:rsidRPr="00484B4E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</w:r>
      <w:r w:rsidRPr="00484B4E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484B4E">
        <w:rPr>
          <w:rFonts w:ascii="Century Schoolbook" w:hAnsi="Century Schoolbook"/>
          <w:sz w:val="26"/>
          <w:szCs w:val="26"/>
        </w:rPr>
        <w:t>Committee on Family Court</w:t>
      </w:r>
    </w:p>
    <w:p w14:paraId="63FE2D90" w14:textId="6F4EEAE5" w:rsidR="002259CC" w:rsidRPr="00484B4E" w:rsidRDefault="002259CC">
      <w:pPr>
        <w:rPr>
          <w:rFonts w:ascii="Century Schoolbook" w:hAnsi="Century Schoolbook"/>
          <w:sz w:val="26"/>
          <w:szCs w:val="26"/>
        </w:rPr>
      </w:pPr>
      <w:r w:rsidRPr="00484B4E">
        <w:rPr>
          <w:rFonts w:ascii="Century Schoolbook" w:hAnsi="Century Schoolbook"/>
          <w:sz w:val="26"/>
          <w:szCs w:val="26"/>
        </w:rPr>
        <w:br w:type="page"/>
      </w:r>
    </w:p>
    <w:p w14:paraId="3A4CD783" w14:textId="77777777" w:rsidR="00E066F6" w:rsidRPr="000A663C" w:rsidRDefault="00E066F6" w:rsidP="00E066F6">
      <w:pPr>
        <w:jc w:val="center"/>
        <w:rPr>
          <w:b/>
          <w:bCs/>
          <w:sz w:val="28"/>
          <w:szCs w:val="28"/>
        </w:rPr>
      </w:pPr>
      <w:r w:rsidRPr="000A663C">
        <w:rPr>
          <w:b/>
          <w:bCs/>
          <w:sz w:val="28"/>
          <w:szCs w:val="28"/>
        </w:rPr>
        <w:lastRenderedPageBreak/>
        <w:t>Attachment</w:t>
      </w:r>
      <w:r w:rsidRPr="000A663C">
        <w:rPr>
          <w:b/>
          <w:bCs/>
          <w:spacing w:val="-4"/>
          <w:sz w:val="28"/>
          <w:szCs w:val="28"/>
        </w:rPr>
        <w:t xml:space="preserve"> </w:t>
      </w:r>
      <w:r w:rsidRPr="000A663C">
        <w:rPr>
          <w:b/>
          <w:bCs/>
          <w:spacing w:val="-10"/>
          <w:sz w:val="28"/>
          <w:szCs w:val="28"/>
        </w:rPr>
        <w:t>A</w:t>
      </w:r>
    </w:p>
    <w:p w14:paraId="30F487BF" w14:textId="77777777" w:rsidR="00E066F6" w:rsidRPr="00665014" w:rsidRDefault="00E066F6" w:rsidP="00E066F6">
      <w:pPr>
        <w:rPr>
          <w:sz w:val="28"/>
          <w:szCs w:val="28"/>
        </w:rPr>
      </w:pPr>
    </w:p>
    <w:p w14:paraId="300864FB" w14:textId="6FFBCD1B" w:rsidR="00E066F6" w:rsidRDefault="00E066F6" w:rsidP="00E066F6">
      <w:pPr>
        <w:rPr>
          <w:sz w:val="28"/>
          <w:szCs w:val="28"/>
        </w:rPr>
      </w:pPr>
      <w:r w:rsidRPr="00665014">
        <w:rPr>
          <w:sz w:val="28"/>
          <w:szCs w:val="28"/>
        </w:rPr>
        <w:t>Rule</w:t>
      </w:r>
      <w:r w:rsidRPr="00665014">
        <w:rPr>
          <w:spacing w:val="-2"/>
          <w:sz w:val="28"/>
          <w:szCs w:val="28"/>
        </w:rPr>
        <w:t xml:space="preserve"> </w:t>
      </w:r>
      <w:r w:rsidRPr="00665014">
        <w:rPr>
          <w:sz w:val="28"/>
          <w:szCs w:val="28"/>
        </w:rPr>
        <w:t>77</w:t>
      </w:r>
      <w:r w:rsidRPr="00665014">
        <w:rPr>
          <w:spacing w:val="-3"/>
          <w:sz w:val="28"/>
          <w:szCs w:val="28"/>
        </w:rPr>
        <w:t xml:space="preserve"> </w:t>
      </w:r>
      <w:r w:rsidRPr="00665014">
        <w:rPr>
          <w:sz w:val="28"/>
          <w:szCs w:val="28"/>
        </w:rPr>
        <w:t>of</w:t>
      </w:r>
      <w:r w:rsidRPr="00665014">
        <w:rPr>
          <w:spacing w:val="-2"/>
          <w:sz w:val="28"/>
          <w:szCs w:val="28"/>
        </w:rPr>
        <w:t xml:space="preserve"> </w:t>
      </w:r>
      <w:r w:rsidRPr="00665014">
        <w:rPr>
          <w:sz w:val="28"/>
          <w:szCs w:val="28"/>
        </w:rPr>
        <w:t>the</w:t>
      </w:r>
      <w:r w:rsidRPr="00665014">
        <w:rPr>
          <w:spacing w:val="-4"/>
          <w:sz w:val="28"/>
          <w:szCs w:val="28"/>
        </w:rPr>
        <w:t xml:space="preserve"> </w:t>
      </w:r>
      <w:r w:rsidRPr="00665014">
        <w:rPr>
          <w:sz w:val="28"/>
          <w:szCs w:val="28"/>
        </w:rPr>
        <w:t>Arizona</w:t>
      </w:r>
      <w:r w:rsidRPr="00665014">
        <w:rPr>
          <w:spacing w:val="-4"/>
          <w:sz w:val="28"/>
          <w:szCs w:val="28"/>
        </w:rPr>
        <w:t xml:space="preserve"> </w:t>
      </w:r>
      <w:r w:rsidRPr="00665014">
        <w:rPr>
          <w:sz w:val="28"/>
          <w:szCs w:val="28"/>
        </w:rPr>
        <w:t>Rules</w:t>
      </w:r>
      <w:r w:rsidRPr="00665014">
        <w:rPr>
          <w:spacing w:val="-2"/>
          <w:sz w:val="28"/>
          <w:szCs w:val="28"/>
        </w:rPr>
        <w:t xml:space="preserve"> </w:t>
      </w:r>
      <w:r w:rsidRPr="00665014">
        <w:rPr>
          <w:sz w:val="28"/>
          <w:szCs w:val="28"/>
        </w:rPr>
        <w:t>of</w:t>
      </w:r>
      <w:r w:rsidRPr="00665014">
        <w:rPr>
          <w:spacing w:val="-3"/>
          <w:sz w:val="28"/>
          <w:szCs w:val="28"/>
        </w:rPr>
        <w:t xml:space="preserve"> </w:t>
      </w:r>
      <w:r w:rsidRPr="00665014">
        <w:rPr>
          <w:sz w:val="28"/>
          <w:szCs w:val="28"/>
        </w:rPr>
        <w:t>Family</w:t>
      </w:r>
      <w:r w:rsidRPr="00665014">
        <w:rPr>
          <w:spacing w:val="-2"/>
          <w:sz w:val="28"/>
          <w:szCs w:val="28"/>
        </w:rPr>
        <w:t xml:space="preserve"> </w:t>
      </w:r>
      <w:r w:rsidRPr="00665014">
        <w:rPr>
          <w:sz w:val="28"/>
          <w:szCs w:val="28"/>
        </w:rPr>
        <w:t>Law</w:t>
      </w:r>
      <w:r w:rsidRPr="00665014">
        <w:rPr>
          <w:spacing w:val="-2"/>
          <w:sz w:val="28"/>
          <w:szCs w:val="28"/>
        </w:rPr>
        <w:t xml:space="preserve"> </w:t>
      </w:r>
      <w:r w:rsidRPr="00665014">
        <w:rPr>
          <w:sz w:val="28"/>
          <w:szCs w:val="28"/>
        </w:rPr>
        <w:t>Procedure</w:t>
      </w:r>
      <w:r w:rsidRPr="00665014">
        <w:rPr>
          <w:spacing w:val="-2"/>
          <w:sz w:val="28"/>
          <w:szCs w:val="28"/>
        </w:rPr>
        <w:t xml:space="preserve"> </w:t>
      </w:r>
      <w:r w:rsidR="00484B4E">
        <w:rPr>
          <w:sz w:val="28"/>
          <w:szCs w:val="28"/>
        </w:rPr>
        <w:t xml:space="preserve">is </w:t>
      </w:r>
      <w:r w:rsidRPr="00665014">
        <w:rPr>
          <w:sz w:val="28"/>
          <w:szCs w:val="28"/>
        </w:rPr>
        <w:t>amended</w:t>
      </w:r>
      <w:r w:rsidRPr="00665014">
        <w:rPr>
          <w:spacing w:val="-2"/>
          <w:sz w:val="28"/>
          <w:szCs w:val="28"/>
        </w:rPr>
        <w:t xml:space="preserve"> </w:t>
      </w:r>
      <w:r w:rsidRPr="00665014">
        <w:rPr>
          <w:sz w:val="28"/>
          <w:szCs w:val="28"/>
        </w:rPr>
        <w:t>as</w:t>
      </w:r>
      <w:r w:rsidRPr="00665014">
        <w:rPr>
          <w:spacing w:val="-2"/>
          <w:sz w:val="28"/>
          <w:szCs w:val="28"/>
        </w:rPr>
        <w:t xml:space="preserve"> </w:t>
      </w:r>
      <w:r w:rsidRPr="00665014">
        <w:rPr>
          <w:sz w:val="28"/>
          <w:szCs w:val="28"/>
        </w:rPr>
        <w:t xml:space="preserve">noted below (deletions indicated by strikethrough and additions by </w:t>
      </w:r>
      <w:r w:rsidRPr="009C5F60">
        <w:rPr>
          <w:sz w:val="28"/>
          <w:szCs w:val="28"/>
          <w:u w:val="single"/>
        </w:rPr>
        <w:t>underscoring</w:t>
      </w:r>
      <w:r w:rsidRPr="00665014">
        <w:rPr>
          <w:sz w:val="28"/>
          <w:szCs w:val="28"/>
        </w:rPr>
        <w:t>):</w:t>
      </w:r>
    </w:p>
    <w:p w14:paraId="4D16CCAC" w14:textId="77777777" w:rsidR="00E066F6" w:rsidRDefault="00E066F6" w:rsidP="00E066F6">
      <w:pPr>
        <w:rPr>
          <w:sz w:val="28"/>
          <w:szCs w:val="28"/>
        </w:rPr>
      </w:pPr>
    </w:p>
    <w:p w14:paraId="11348F6F" w14:textId="77777777" w:rsidR="00E066F6" w:rsidRDefault="00E066F6" w:rsidP="00E066F6">
      <w:pPr>
        <w:jc w:val="both"/>
        <w:rPr>
          <w:sz w:val="28"/>
          <w:szCs w:val="28"/>
        </w:rPr>
      </w:pPr>
    </w:p>
    <w:p w14:paraId="059DEC5D" w14:textId="60DC094D" w:rsidR="00E066F6" w:rsidRDefault="007E6591" w:rsidP="00E066F6">
      <w:pPr>
        <w:jc w:val="both"/>
        <w:rPr>
          <w:sz w:val="28"/>
          <w:szCs w:val="28"/>
        </w:rPr>
      </w:pPr>
      <w:r w:rsidRPr="007E6591">
        <w:rPr>
          <w:sz w:val="28"/>
          <w:szCs w:val="28"/>
        </w:rPr>
        <w:t>Rule 77. Trial Setting; Conduct of Proceedings; Procedures for Evidentiary Hearings and Trials</w:t>
      </w:r>
    </w:p>
    <w:p w14:paraId="5EE2CA6E" w14:textId="77777777" w:rsidR="007E6591" w:rsidRDefault="007E6591" w:rsidP="00E066F6">
      <w:pPr>
        <w:jc w:val="both"/>
        <w:rPr>
          <w:sz w:val="28"/>
          <w:szCs w:val="28"/>
        </w:rPr>
      </w:pPr>
    </w:p>
    <w:p w14:paraId="74BB041B" w14:textId="5A1A9619" w:rsidR="007E6591" w:rsidRPr="007E6591" w:rsidRDefault="007E6591" w:rsidP="007E6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(a) </w:t>
      </w:r>
      <w:r w:rsidRPr="007E6591">
        <w:rPr>
          <w:sz w:val="28"/>
          <w:szCs w:val="28"/>
        </w:rPr>
        <w:t xml:space="preserve">– (c) </w:t>
      </w:r>
      <w:r w:rsidRPr="007E6591">
        <w:rPr>
          <w:sz w:val="28"/>
          <w:szCs w:val="28"/>
        </w:rPr>
        <w:tab/>
        <w:t>[No change]</w:t>
      </w:r>
    </w:p>
    <w:p w14:paraId="394397C4" w14:textId="77777777" w:rsidR="007E6591" w:rsidRDefault="007E6591" w:rsidP="007E6591">
      <w:pPr>
        <w:jc w:val="both"/>
        <w:rPr>
          <w:sz w:val="28"/>
          <w:szCs w:val="28"/>
        </w:rPr>
      </w:pPr>
    </w:p>
    <w:p w14:paraId="5BC526A6" w14:textId="77777777" w:rsidR="007E6591" w:rsidRDefault="007E6591" w:rsidP="007E6591">
      <w:pPr>
        <w:jc w:val="both"/>
        <w:rPr>
          <w:b/>
          <w:bCs/>
          <w:sz w:val="28"/>
          <w:szCs w:val="28"/>
        </w:rPr>
      </w:pPr>
      <w:r w:rsidRPr="007E6591">
        <w:rPr>
          <w:b/>
          <w:bCs/>
          <w:sz w:val="28"/>
          <w:szCs w:val="28"/>
        </w:rPr>
        <w:t>(d) Procedures for Trials and Evidentiary Hearings.</w:t>
      </w:r>
    </w:p>
    <w:p w14:paraId="09B00338" w14:textId="77777777" w:rsidR="007E6591" w:rsidRPr="007E6591" w:rsidRDefault="007E6591" w:rsidP="007E6591">
      <w:pPr>
        <w:jc w:val="both"/>
        <w:rPr>
          <w:sz w:val="28"/>
          <w:szCs w:val="28"/>
        </w:rPr>
      </w:pPr>
    </w:p>
    <w:p w14:paraId="3568A751" w14:textId="638382E3" w:rsidR="007E6591" w:rsidRPr="007E6591" w:rsidRDefault="007E6591" w:rsidP="007E6591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[No change]</w:t>
      </w:r>
      <w:r w:rsidRPr="007E6591">
        <w:rPr>
          <w:sz w:val="28"/>
          <w:szCs w:val="28"/>
        </w:rPr>
        <w:t> </w:t>
      </w:r>
    </w:p>
    <w:p w14:paraId="60599DAD" w14:textId="77777777" w:rsidR="007E6591" w:rsidRDefault="007E6591" w:rsidP="007E6591">
      <w:pPr>
        <w:jc w:val="both"/>
        <w:rPr>
          <w:rFonts w:ascii="Century Schoolbook" w:hAnsi="Century Schoolbook"/>
          <w:sz w:val="26"/>
          <w:szCs w:val="26"/>
        </w:rPr>
      </w:pPr>
    </w:p>
    <w:p w14:paraId="1DA50520" w14:textId="5EC25592" w:rsidR="007E6591" w:rsidRDefault="007E6591" w:rsidP="007E6591">
      <w:pPr>
        <w:ind w:left="720"/>
        <w:jc w:val="both"/>
        <w:rPr>
          <w:rFonts w:ascii="Century Schoolbook" w:hAnsi="Century Schoolbook"/>
          <w:sz w:val="26"/>
          <w:szCs w:val="26"/>
        </w:rPr>
      </w:pPr>
      <w:r w:rsidRPr="00210BFE">
        <w:rPr>
          <w:rFonts w:ascii="Century Schoolbook" w:hAnsi="Century Schoolbook"/>
          <w:sz w:val="26"/>
          <w:szCs w:val="26"/>
        </w:rPr>
        <w:t>(2) </w:t>
      </w:r>
      <w:r w:rsidRPr="00210BFE">
        <w:rPr>
          <w:rFonts w:ascii="Century Schoolbook" w:hAnsi="Century Schoolbook"/>
          <w:i/>
          <w:iCs/>
          <w:sz w:val="26"/>
          <w:szCs w:val="26"/>
        </w:rPr>
        <w:t>Additional Procedures Applicable to Trials and Evidentiary Hearings with a Self-Represented Party</w:t>
      </w:r>
      <w:r w:rsidRPr="00210BFE">
        <w:rPr>
          <w:rFonts w:ascii="Century Schoolbook" w:hAnsi="Century Schoolbook"/>
          <w:sz w:val="26"/>
          <w:szCs w:val="26"/>
        </w:rPr>
        <w:t xml:space="preserve">. In addition to the procedures of Rule 77(d)(1) and absent a request otherwise </w:t>
      </w:r>
      <w:r>
        <w:rPr>
          <w:rFonts w:ascii="Century Schoolbook" w:hAnsi="Century Schoolbook"/>
          <w:sz w:val="26"/>
          <w:szCs w:val="26"/>
          <w:u w:val="single"/>
        </w:rPr>
        <w:t xml:space="preserve">from the self-represented party </w:t>
      </w:r>
      <w:r w:rsidRPr="00210BFE">
        <w:rPr>
          <w:rFonts w:ascii="Century Schoolbook" w:hAnsi="Century Schoolbook"/>
          <w:sz w:val="26"/>
          <w:szCs w:val="26"/>
        </w:rPr>
        <w:t xml:space="preserve">before </w:t>
      </w:r>
      <w:r w:rsidRPr="002E6A2E">
        <w:rPr>
          <w:rFonts w:ascii="Century Schoolbook" w:hAnsi="Century Schoolbook"/>
          <w:sz w:val="26"/>
          <w:szCs w:val="26"/>
          <w:u w:val="single"/>
        </w:rPr>
        <w:t>any</w:t>
      </w:r>
      <w:r w:rsidRPr="002E6A2E">
        <w:rPr>
          <w:rFonts w:ascii="Century Schoolbook" w:hAnsi="Century Schoolbook"/>
          <w:sz w:val="26"/>
          <w:szCs w:val="26"/>
        </w:rPr>
        <w:t xml:space="preserve"> testimony</w:t>
      </w:r>
      <w:r w:rsidRPr="00210BFE">
        <w:rPr>
          <w:rFonts w:ascii="Century Schoolbook" w:hAnsi="Century Schoolbook"/>
          <w:sz w:val="26"/>
          <w:szCs w:val="26"/>
        </w:rPr>
        <w:t xml:space="preserve"> begins, the court will conduct the direct examination of </w:t>
      </w:r>
      <w:r w:rsidRPr="002E6A2E">
        <w:rPr>
          <w:rFonts w:ascii="Century Schoolbook" w:hAnsi="Century Schoolbook"/>
          <w:strike/>
          <w:sz w:val="26"/>
          <w:szCs w:val="26"/>
        </w:rPr>
        <w:t>a self-</w:t>
      </w:r>
      <w:proofErr w:type="gramStart"/>
      <w:r w:rsidRPr="002E6A2E">
        <w:rPr>
          <w:rFonts w:ascii="Century Schoolbook" w:hAnsi="Century Schoolbook"/>
          <w:strike/>
          <w:sz w:val="26"/>
          <w:szCs w:val="26"/>
        </w:rPr>
        <w:t>represented</w:t>
      </w:r>
      <w:r w:rsidRPr="00210BFE">
        <w:rPr>
          <w:rFonts w:ascii="Century Schoolbook" w:hAnsi="Century Schoolbook"/>
          <w:sz w:val="26"/>
          <w:szCs w:val="26"/>
        </w:rPr>
        <w:t xml:space="preserve"> </w:t>
      </w:r>
      <w:r w:rsidRPr="002E6A2E">
        <w:rPr>
          <w:rFonts w:ascii="Century Schoolbook" w:hAnsi="Century Schoolbook"/>
          <w:sz w:val="26"/>
          <w:szCs w:val="26"/>
          <w:u w:val="single"/>
        </w:rPr>
        <w:t>that</w:t>
      </w:r>
      <w:proofErr w:type="gramEnd"/>
      <w:r>
        <w:rPr>
          <w:rFonts w:ascii="Century Schoolbook" w:hAnsi="Century Schoolbook"/>
          <w:sz w:val="26"/>
          <w:szCs w:val="26"/>
        </w:rPr>
        <w:t xml:space="preserve"> </w:t>
      </w:r>
      <w:r w:rsidRPr="002E6A2E">
        <w:rPr>
          <w:rFonts w:ascii="Century Schoolbook" w:hAnsi="Century Schoolbook"/>
          <w:sz w:val="26"/>
          <w:szCs w:val="26"/>
        </w:rPr>
        <w:t>party</w:t>
      </w:r>
      <w:r w:rsidRPr="00210BFE">
        <w:rPr>
          <w:rFonts w:ascii="Century Schoolbook" w:hAnsi="Century Schoolbook"/>
          <w:sz w:val="26"/>
          <w:szCs w:val="26"/>
        </w:rPr>
        <w:t xml:space="preserve"> on the issues raised by the parties' pleadings, pretrial statements, and notices of issues. The court must allow a self-represented party to, within that party's allotted trial time, (1) testify about relevant information not addressed by the court's direct examination; (2) conduct their own direct examination upon request; and (3) cross-examine any other parties and their witnesses.</w:t>
      </w:r>
    </w:p>
    <w:p w14:paraId="0872E716" w14:textId="77777777" w:rsidR="007E6591" w:rsidRDefault="007E6591" w:rsidP="007E6591">
      <w:pPr>
        <w:jc w:val="both"/>
        <w:rPr>
          <w:sz w:val="28"/>
          <w:szCs w:val="28"/>
        </w:rPr>
      </w:pPr>
    </w:p>
    <w:p w14:paraId="7071D570" w14:textId="6E629EB5" w:rsidR="007E6591" w:rsidRPr="007E6591" w:rsidRDefault="007E6591" w:rsidP="007E6591">
      <w:pPr>
        <w:ind w:firstLine="720"/>
        <w:jc w:val="both"/>
        <w:rPr>
          <w:sz w:val="28"/>
          <w:szCs w:val="28"/>
        </w:rPr>
      </w:pPr>
      <w:proofErr w:type="gramStart"/>
      <w:r w:rsidRPr="007E6591">
        <w:rPr>
          <w:sz w:val="28"/>
          <w:szCs w:val="28"/>
        </w:rPr>
        <w:t>(3) </w:t>
      </w:r>
      <w:r>
        <w:rPr>
          <w:sz w:val="28"/>
          <w:szCs w:val="28"/>
        </w:rPr>
        <w:t xml:space="preserve"> [</w:t>
      </w:r>
      <w:proofErr w:type="gramEnd"/>
      <w:r>
        <w:rPr>
          <w:sz w:val="28"/>
          <w:szCs w:val="28"/>
        </w:rPr>
        <w:t>No change]</w:t>
      </w:r>
      <w:r w:rsidRPr="007E6591">
        <w:rPr>
          <w:sz w:val="28"/>
          <w:szCs w:val="28"/>
        </w:rPr>
        <w:t> </w:t>
      </w:r>
    </w:p>
    <w:p w14:paraId="5C8F7F6C" w14:textId="77777777" w:rsidR="007E6591" w:rsidRPr="007E6591" w:rsidRDefault="007E6591" w:rsidP="007E6591">
      <w:pPr>
        <w:jc w:val="both"/>
        <w:rPr>
          <w:sz w:val="28"/>
          <w:szCs w:val="28"/>
        </w:rPr>
      </w:pPr>
    </w:p>
    <w:p w14:paraId="27ECFD1B" w14:textId="77777777" w:rsidR="007E6591" w:rsidRDefault="007E6591" w:rsidP="00E066F6">
      <w:pPr>
        <w:jc w:val="both"/>
        <w:rPr>
          <w:sz w:val="28"/>
          <w:szCs w:val="28"/>
          <w:u w:val="single"/>
        </w:rPr>
      </w:pPr>
    </w:p>
    <w:p w14:paraId="04B54CE5" w14:textId="77777777" w:rsidR="007E6591" w:rsidRDefault="007E6591" w:rsidP="00E066F6">
      <w:pPr>
        <w:jc w:val="both"/>
        <w:rPr>
          <w:sz w:val="28"/>
          <w:szCs w:val="28"/>
          <w:u w:val="single"/>
        </w:rPr>
      </w:pPr>
    </w:p>
    <w:p w14:paraId="16816FAC" w14:textId="77777777" w:rsidR="00E066F6" w:rsidRPr="00665014" w:rsidRDefault="00E066F6" w:rsidP="00E066F6">
      <w:pPr>
        <w:jc w:val="both"/>
        <w:rPr>
          <w:sz w:val="28"/>
          <w:szCs w:val="28"/>
          <w:u w:val="single"/>
        </w:rPr>
      </w:pPr>
    </w:p>
    <w:p w14:paraId="6B266064" w14:textId="77777777" w:rsidR="00D73373" w:rsidRDefault="00D73373" w:rsidP="00D73373">
      <w:pPr>
        <w:rPr>
          <w:sz w:val="28"/>
          <w:szCs w:val="28"/>
          <w:u w:val="single"/>
        </w:rPr>
      </w:pPr>
    </w:p>
    <w:p w14:paraId="1DC260A2" w14:textId="2926CBE0" w:rsidR="006319F6" w:rsidRPr="0064341C" w:rsidRDefault="006319F6" w:rsidP="00D73373">
      <w:pPr>
        <w:pStyle w:val="Heading1"/>
        <w:spacing w:before="79"/>
        <w:ind w:right="20"/>
        <w:rPr>
          <w:rFonts w:ascii="Century Schoolbook" w:hAnsi="Century Schoolbook"/>
          <w:sz w:val="26"/>
          <w:szCs w:val="26"/>
          <w:u w:val="single"/>
        </w:rPr>
      </w:pPr>
    </w:p>
    <w:p w14:paraId="3A429070" w14:textId="4501F1B4" w:rsidR="005F6F54" w:rsidRPr="005F6F54" w:rsidRDefault="005F6F54">
      <w:pPr>
        <w:rPr>
          <w:rFonts w:ascii="Century Schoolbook" w:hAnsi="Century Schoolbook"/>
          <w:sz w:val="28"/>
          <w:szCs w:val="28"/>
        </w:rPr>
      </w:pPr>
    </w:p>
    <w:sectPr w:rsidR="005F6F54" w:rsidRPr="005F6F54" w:rsidSect="005F6F5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3886" w14:textId="77777777" w:rsidR="005756DE" w:rsidRDefault="005756DE">
      <w:r>
        <w:separator/>
      </w:r>
    </w:p>
  </w:endnote>
  <w:endnote w:type="continuationSeparator" w:id="0">
    <w:p w14:paraId="38FAD5D2" w14:textId="77777777" w:rsidR="005756DE" w:rsidRDefault="0057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711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EC84F" w14:textId="7B60F8EC" w:rsidR="005F6F54" w:rsidRDefault="005F6F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BC8AA" w14:textId="77777777" w:rsidR="005F6F54" w:rsidRDefault="005F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3861" w14:textId="77777777" w:rsidR="005756DE" w:rsidRDefault="005756DE">
      <w:r>
        <w:separator/>
      </w:r>
    </w:p>
  </w:footnote>
  <w:footnote w:type="continuationSeparator" w:id="0">
    <w:p w14:paraId="20EE9DCC" w14:textId="77777777" w:rsidR="005756DE" w:rsidRDefault="0057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0B711788"/>
    <w:multiLevelType w:val="hybridMultilevel"/>
    <w:tmpl w:val="6E4E15D0"/>
    <w:lvl w:ilvl="0" w:tplc="0CE2A8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20FB8"/>
    <w:multiLevelType w:val="hybridMultilevel"/>
    <w:tmpl w:val="78FA6AD8"/>
    <w:lvl w:ilvl="0" w:tplc="3EDCE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6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4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6254">
    <w:abstractNumId w:val="4"/>
  </w:num>
  <w:num w:numId="2" w16cid:durableId="1603420683">
    <w:abstractNumId w:val="9"/>
  </w:num>
  <w:num w:numId="3" w16cid:durableId="1640575305">
    <w:abstractNumId w:val="12"/>
  </w:num>
  <w:num w:numId="4" w16cid:durableId="1915817108">
    <w:abstractNumId w:val="3"/>
  </w:num>
  <w:num w:numId="5" w16cid:durableId="1819805622">
    <w:abstractNumId w:val="13"/>
  </w:num>
  <w:num w:numId="6" w16cid:durableId="1327325989">
    <w:abstractNumId w:val="10"/>
  </w:num>
  <w:num w:numId="7" w16cid:durableId="225066413">
    <w:abstractNumId w:val="6"/>
  </w:num>
  <w:num w:numId="8" w16cid:durableId="776487940">
    <w:abstractNumId w:val="8"/>
  </w:num>
  <w:num w:numId="9" w16cid:durableId="691342178">
    <w:abstractNumId w:val="7"/>
  </w:num>
  <w:num w:numId="10" w16cid:durableId="521170742">
    <w:abstractNumId w:val="14"/>
  </w:num>
  <w:num w:numId="11" w16cid:durableId="1085735215">
    <w:abstractNumId w:val="0"/>
  </w:num>
  <w:num w:numId="12" w16cid:durableId="1007050860">
    <w:abstractNumId w:val="5"/>
  </w:num>
  <w:num w:numId="13" w16cid:durableId="67459222">
    <w:abstractNumId w:val="11"/>
  </w:num>
  <w:num w:numId="14" w16cid:durableId="937450772">
    <w:abstractNumId w:val="2"/>
  </w:num>
  <w:num w:numId="15" w16cid:durableId="211498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1408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5635"/>
    <w:rsid w:val="00206C23"/>
    <w:rsid w:val="00206DD7"/>
    <w:rsid w:val="00210BFE"/>
    <w:rsid w:val="00216D69"/>
    <w:rsid w:val="0022439E"/>
    <w:rsid w:val="002259CC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0972"/>
    <w:rsid w:val="002545BD"/>
    <w:rsid w:val="00254E37"/>
    <w:rsid w:val="002677D0"/>
    <w:rsid w:val="002748F9"/>
    <w:rsid w:val="0028184B"/>
    <w:rsid w:val="00282245"/>
    <w:rsid w:val="00284052"/>
    <w:rsid w:val="002865A4"/>
    <w:rsid w:val="0029769D"/>
    <w:rsid w:val="002A118F"/>
    <w:rsid w:val="002A46BC"/>
    <w:rsid w:val="002A4B42"/>
    <w:rsid w:val="002A6082"/>
    <w:rsid w:val="002A62C5"/>
    <w:rsid w:val="002B0325"/>
    <w:rsid w:val="002B3A01"/>
    <w:rsid w:val="002C4E08"/>
    <w:rsid w:val="002C75F3"/>
    <w:rsid w:val="002D2124"/>
    <w:rsid w:val="002D22D6"/>
    <w:rsid w:val="002D5B9B"/>
    <w:rsid w:val="002E007E"/>
    <w:rsid w:val="002E4500"/>
    <w:rsid w:val="002E475E"/>
    <w:rsid w:val="002E6A2E"/>
    <w:rsid w:val="002F4789"/>
    <w:rsid w:val="002F5030"/>
    <w:rsid w:val="002F52F0"/>
    <w:rsid w:val="002F68BE"/>
    <w:rsid w:val="002F787D"/>
    <w:rsid w:val="002F7E26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A4968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3E95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84B4E"/>
    <w:rsid w:val="00493EB1"/>
    <w:rsid w:val="0049555A"/>
    <w:rsid w:val="004A315C"/>
    <w:rsid w:val="004A330A"/>
    <w:rsid w:val="004A7FEA"/>
    <w:rsid w:val="004B297F"/>
    <w:rsid w:val="004B7C64"/>
    <w:rsid w:val="004C0383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44249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56DE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F6A"/>
    <w:rsid w:val="005C49A0"/>
    <w:rsid w:val="005C79BD"/>
    <w:rsid w:val="005D3E3C"/>
    <w:rsid w:val="005D5A20"/>
    <w:rsid w:val="005E02DD"/>
    <w:rsid w:val="005E24E6"/>
    <w:rsid w:val="005F14FC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19F6"/>
    <w:rsid w:val="00634487"/>
    <w:rsid w:val="00635A07"/>
    <w:rsid w:val="00642063"/>
    <w:rsid w:val="0064341C"/>
    <w:rsid w:val="006474B1"/>
    <w:rsid w:val="00656F65"/>
    <w:rsid w:val="0066614A"/>
    <w:rsid w:val="00667F71"/>
    <w:rsid w:val="0067798C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260E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46282"/>
    <w:rsid w:val="00750020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740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591"/>
    <w:rsid w:val="007E6660"/>
    <w:rsid w:val="007F2643"/>
    <w:rsid w:val="007F2FC5"/>
    <w:rsid w:val="007F400A"/>
    <w:rsid w:val="007F7E66"/>
    <w:rsid w:val="00801C5D"/>
    <w:rsid w:val="00806EBD"/>
    <w:rsid w:val="0081060F"/>
    <w:rsid w:val="00812266"/>
    <w:rsid w:val="00815E38"/>
    <w:rsid w:val="008173DD"/>
    <w:rsid w:val="0082137A"/>
    <w:rsid w:val="008248E9"/>
    <w:rsid w:val="00825D70"/>
    <w:rsid w:val="00833F02"/>
    <w:rsid w:val="0083401C"/>
    <w:rsid w:val="0083420D"/>
    <w:rsid w:val="0084487C"/>
    <w:rsid w:val="0086217D"/>
    <w:rsid w:val="00862AF7"/>
    <w:rsid w:val="008638BD"/>
    <w:rsid w:val="00864791"/>
    <w:rsid w:val="008762A8"/>
    <w:rsid w:val="00877F62"/>
    <w:rsid w:val="008908F0"/>
    <w:rsid w:val="0089457B"/>
    <w:rsid w:val="00895FFC"/>
    <w:rsid w:val="00896BBC"/>
    <w:rsid w:val="0089734A"/>
    <w:rsid w:val="008A2501"/>
    <w:rsid w:val="008A38E5"/>
    <w:rsid w:val="008A412C"/>
    <w:rsid w:val="008A5797"/>
    <w:rsid w:val="008A57BD"/>
    <w:rsid w:val="008B0AD4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393C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B78B5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34566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A72A8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9425D"/>
    <w:rsid w:val="00BA1B8D"/>
    <w:rsid w:val="00BA2F6E"/>
    <w:rsid w:val="00BA340C"/>
    <w:rsid w:val="00BA4C8D"/>
    <w:rsid w:val="00BB058F"/>
    <w:rsid w:val="00BB2893"/>
    <w:rsid w:val="00BB3511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0024"/>
    <w:rsid w:val="00C04B63"/>
    <w:rsid w:val="00C120DF"/>
    <w:rsid w:val="00C12E78"/>
    <w:rsid w:val="00C2299D"/>
    <w:rsid w:val="00C25222"/>
    <w:rsid w:val="00C30317"/>
    <w:rsid w:val="00C3615C"/>
    <w:rsid w:val="00C406F4"/>
    <w:rsid w:val="00C41CA7"/>
    <w:rsid w:val="00C44D63"/>
    <w:rsid w:val="00C46DBD"/>
    <w:rsid w:val="00C47226"/>
    <w:rsid w:val="00C47A05"/>
    <w:rsid w:val="00C47CEF"/>
    <w:rsid w:val="00C56400"/>
    <w:rsid w:val="00C5657E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57C41"/>
    <w:rsid w:val="00D63EE4"/>
    <w:rsid w:val="00D706E2"/>
    <w:rsid w:val="00D7114C"/>
    <w:rsid w:val="00D72696"/>
    <w:rsid w:val="00D73373"/>
    <w:rsid w:val="00D8168F"/>
    <w:rsid w:val="00D87F80"/>
    <w:rsid w:val="00D90C79"/>
    <w:rsid w:val="00D91587"/>
    <w:rsid w:val="00D930DA"/>
    <w:rsid w:val="00D93DB8"/>
    <w:rsid w:val="00D94362"/>
    <w:rsid w:val="00DA2ACF"/>
    <w:rsid w:val="00DA4BA5"/>
    <w:rsid w:val="00DA4DA0"/>
    <w:rsid w:val="00DA5F94"/>
    <w:rsid w:val="00DA685C"/>
    <w:rsid w:val="00DB06C6"/>
    <w:rsid w:val="00DB0A9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066F6"/>
    <w:rsid w:val="00E10DBA"/>
    <w:rsid w:val="00E203FC"/>
    <w:rsid w:val="00E20709"/>
    <w:rsid w:val="00E23224"/>
    <w:rsid w:val="00E24ECC"/>
    <w:rsid w:val="00E31DA9"/>
    <w:rsid w:val="00E32482"/>
    <w:rsid w:val="00E42D45"/>
    <w:rsid w:val="00E44357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803F6"/>
    <w:rsid w:val="00E80B48"/>
    <w:rsid w:val="00E83C06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EF5289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0AD"/>
    <w:rsid w:val="00F47F52"/>
    <w:rsid w:val="00F55BA6"/>
    <w:rsid w:val="00F70E28"/>
    <w:rsid w:val="00F73E2A"/>
    <w:rsid w:val="00F863E8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69F30B"/>
  <w15:docId w15:val="{66BCCBD7-01D9-4032-83EC-3084C5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yan@courts.az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9BB7E8-2E51-4EB1-8D7B-209A8ECC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4454</Characters>
  <Application>Microsoft Office Word</Application>
  <DocSecurity>0</DocSecurity>
  <Lines>118</Lines>
  <Paragraphs>36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Sakall, Greg</cp:lastModifiedBy>
  <cp:revision>4</cp:revision>
  <cp:lastPrinted>2026-05-01T21:26:00Z</cp:lastPrinted>
  <dcterms:created xsi:type="dcterms:W3CDTF">2026-05-01T21:14:00Z</dcterms:created>
  <dcterms:modified xsi:type="dcterms:W3CDTF">2026-05-01T21:27:00Z</dcterms:modified>
</cp:coreProperties>
</file>