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56DAD" w14:textId="77777777" w:rsidR="00FC354A" w:rsidRPr="004B4C02" w:rsidRDefault="00FD0829" w:rsidP="00E170F6">
      <w:pPr>
        <w:spacing w:after="0" w:line="240" w:lineRule="auto"/>
        <w:rPr>
          <w:sz w:val="28"/>
          <w:szCs w:val="28"/>
        </w:rPr>
      </w:pPr>
      <w:r>
        <w:rPr>
          <w:sz w:val="28"/>
          <w:szCs w:val="28"/>
        </w:rPr>
        <w:t>Jason D. Lewis</w:t>
      </w:r>
    </w:p>
    <w:p w14:paraId="384AE056" w14:textId="0D45A627" w:rsidR="007B515A" w:rsidRDefault="007B515A" w:rsidP="00265931">
      <w:pPr>
        <w:spacing w:after="0" w:line="240" w:lineRule="auto"/>
        <w:rPr>
          <w:sz w:val="28"/>
          <w:szCs w:val="28"/>
        </w:rPr>
      </w:pPr>
      <w:r>
        <w:rPr>
          <w:sz w:val="28"/>
          <w:szCs w:val="28"/>
        </w:rPr>
        <w:t>Deputy Solicitor General/Section Chief of Capital Litigation</w:t>
      </w:r>
    </w:p>
    <w:p w14:paraId="1620D8DF" w14:textId="779E418D" w:rsidR="007B515A" w:rsidRDefault="007B515A" w:rsidP="00265931">
      <w:pPr>
        <w:spacing w:after="0" w:line="240" w:lineRule="auto"/>
        <w:rPr>
          <w:sz w:val="28"/>
          <w:szCs w:val="28"/>
        </w:rPr>
      </w:pPr>
      <w:r>
        <w:rPr>
          <w:sz w:val="28"/>
          <w:szCs w:val="28"/>
        </w:rPr>
        <w:t>Arizona Attorney General’s Office</w:t>
      </w:r>
    </w:p>
    <w:p w14:paraId="55ED501A" w14:textId="2316AF2C" w:rsidR="00265931" w:rsidRDefault="00265931" w:rsidP="00265931">
      <w:pPr>
        <w:spacing w:after="0" w:line="240" w:lineRule="auto"/>
        <w:rPr>
          <w:sz w:val="28"/>
          <w:szCs w:val="28"/>
        </w:rPr>
      </w:pPr>
      <w:r w:rsidRPr="00265931">
        <w:rPr>
          <w:sz w:val="28"/>
          <w:szCs w:val="28"/>
        </w:rPr>
        <w:t>2005 N. Central Ave.</w:t>
      </w:r>
    </w:p>
    <w:p w14:paraId="0C26CF83" w14:textId="77777777" w:rsidR="00265931" w:rsidRPr="00265931" w:rsidRDefault="00265931" w:rsidP="00265931">
      <w:pPr>
        <w:spacing w:after="0" w:line="240" w:lineRule="auto"/>
        <w:rPr>
          <w:sz w:val="28"/>
          <w:szCs w:val="28"/>
        </w:rPr>
      </w:pPr>
      <w:r w:rsidRPr="00265931">
        <w:rPr>
          <w:sz w:val="28"/>
          <w:szCs w:val="28"/>
        </w:rPr>
        <w:t>Phoenix, AZ 85004</w:t>
      </w:r>
    </w:p>
    <w:p w14:paraId="47F394CE" w14:textId="77777777" w:rsidR="00265931" w:rsidRPr="00265931" w:rsidRDefault="00FD0829" w:rsidP="00265931">
      <w:pPr>
        <w:spacing w:after="0" w:line="240" w:lineRule="auto"/>
        <w:rPr>
          <w:sz w:val="28"/>
          <w:szCs w:val="28"/>
        </w:rPr>
      </w:pPr>
      <w:r>
        <w:rPr>
          <w:sz w:val="28"/>
          <w:szCs w:val="28"/>
        </w:rPr>
        <w:t>(</w:t>
      </w:r>
      <w:r w:rsidR="00265931" w:rsidRPr="00265931">
        <w:rPr>
          <w:sz w:val="28"/>
          <w:szCs w:val="28"/>
        </w:rPr>
        <w:t>602</w:t>
      </w:r>
      <w:r>
        <w:rPr>
          <w:sz w:val="28"/>
          <w:szCs w:val="28"/>
        </w:rPr>
        <w:t xml:space="preserve">) </w:t>
      </w:r>
      <w:r w:rsidR="00265931" w:rsidRPr="00265931">
        <w:rPr>
          <w:sz w:val="28"/>
          <w:szCs w:val="28"/>
        </w:rPr>
        <w:t>542-</w:t>
      </w:r>
      <w:r>
        <w:rPr>
          <w:sz w:val="28"/>
          <w:szCs w:val="28"/>
        </w:rPr>
        <w:t>7989</w:t>
      </w:r>
    </w:p>
    <w:p w14:paraId="66A06FDC" w14:textId="77777777" w:rsidR="00265931" w:rsidRPr="00265931" w:rsidRDefault="00FD0829" w:rsidP="00265931">
      <w:pPr>
        <w:spacing w:after="0" w:line="240" w:lineRule="auto"/>
        <w:rPr>
          <w:sz w:val="28"/>
          <w:szCs w:val="28"/>
        </w:rPr>
      </w:pPr>
      <w:r>
        <w:rPr>
          <w:sz w:val="28"/>
          <w:szCs w:val="28"/>
        </w:rPr>
        <w:t>Jason</w:t>
      </w:r>
      <w:r w:rsidR="00265931" w:rsidRPr="00265931">
        <w:rPr>
          <w:sz w:val="28"/>
          <w:szCs w:val="28"/>
        </w:rPr>
        <w:t>.</w:t>
      </w:r>
      <w:r>
        <w:rPr>
          <w:sz w:val="28"/>
          <w:szCs w:val="28"/>
        </w:rPr>
        <w:t>Lewis</w:t>
      </w:r>
      <w:r w:rsidR="00265931" w:rsidRPr="00265931">
        <w:rPr>
          <w:sz w:val="28"/>
          <w:szCs w:val="28"/>
        </w:rPr>
        <w:t>@azag.gov</w:t>
      </w:r>
    </w:p>
    <w:p w14:paraId="33F040A3" w14:textId="77777777" w:rsidR="00E170F6" w:rsidRPr="004B4C02" w:rsidRDefault="00E170F6" w:rsidP="00265931">
      <w:pPr>
        <w:spacing w:after="0" w:line="240" w:lineRule="auto"/>
        <w:rPr>
          <w:sz w:val="28"/>
          <w:szCs w:val="28"/>
        </w:rPr>
      </w:pPr>
      <w:r w:rsidRPr="004B4C02">
        <w:rPr>
          <w:sz w:val="28"/>
          <w:szCs w:val="28"/>
        </w:rPr>
        <w:t xml:space="preserve">AZ Bar # </w:t>
      </w:r>
      <w:r w:rsidR="00FD0829">
        <w:rPr>
          <w:sz w:val="28"/>
          <w:szCs w:val="28"/>
        </w:rPr>
        <w:t>032461</w:t>
      </w:r>
      <w:r w:rsidRPr="004B4C02">
        <w:rPr>
          <w:sz w:val="28"/>
          <w:szCs w:val="28"/>
        </w:rPr>
        <w:t>.</w:t>
      </w:r>
    </w:p>
    <w:p w14:paraId="22EC6E68" w14:textId="77777777" w:rsidR="00FC354A" w:rsidRPr="004B4C02" w:rsidRDefault="00FC354A" w:rsidP="00E170F6">
      <w:pPr>
        <w:pStyle w:val="StyleStyleCourtNameTitle18ptAfter12ptTimesNewRoman"/>
        <w:widowControl/>
        <w:spacing w:before="240" w:after="0"/>
        <w:rPr>
          <w:szCs w:val="28"/>
        </w:rPr>
      </w:pPr>
      <w:r w:rsidRPr="004B4C02">
        <w:rPr>
          <w:szCs w:val="28"/>
        </w:rPr>
        <w:t>In tHe Supreme Court</w:t>
      </w:r>
    </w:p>
    <w:p w14:paraId="6354404E" w14:textId="77777777" w:rsidR="00FC354A" w:rsidRPr="004B4C02" w:rsidRDefault="00FC354A" w:rsidP="00E170F6">
      <w:pPr>
        <w:pStyle w:val="StyleStyleCourtNameTitle18ptAfter12ptTimesNewRoman"/>
        <w:widowControl/>
        <w:spacing w:before="0"/>
        <w:rPr>
          <w:szCs w:val="28"/>
        </w:rPr>
      </w:pPr>
      <w:r w:rsidRPr="004B4C02">
        <w:rPr>
          <w:szCs w:val="28"/>
        </w:rPr>
        <w:t>State of ARIZONA</w:t>
      </w:r>
    </w:p>
    <w:tbl>
      <w:tblPr>
        <w:tblW w:w="9360" w:type="dxa"/>
        <w:tblInd w:w="120" w:type="dxa"/>
        <w:tblLayout w:type="fixed"/>
        <w:tblCellMar>
          <w:top w:w="260" w:type="dxa"/>
          <w:left w:w="120" w:type="dxa"/>
          <w:right w:w="120" w:type="dxa"/>
        </w:tblCellMar>
        <w:tblLook w:val="0000" w:firstRow="0" w:lastRow="0" w:firstColumn="0" w:lastColumn="0" w:noHBand="0" w:noVBand="0"/>
      </w:tblPr>
      <w:tblGrid>
        <w:gridCol w:w="4590"/>
        <w:gridCol w:w="4770"/>
      </w:tblGrid>
      <w:tr w:rsidR="00FC354A" w:rsidRPr="004B4C02" w14:paraId="50ACA90A" w14:textId="77777777" w:rsidTr="00627B7A">
        <w:trPr>
          <w:cantSplit/>
        </w:trPr>
        <w:tc>
          <w:tcPr>
            <w:tcW w:w="4590" w:type="dxa"/>
            <w:tcBorders>
              <w:bottom w:val="single" w:sz="6" w:space="0" w:color="auto"/>
              <w:right w:val="single" w:sz="6" w:space="0" w:color="auto"/>
            </w:tcBorders>
          </w:tcPr>
          <w:p w14:paraId="285B2432" w14:textId="0A9BFCAF" w:rsidR="00AD0D63" w:rsidRDefault="00AD0D63" w:rsidP="00FC354A">
            <w:pPr>
              <w:rPr>
                <w:sz w:val="28"/>
                <w:szCs w:val="28"/>
              </w:rPr>
            </w:pPr>
            <w:r>
              <w:rPr>
                <w:sz w:val="28"/>
                <w:szCs w:val="28"/>
              </w:rPr>
              <w:t>In the Matter of</w:t>
            </w:r>
          </w:p>
          <w:p w14:paraId="3233D6D7" w14:textId="2CAC41E0" w:rsidR="00FC354A" w:rsidRPr="004B4C02" w:rsidRDefault="009F6BA3" w:rsidP="00FC354A">
            <w:pPr>
              <w:rPr>
                <w:sz w:val="28"/>
                <w:szCs w:val="28"/>
              </w:rPr>
            </w:pPr>
            <w:r>
              <w:rPr>
                <w:sz w:val="28"/>
                <w:szCs w:val="28"/>
              </w:rPr>
              <w:t xml:space="preserve">PETITION TO AMEND RULES 32.4 AND 33.4 OF THE </w:t>
            </w:r>
            <w:r w:rsidR="00AD0D63">
              <w:rPr>
                <w:sz w:val="28"/>
                <w:szCs w:val="28"/>
              </w:rPr>
              <w:t>RULES OF CRIMINAL PROCEDURE</w:t>
            </w:r>
          </w:p>
        </w:tc>
        <w:tc>
          <w:tcPr>
            <w:tcW w:w="4770" w:type="dxa"/>
            <w:tcBorders>
              <w:left w:val="single" w:sz="6" w:space="0" w:color="auto"/>
            </w:tcBorders>
            <w:tcMar>
              <w:left w:w="173" w:type="dxa"/>
              <w:right w:w="0" w:type="dxa"/>
            </w:tcMar>
          </w:tcPr>
          <w:p w14:paraId="09C5BC2B" w14:textId="36A443A8" w:rsidR="00FC354A" w:rsidRPr="004B4C02" w:rsidRDefault="00FC354A" w:rsidP="00FC354A">
            <w:pPr>
              <w:pStyle w:val="Caseinfo"/>
              <w:spacing w:line="240" w:lineRule="auto"/>
              <w:rPr>
                <w:rStyle w:val="FieldAllCaps"/>
                <w:caps w:val="0"/>
                <w:smallCaps w:val="0"/>
              </w:rPr>
            </w:pPr>
            <w:r w:rsidRPr="004B4C02">
              <w:rPr>
                <w:rStyle w:val="FieldAllCaps"/>
                <w:caps w:val="0"/>
                <w:smallCaps w:val="0"/>
              </w:rPr>
              <w:t>Supreme Court No. R–</w:t>
            </w:r>
            <w:r w:rsidR="00AD0D63">
              <w:rPr>
                <w:rStyle w:val="FieldAllCaps"/>
                <w:caps w:val="0"/>
                <w:smallCaps w:val="0"/>
              </w:rPr>
              <w:t>2</w:t>
            </w:r>
            <w:r w:rsidR="009F6BA3">
              <w:rPr>
                <w:rStyle w:val="FieldAllCaps"/>
                <w:caps w:val="0"/>
                <w:smallCaps w:val="0"/>
              </w:rPr>
              <w:t>6</w:t>
            </w:r>
            <w:r w:rsidR="00AD0D63">
              <w:rPr>
                <w:rStyle w:val="FieldAllCaps"/>
                <w:caps w:val="0"/>
                <w:smallCaps w:val="0"/>
              </w:rPr>
              <w:t>–00</w:t>
            </w:r>
            <w:r w:rsidR="009F6BA3">
              <w:rPr>
                <w:rStyle w:val="FieldAllCaps"/>
                <w:caps w:val="0"/>
                <w:smallCaps w:val="0"/>
              </w:rPr>
              <w:t>05</w:t>
            </w:r>
          </w:p>
          <w:p w14:paraId="01D06ABB" w14:textId="77777777" w:rsidR="00FC354A" w:rsidRPr="004B4C02" w:rsidRDefault="00FC354A" w:rsidP="00FC354A">
            <w:pPr>
              <w:pStyle w:val="Caseinfo"/>
              <w:spacing w:line="240" w:lineRule="auto"/>
              <w:rPr>
                <w:rStyle w:val="FieldAllCaps"/>
                <w:caps w:val="0"/>
                <w:smallCaps w:val="0"/>
              </w:rPr>
            </w:pPr>
          </w:p>
          <w:p w14:paraId="6742A5CC" w14:textId="12C44258" w:rsidR="00FC354A" w:rsidRPr="004B4C02" w:rsidRDefault="00AD0D63" w:rsidP="00FC354A">
            <w:pPr>
              <w:pStyle w:val="Caseinfo"/>
              <w:spacing w:line="240" w:lineRule="auto"/>
              <w:rPr>
                <w:rStyle w:val="StyleCaseinfoBlackChar"/>
                <w:b/>
                <w:smallCaps w:val="0"/>
                <w:color w:val="auto"/>
              </w:rPr>
            </w:pPr>
            <w:r w:rsidRPr="00AD0D63">
              <w:rPr>
                <w:rStyle w:val="FieldAllCaps"/>
                <w:b/>
                <w:caps w:val="0"/>
                <w:smallCaps w:val="0"/>
              </w:rPr>
              <w:t xml:space="preserve">COMMENT </w:t>
            </w:r>
            <w:r w:rsidR="00BC7EA1">
              <w:rPr>
                <w:rStyle w:val="FieldAllCaps"/>
                <w:b/>
                <w:caps w:val="0"/>
                <w:smallCaps w:val="0"/>
              </w:rPr>
              <w:t>IN SUPPORT OF</w:t>
            </w:r>
            <w:r w:rsidRPr="00AD0D63">
              <w:rPr>
                <w:rStyle w:val="FieldAllCaps"/>
                <w:b/>
                <w:caps w:val="0"/>
                <w:smallCaps w:val="0"/>
              </w:rPr>
              <w:t xml:space="preserve"> </w:t>
            </w:r>
            <w:r w:rsidR="003A36F1">
              <w:rPr>
                <w:rStyle w:val="FieldAllCaps"/>
                <w:b/>
                <w:caps w:val="0"/>
                <w:smallCaps w:val="0"/>
              </w:rPr>
              <w:t>PETITION</w:t>
            </w:r>
          </w:p>
          <w:p w14:paraId="02DF6EDC" w14:textId="77777777" w:rsidR="00FC354A" w:rsidRPr="004B4C02" w:rsidRDefault="00FC354A" w:rsidP="00FC354A">
            <w:pPr>
              <w:pStyle w:val="Caseinfo"/>
              <w:spacing w:line="240" w:lineRule="auto"/>
              <w:rPr>
                <w:rStyle w:val="FieldAllCaps"/>
                <w:b/>
                <w:caps w:val="0"/>
                <w:smallCaps w:val="0"/>
              </w:rPr>
            </w:pPr>
          </w:p>
        </w:tc>
      </w:tr>
      <w:tr w:rsidR="00FC354A" w:rsidRPr="004B4C02" w14:paraId="6A907F92" w14:textId="77777777" w:rsidTr="00627B7A">
        <w:trPr>
          <w:cantSplit/>
          <w:trHeight w:val="282"/>
        </w:trPr>
        <w:tc>
          <w:tcPr>
            <w:tcW w:w="4590" w:type="dxa"/>
            <w:tcBorders>
              <w:top w:val="single" w:sz="6" w:space="0" w:color="auto"/>
            </w:tcBorders>
            <w:tcMar>
              <w:top w:w="0" w:type="dxa"/>
            </w:tcMar>
          </w:tcPr>
          <w:p w14:paraId="0ADDCA8B" w14:textId="77777777" w:rsidR="00FC354A" w:rsidRPr="004B4C02" w:rsidRDefault="00FC354A" w:rsidP="00627B7A">
            <w:pPr>
              <w:pStyle w:val="Zbasefontbody"/>
            </w:pPr>
          </w:p>
        </w:tc>
        <w:tc>
          <w:tcPr>
            <w:tcW w:w="4770" w:type="dxa"/>
            <w:tcMar>
              <w:top w:w="0" w:type="dxa"/>
            </w:tcMar>
          </w:tcPr>
          <w:p w14:paraId="79AFDBCF" w14:textId="77777777" w:rsidR="00FC354A" w:rsidRPr="004B4C02" w:rsidRDefault="00FC354A" w:rsidP="00627B7A">
            <w:pPr>
              <w:pStyle w:val="Zbasefontbody"/>
            </w:pPr>
          </w:p>
        </w:tc>
      </w:tr>
    </w:tbl>
    <w:p w14:paraId="0CE6A674" w14:textId="54D0849B" w:rsidR="00F06FD2" w:rsidRDefault="00E25E93" w:rsidP="003C3D44">
      <w:pPr>
        <w:spacing w:line="480" w:lineRule="auto"/>
        <w:jc w:val="both"/>
        <w:rPr>
          <w:sz w:val="28"/>
          <w:szCs w:val="28"/>
        </w:rPr>
      </w:pPr>
      <w:bookmarkStart w:id="0" w:name="_GoBack"/>
      <w:bookmarkEnd w:id="0"/>
      <w:r>
        <w:rPr>
          <w:sz w:val="28"/>
          <w:szCs w:val="28"/>
        </w:rPr>
        <w:tab/>
        <w:t>The Arizona Attorney General’s Office</w:t>
      </w:r>
      <w:r w:rsidR="001968C3">
        <w:rPr>
          <w:sz w:val="28"/>
          <w:szCs w:val="28"/>
        </w:rPr>
        <w:t>, pursuant to Rule 28(e) of the Rules of the Supreme Court of Arizona,</w:t>
      </w:r>
      <w:r>
        <w:rPr>
          <w:sz w:val="28"/>
          <w:szCs w:val="28"/>
        </w:rPr>
        <w:t xml:space="preserve"> submits this comment in support of the petition to amend Arizona Rules of Criminal Procedure 32.4 and 33.4.  Arizona’s postconviction scheme is structured to require the filing of a notice</w:t>
      </w:r>
      <w:r w:rsidR="007E62DD">
        <w:rPr>
          <w:sz w:val="28"/>
          <w:szCs w:val="28"/>
        </w:rPr>
        <w:t xml:space="preserve"> before the filing of a petition for postconviction relief.  </w:t>
      </w:r>
      <w:r w:rsidR="007E62DD">
        <w:rPr>
          <w:i/>
          <w:sz w:val="28"/>
          <w:szCs w:val="28"/>
        </w:rPr>
        <w:t xml:space="preserve">See </w:t>
      </w:r>
      <w:r w:rsidR="007E62DD" w:rsidRPr="007E62DD">
        <w:rPr>
          <w:sz w:val="28"/>
          <w:szCs w:val="28"/>
        </w:rPr>
        <w:t>Ariz. R. Crim. P. 32.4(a)</w:t>
      </w:r>
      <w:r w:rsidR="007E62DD">
        <w:rPr>
          <w:sz w:val="28"/>
          <w:szCs w:val="28"/>
        </w:rPr>
        <w:t xml:space="preserve"> (“</w:t>
      </w:r>
      <w:r w:rsidR="007E62DD" w:rsidRPr="007E62DD">
        <w:rPr>
          <w:sz w:val="28"/>
          <w:szCs w:val="28"/>
        </w:rPr>
        <w:t>A defendant starts a Rule 32 proceeding by filing a Notice Requesting Post-Conviction Relief</w:t>
      </w:r>
      <w:r w:rsidR="007E62DD">
        <w:rPr>
          <w:sz w:val="28"/>
          <w:szCs w:val="28"/>
        </w:rPr>
        <w:t>.”)</w:t>
      </w:r>
      <w:r w:rsidR="007E62DD" w:rsidRPr="007E62DD">
        <w:rPr>
          <w:sz w:val="28"/>
          <w:szCs w:val="28"/>
        </w:rPr>
        <w:t>; Ariz. R. Crim. P. 33.4(a).</w:t>
      </w:r>
      <w:r w:rsidR="007E62DD">
        <w:rPr>
          <w:sz w:val="28"/>
          <w:szCs w:val="28"/>
        </w:rPr>
        <w:t xml:space="preserve">  The notice triggers a host of procedures, which includes informing interested parties</w:t>
      </w:r>
      <w:r w:rsidR="002C58F8">
        <w:rPr>
          <w:sz w:val="28"/>
          <w:szCs w:val="28"/>
        </w:rPr>
        <w:t xml:space="preserve"> (</w:t>
      </w:r>
      <w:r w:rsidR="007E62DD">
        <w:rPr>
          <w:sz w:val="28"/>
          <w:szCs w:val="28"/>
        </w:rPr>
        <w:t xml:space="preserve">Ariz. R. Crim. P. </w:t>
      </w:r>
      <w:r w:rsidR="002C58F8">
        <w:rPr>
          <w:sz w:val="28"/>
          <w:szCs w:val="28"/>
        </w:rPr>
        <w:t xml:space="preserve">32.4(b)(4)(A)), informing victims (Ariz. R. Crim. P. 32.4(b)(5)), appointing counsel (Ariz. R. Crim. P. 32.5), and assessing whether claims noticed in a successive petition should be summarily </w:t>
      </w:r>
      <w:r w:rsidR="002C58F8">
        <w:rPr>
          <w:sz w:val="28"/>
          <w:szCs w:val="28"/>
        </w:rPr>
        <w:lastRenderedPageBreak/>
        <w:t xml:space="preserve">dismissed, </w:t>
      </w:r>
      <w:r w:rsidR="002C58F8">
        <w:rPr>
          <w:i/>
          <w:sz w:val="28"/>
          <w:szCs w:val="28"/>
        </w:rPr>
        <w:t xml:space="preserve">see </w:t>
      </w:r>
      <w:r w:rsidR="002C58F8">
        <w:rPr>
          <w:sz w:val="28"/>
          <w:szCs w:val="28"/>
        </w:rPr>
        <w:t>Ariz. R. Crim. P. 32.2(b) (“</w:t>
      </w:r>
      <w:r w:rsidR="002C58F8" w:rsidRPr="002C58F8">
        <w:rPr>
          <w:sz w:val="28"/>
          <w:szCs w:val="28"/>
        </w:rPr>
        <w:t>If the notice does not provide sufficient reasons why the defendant did not raise the claim</w:t>
      </w:r>
      <w:r w:rsidR="002C58F8">
        <w:rPr>
          <w:sz w:val="28"/>
          <w:szCs w:val="28"/>
        </w:rPr>
        <w:t xml:space="preserve"> [based on Rule 32.1(b) through (h)]</w:t>
      </w:r>
      <w:r w:rsidR="002C58F8" w:rsidRPr="002C58F8">
        <w:rPr>
          <w:sz w:val="28"/>
          <w:szCs w:val="28"/>
        </w:rPr>
        <w:t xml:space="preserve"> in a previous notice or petition, or in a timely manner, the court may summarily dismiss the notice</w:t>
      </w:r>
      <w:r w:rsidR="002C58F8">
        <w:rPr>
          <w:sz w:val="28"/>
          <w:szCs w:val="28"/>
        </w:rPr>
        <w:t xml:space="preserve">.”).  </w:t>
      </w:r>
      <w:r w:rsidR="002C58F8">
        <w:rPr>
          <w:i/>
          <w:sz w:val="28"/>
          <w:szCs w:val="28"/>
        </w:rPr>
        <w:t xml:space="preserve">See also </w:t>
      </w:r>
      <w:r w:rsidR="002C58F8">
        <w:rPr>
          <w:sz w:val="28"/>
          <w:szCs w:val="28"/>
        </w:rPr>
        <w:t>Ariz. R. Crim. P. 32.2(b) (explaining that the postconviction court has the discretion “[a]t any time” to “determine by a preponderance of the evidence that an issue is precluded, even if the State does not raise preclusion.”)</w:t>
      </w:r>
    </w:p>
    <w:p w14:paraId="345C4052" w14:textId="51EDC77F" w:rsidR="002C58F8" w:rsidRDefault="002C58F8" w:rsidP="003C3D44">
      <w:pPr>
        <w:spacing w:line="480" w:lineRule="auto"/>
        <w:jc w:val="both"/>
        <w:rPr>
          <w:sz w:val="28"/>
          <w:szCs w:val="28"/>
        </w:rPr>
      </w:pPr>
      <w:r>
        <w:rPr>
          <w:sz w:val="28"/>
          <w:szCs w:val="28"/>
        </w:rPr>
        <w:tab/>
        <w:t>The absence of a strict page limitation in the postconviction notice requirement thwarts the purpose of having a notice requirement at all</w:t>
      </w:r>
      <w:r w:rsidR="00432CA8">
        <w:rPr>
          <w:sz w:val="28"/>
          <w:szCs w:val="28"/>
        </w:rPr>
        <w:t>.  As the petition recognizes, Arizona’s postconviction scheme seeks a “balance between meaningful access to the courts and efficient case management.”  Petition, at 3.  But in this case, the petition would not diminish access to the courts in any way, because postconviction petitioners will have the same opportunity to file a compliant notice to alert the courts that they wish to seek postconviction relief.  Indeed, this will inure to the benefit of some postconviction petitioners, because they will be given the opportunity to secure counsel in order to prepare their petition instead of relying on their self-drafted briefing in the first instance.  This in turn will likely eliminate the necessity of amendments, which happens often in pro se postconviction proceedings.</w:t>
      </w:r>
    </w:p>
    <w:p w14:paraId="61D6409A" w14:textId="36D11756" w:rsidR="00432CA8" w:rsidRDefault="00432CA8" w:rsidP="003C3D44">
      <w:pPr>
        <w:spacing w:line="480" w:lineRule="auto"/>
        <w:jc w:val="both"/>
        <w:rPr>
          <w:sz w:val="28"/>
          <w:szCs w:val="28"/>
        </w:rPr>
      </w:pPr>
      <w:r>
        <w:rPr>
          <w:sz w:val="28"/>
          <w:szCs w:val="28"/>
        </w:rPr>
        <w:lastRenderedPageBreak/>
        <w:tab/>
        <w:t>Further, and as the petition recognizes at 1–2, the lack of a page limitation on notices of postconviction relief creates a</w:t>
      </w:r>
      <w:r w:rsidR="003C3D44">
        <w:rPr>
          <w:sz w:val="28"/>
          <w:szCs w:val="28"/>
        </w:rPr>
        <w:t xml:space="preserve"> loophole where litigants can far exceed the page limitation for petitions set out in</w:t>
      </w:r>
      <w:r>
        <w:rPr>
          <w:sz w:val="28"/>
          <w:szCs w:val="28"/>
        </w:rPr>
        <w:t xml:space="preserve"> </w:t>
      </w:r>
      <w:r w:rsidR="003C3D44">
        <w:rPr>
          <w:sz w:val="28"/>
          <w:szCs w:val="28"/>
        </w:rPr>
        <w:t>Rule 32.7.  To be sure, Rule 32.7(b) requires that the petition itself contain “citations to relevant portions of the record and to relevant legal authorities,” but a notice page limitation will disincentivize petitioners from filing lengthy notices in the hope that they can later argue a claim was properly presented to the postconviction court.  This concern becomes especially relevant when artificial intelligence tools are prolific, easy to access, and create an opportunity for self-represented litigants to file expansive legal pleadings that are not always accurate but technically compliant with the postconviction scheme.</w:t>
      </w:r>
    </w:p>
    <w:p w14:paraId="0E79014E" w14:textId="46016E99" w:rsidR="000C6C91" w:rsidRPr="000C6C91" w:rsidRDefault="000C6C91" w:rsidP="003C3D44">
      <w:pPr>
        <w:spacing w:line="480" w:lineRule="auto"/>
        <w:jc w:val="both"/>
        <w:rPr>
          <w:sz w:val="28"/>
          <w:szCs w:val="28"/>
        </w:rPr>
      </w:pPr>
      <w:r>
        <w:rPr>
          <w:sz w:val="28"/>
          <w:szCs w:val="28"/>
        </w:rPr>
        <w:tab/>
        <w:t xml:space="preserve">The petition to amend Rules 32.4 and 33.4 presents a well founded and simple solution to a </w:t>
      </w:r>
      <w:r w:rsidR="00480878">
        <w:rPr>
          <w:sz w:val="28"/>
          <w:szCs w:val="28"/>
        </w:rPr>
        <w:t>widespread administrative problem</w:t>
      </w:r>
      <w:r>
        <w:rPr>
          <w:sz w:val="28"/>
          <w:szCs w:val="28"/>
        </w:rPr>
        <w:t xml:space="preserve">.  The rules governing Arizona’s postconviction scheme should be drafted in a way that allows potentially meritorious claims to move towards adjudication, while also allowing postconviction courts to effectively manage their dockets by summarily dismissing patently spurious notices.  In making the change proposed by the petition, this Court will ensure that Arizona’s postconviction scheme operates in the most efficient way possible and will continue to serve as a bulwark in the “unusual situation where justice ran its course and yet went awry.”  </w:t>
      </w:r>
      <w:r>
        <w:rPr>
          <w:i/>
          <w:sz w:val="28"/>
          <w:szCs w:val="28"/>
        </w:rPr>
        <w:t xml:space="preserve">State v. </w:t>
      </w:r>
      <w:proofErr w:type="spellStart"/>
      <w:r>
        <w:rPr>
          <w:i/>
          <w:sz w:val="28"/>
          <w:szCs w:val="28"/>
        </w:rPr>
        <w:t>Carriger</w:t>
      </w:r>
      <w:proofErr w:type="spellEnd"/>
      <w:r>
        <w:rPr>
          <w:sz w:val="28"/>
          <w:szCs w:val="28"/>
        </w:rPr>
        <w:t>, 143 Ariz. 142, 146 (1984).</w:t>
      </w:r>
    </w:p>
    <w:p w14:paraId="2F1E7E59" w14:textId="77777777" w:rsidR="00F06FD2" w:rsidRDefault="00F06FD2" w:rsidP="00B823A0">
      <w:pPr>
        <w:spacing w:line="240" w:lineRule="auto"/>
        <w:ind w:left="4320" w:firstLine="718"/>
        <w:rPr>
          <w:sz w:val="28"/>
          <w:szCs w:val="28"/>
        </w:rPr>
      </w:pPr>
    </w:p>
    <w:p w14:paraId="59E490B5" w14:textId="77777777" w:rsidR="00F06FD2" w:rsidRDefault="00F06FD2" w:rsidP="00B823A0">
      <w:pPr>
        <w:spacing w:line="240" w:lineRule="auto"/>
        <w:ind w:left="4320" w:firstLine="718"/>
        <w:rPr>
          <w:sz w:val="28"/>
          <w:szCs w:val="28"/>
        </w:rPr>
      </w:pPr>
    </w:p>
    <w:p w14:paraId="4D5B265E" w14:textId="3FE1F0ED" w:rsidR="00411244" w:rsidRPr="004B4C02" w:rsidRDefault="00411244" w:rsidP="00B823A0">
      <w:pPr>
        <w:spacing w:line="240" w:lineRule="auto"/>
        <w:ind w:left="4320" w:firstLine="718"/>
        <w:rPr>
          <w:sz w:val="28"/>
          <w:szCs w:val="28"/>
        </w:rPr>
      </w:pPr>
      <w:r w:rsidRPr="004B4C02">
        <w:rPr>
          <w:sz w:val="28"/>
          <w:szCs w:val="28"/>
        </w:rPr>
        <w:t>Respectfully submitted,</w:t>
      </w:r>
    </w:p>
    <w:p w14:paraId="3CDBC867" w14:textId="77777777" w:rsidR="00411244" w:rsidRPr="004B4C02" w:rsidRDefault="00411244" w:rsidP="00B823A0">
      <w:pPr>
        <w:spacing w:line="240" w:lineRule="auto"/>
        <w:ind w:left="4320" w:firstLine="718"/>
        <w:rPr>
          <w:sz w:val="28"/>
          <w:szCs w:val="28"/>
        </w:rPr>
      </w:pPr>
    </w:p>
    <w:p w14:paraId="56A3F29B" w14:textId="77777777" w:rsidR="00411244" w:rsidRPr="004B4C02" w:rsidRDefault="00411244" w:rsidP="00B823A0">
      <w:pPr>
        <w:spacing w:line="240" w:lineRule="auto"/>
        <w:ind w:left="4320" w:firstLine="718"/>
        <w:rPr>
          <w:sz w:val="28"/>
          <w:szCs w:val="28"/>
          <w:u w:val="single"/>
        </w:rPr>
      </w:pPr>
      <w:r w:rsidRPr="004B4C02">
        <w:rPr>
          <w:sz w:val="28"/>
          <w:szCs w:val="28"/>
          <w:u w:val="single"/>
        </w:rPr>
        <w:t>/s/</w:t>
      </w:r>
      <w:r>
        <w:rPr>
          <w:sz w:val="28"/>
          <w:szCs w:val="28"/>
          <w:u w:val="single"/>
        </w:rPr>
        <w:t xml:space="preserve"> Jason D. Lewis</w:t>
      </w:r>
      <w:r w:rsidRPr="004B4C02">
        <w:rPr>
          <w:sz w:val="28"/>
          <w:szCs w:val="28"/>
          <w:u w:val="single"/>
        </w:rPr>
        <w:tab/>
      </w:r>
    </w:p>
    <w:p w14:paraId="6A9F0051" w14:textId="77777777" w:rsidR="00411244" w:rsidRDefault="00411244" w:rsidP="00B823A0">
      <w:pPr>
        <w:spacing w:after="0" w:line="240" w:lineRule="auto"/>
        <w:ind w:left="4320" w:firstLine="718"/>
        <w:rPr>
          <w:sz w:val="28"/>
          <w:szCs w:val="28"/>
        </w:rPr>
      </w:pPr>
      <w:r>
        <w:rPr>
          <w:sz w:val="28"/>
          <w:szCs w:val="28"/>
        </w:rPr>
        <w:t>Deputy Solicitor General/</w:t>
      </w:r>
    </w:p>
    <w:p w14:paraId="70DC25B9" w14:textId="77777777" w:rsidR="00411244" w:rsidRDefault="00411244" w:rsidP="00B823A0">
      <w:pPr>
        <w:spacing w:after="0" w:line="240" w:lineRule="auto"/>
        <w:ind w:left="4320" w:firstLine="718"/>
        <w:rPr>
          <w:sz w:val="28"/>
          <w:szCs w:val="28"/>
        </w:rPr>
      </w:pPr>
      <w:r>
        <w:rPr>
          <w:sz w:val="28"/>
          <w:szCs w:val="28"/>
        </w:rPr>
        <w:t>Section Chief of Capital Litigation</w:t>
      </w:r>
    </w:p>
    <w:p w14:paraId="48A0258A" w14:textId="77777777" w:rsidR="00411244" w:rsidRPr="004B4C02" w:rsidRDefault="00411244" w:rsidP="00B823A0">
      <w:pPr>
        <w:spacing w:after="0" w:line="240" w:lineRule="auto"/>
        <w:ind w:left="4320" w:firstLine="718"/>
        <w:rPr>
          <w:sz w:val="28"/>
          <w:szCs w:val="28"/>
        </w:rPr>
      </w:pPr>
      <w:r>
        <w:rPr>
          <w:sz w:val="28"/>
          <w:szCs w:val="28"/>
        </w:rPr>
        <w:t>Jason D. Lewis</w:t>
      </w:r>
    </w:p>
    <w:p w14:paraId="42CCF85F" w14:textId="77777777" w:rsidR="00411244" w:rsidRDefault="00411244" w:rsidP="00B823A0">
      <w:pPr>
        <w:spacing w:after="0" w:line="240" w:lineRule="auto"/>
        <w:ind w:left="4320" w:firstLine="718"/>
        <w:rPr>
          <w:sz w:val="28"/>
          <w:szCs w:val="28"/>
        </w:rPr>
      </w:pPr>
      <w:r w:rsidRPr="004B4C02">
        <w:rPr>
          <w:sz w:val="28"/>
          <w:szCs w:val="28"/>
        </w:rPr>
        <w:t xml:space="preserve">AZ SBN </w:t>
      </w:r>
      <w:r>
        <w:rPr>
          <w:sz w:val="28"/>
          <w:szCs w:val="28"/>
        </w:rPr>
        <w:t>032461</w:t>
      </w:r>
    </w:p>
    <w:p w14:paraId="4C613B2A" w14:textId="77777777" w:rsidR="00411244" w:rsidRDefault="00411244" w:rsidP="00B823A0">
      <w:pPr>
        <w:spacing w:after="0" w:line="240" w:lineRule="auto"/>
        <w:ind w:left="4320" w:firstLine="718"/>
        <w:rPr>
          <w:sz w:val="28"/>
          <w:szCs w:val="28"/>
        </w:rPr>
      </w:pPr>
      <w:r>
        <w:rPr>
          <w:sz w:val="28"/>
          <w:szCs w:val="28"/>
        </w:rPr>
        <w:t>2005 N. Central Avenue</w:t>
      </w:r>
    </w:p>
    <w:p w14:paraId="49278E41" w14:textId="77777777" w:rsidR="00411244" w:rsidRDefault="00411244" w:rsidP="00B823A0">
      <w:pPr>
        <w:spacing w:after="0" w:line="240" w:lineRule="auto"/>
        <w:ind w:left="4320" w:firstLine="718"/>
        <w:rPr>
          <w:sz w:val="28"/>
          <w:szCs w:val="28"/>
        </w:rPr>
      </w:pPr>
      <w:r>
        <w:rPr>
          <w:sz w:val="28"/>
          <w:szCs w:val="28"/>
        </w:rPr>
        <w:t>Phoenix, Arizona 85004</w:t>
      </w:r>
    </w:p>
    <w:p w14:paraId="0D891ED8" w14:textId="77777777" w:rsidR="00411244" w:rsidRDefault="00CC136C" w:rsidP="00B823A0">
      <w:pPr>
        <w:spacing w:after="0" w:line="240" w:lineRule="auto"/>
        <w:ind w:left="4320" w:firstLine="718"/>
        <w:rPr>
          <w:sz w:val="28"/>
          <w:szCs w:val="28"/>
        </w:rPr>
      </w:pPr>
      <w:hyperlink r:id="rId11" w:history="1">
        <w:r w:rsidR="00411244" w:rsidRPr="00041FB0">
          <w:rPr>
            <w:rStyle w:val="Hyperlink"/>
            <w:sz w:val="28"/>
            <w:szCs w:val="28"/>
          </w:rPr>
          <w:t>Jason.Lewis@azag.gov</w:t>
        </w:r>
      </w:hyperlink>
    </w:p>
    <w:p w14:paraId="60710608" w14:textId="77777777" w:rsidR="00411244" w:rsidRPr="004B4C02" w:rsidRDefault="00411244" w:rsidP="00B823A0">
      <w:pPr>
        <w:spacing w:after="0" w:line="240" w:lineRule="auto"/>
        <w:ind w:left="4320" w:firstLine="718"/>
        <w:rPr>
          <w:sz w:val="28"/>
          <w:szCs w:val="28"/>
        </w:rPr>
      </w:pPr>
      <w:r>
        <w:rPr>
          <w:sz w:val="28"/>
          <w:szCs w:val="28"/>
        </w:rPr>
        <w:t>(602) 542-7989</w:t>
      </w:r>
    </w:p>
    <w:p w14:paraId="1D71CBC9" w14:textId="77777777" w:rsidR="00411244" w:rsidRPr="0056527E" w:rsidRDefault="00411244" w:rsidP="00B823A0">
      <w:pPr>
        <w:spacing w:before="120" w:after="0" w:line="480" w:lineRule="auto"/>
        <w:ind w:left="4320"/>
        <w:jc w:val="both"/>
      </w:pPr>
    </w:p>
    <w:p w14:paraId="0FFFCB88" w14:textId="77777777" w:rsidR="00D42A6E" w:rsidRDefault="00D42A6E" w:rsidP="00411244">
      <w:pPr>
        <w:jc w:val="center"/>
        <w:rPr>
          <w:b/>
          <w:sz w:val="28"/>
          <w:szCs w:val="28"/>
        </w:rPr>
      </w:pPr>
    </w:p>
    <w:p w14:paraId="7420970B" w14:textId="4A2815D7" w:rsidR="008A7E13" w:rsidRPr="004B4C02" w:rsidRDefault="008A7E13" w:rsidP="00DA69B5">
      <w:pPr>
        <w:rPr>
          <w:sz w:val="28"/>
          <w:szCs w:val="28"/>
        </w:rPr>
      </w:pPr>
    </w:p>
    <w:sectPr w:rsidR="008A7E13" w:rsidRPr="004B4C0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82A88" w14:textId="77777777" w:rsidR="001A6BF7" w:rsidRDefault="001A6BF7" w:rsidP="005C157A">
      <w:pPr>
        <w:spacing w:after="0" w:line="240" w:lineRule="auto"/>
      </w:pPr>
      <w:r>
        <w:separator/>
      </w:r>
    </w:p>
    <w:p w14:paraId="2D147F6B" w14:textId="77777777" w:rsidR="001A6BF7" w:rsidRDefault="001A6BF7"/>
  </w:endnote>
  <w:endnote w:type="continuationSeparator" w:id="0">
    <w:p w14:paraId="065D652C" w14:textId="77777777" w:rsidR="001A6BF7" w:rsidRDefault="001A6BF7" w:rsidP="005C157A">
      <w:pPr>
        <w:spacing w:after="0" w:line="240" w:lineRule="auto"/>
      </w:pPr>
      <w:r>
        <w:continuationSeparator/>
      </w:r>
    </w:p>
    <w:p w14:paraId="47FEFBB6" w14:textId="77777777" w:rsidR="001A6BF7" w:rsidRDefault="001A6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322483"/>
      <w:docPartObj>
        <w:docPartGallery w:val="Page Numbers (Bottom of Page)"/>
        <w:docPartUnique/>
      </w:docPartObj>
    </w:sdtPr>
    <w:sdtEndPr>
      <w:rPr>
        <w:noProof/>
      </w:rPr>
    </w:sdtEndPr>
    <w:sdtContent>
      <w:p w14:paraId="45FEBD4F" w14:textId="77777777" w:rsidR="005C157A" w:rsidRDefault="005C1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1478E" w14:textId="77777777" w:rsidR="005C157A" w:rsidRDefault="005C157A">
    <w:pPr>
      <w:pStyle w:val="Footer"/>
    </w:pPr>
  </w:p>
  <w:p w14:paraId="2412F3D8" w14:textId="77777777" w:rsidR="00B664CC" w:rsidRDefault="00B66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2FC3A" w14:textId="77777777" w:rsidR="001A6BF7" w:rsidRDefault="001A6BF7" w:rsidP="005C157A">
      <w:pPr>
        <w:spacing w:after="0" w:line="240" w:lineRule="auto"/>
      </w:pPr>
      <w:r>
        <w:separator/>
      </w:r>
    </w:p>
  </w:footnote>
  <w:footnote w:type="continuationSeparator" w:id="0">
    <w:p w14:paraId="51476C7E" w14:textId="77777777" w:rsidR="001A6BF7" w:rsidRDefault="001A6BF7" w:rsidP="005C157A">
      <w:pPr>
        <w:spacing w:after="0" w:line="240" w:lineRule="auto"/>
      </w:pPr>
      <w:r>
        <w:continuationSeparator/>
      </w:r>
    </w:p>
    <w:p w14:paraId="3C1A1163" w14:textId="77777777" w:rsidR="001A6BF7" w:rsidRDefault="001A6B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 w15:restartNumberingAfterBreak="0">
    <w:nsid w:val="1A99130D"/>
    <w:multiLevelType w:val="hybridMultilevel"/>
    <w:tmpl w:val="08702BC2"/>
    <w:lvl w:ilvl="0" w:tplc="23EA0B12">
      <w:start w:val="1"/>
      <w:numFmt w:val="decimal"/>
      <w:pStyle w:val="Body"/>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818DE"/>
    <w:multiLevelType w:val="hybridMultilevel"/>
    <w:tmpl w:val="097E912A"/>
    <w:lvl w:ilvl="0" w:tplc="7FA8E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E"/>
    <w:rsid w:val="00014F60"/>
    <w:rsid w:val="0002513B"/>
    <w:rsid w:val="00031A0A"/>
    <w:rsid w:val="00032913"/>
    <w:rsid w:val="00053B9F"/>
    <w:rsid w:val="00061409"/>
    <w:rsid w:val="000740FE"/>
    <w:rsid w:val="0007561E"/>
    <w:rsid w:val="0008574A"/>
    <w:rsid w:val="00090A1B"/>
    <w:rsid w:val="00094C28"/>
    <w:rsid w:val="000C6C91"/>
    <w:rsid w:val="000C6E06"/>
    <w:rsid w:val="000D61D7"/>
    <w:rsid w:val="00122CA4"/>
    <w:rsid w:val="00127921"/>
    <w:rsid w:val="001321E3"/>
    <w:rsid w:val="00144AEC"/>
    <w:rsid w:val="00161C9E"/>
    <w:rsid w:val="00174E66"/>
    <w:rsid w:val="00191E0B"/>
    <w:rsid w:val="001968C3"/>
    <w:rsid w:val="001A6BF7"/>
    <w:rsid w:val="001B48AE"/>
    <w:rsid w:val="001C0D36"/>
    <w:rsid w:val="001D63AC"/>
    <w:rsid w:val="001F3FA7"/>
    <w:rsid w:val="00235E34"/>
    <w:rsid w:val="00235F0E"/>
    <w:rsid w:val="00241435"/>
    <w:rsid w:val="00245930"/>
    <w:rsid w:val="00265931"/>
    <w:rsid w:val="00277B6B"/>
    <w:rsid w:val="002C44C3"/>
    <w:rsid w:val="002C58F8"/>
    <w:rsid w:val="002E5551"/>
    <w:rsid w:val="003704E4"/>
    <w:rsid w:val="003722DE"/>
    <w:rsid w:val="00385116"/>
    <w:rsid w:val="00390416"/>
    <w:rsid w:val="00392504"/>
    <w:rsid w:val="00393677"/>
    <w:rsid w:val="00397ACC"/>
    <w:rsid w:val="003A36F1"/>
    <w:rsid w:val="003C3D44"/>
    <w:rsid w:val="003C6DDF"/>
    <w:rsid w:val="003D2360"/>
    <w:rsid w:val="003F45B0"/>
    <w:rsid w:val="00401309"/>
    <w:rsid w:val="00411244"/>
    <w:rsid w:val="00416091"/>
    <w:rsid w:val="0042037A"/>
    <w:rsid w:val="00432159"/>
    <w:rsid w:val="00432319"/>
    <w:rsid w:val="00432CA8"/>
    <w:rsid w:val="004522CD"/>
    <w:rsid w:val="0045719D"/>
    <w:rsid w:val="00480878"/>
    <w:rsid w:val="00480D8D"/>
    <w:rsid w:val="00493056"/>
    <w:rsid w:val="004B4C02"/>
    <w:rsid w:val="004C1204"/>
    <w:rsid w:val="004C70EF"/>
    <w:rsid w:val="004D3D8B"/>
    <w:rsid w:val="004E1271"/>
    <w:rsid w:val="004E262D"/>
    <w:rsid w:val="004E57B7"/>
    <w:rsid w:val="005019FE"/>
    <w:rsid w:val="00514892"/>
    <w:rsid w:val="005164F6"/>
    <w:rsid w:val="00543212"/>
    <w:rsid w:val="005552B7"/>
    <w:rsid w:val="0056527E"/>
    <w:rsid w:val="00582D65"/>
    <w:rsid w:val="005879A4"/>
    <w:rsid w:val="00595049"/>
    <w:rsid w:val="005C157A"/>
    <w:rsid w:val="005D68C6"/>
    <w:rsid w:val="005E0963"/>
    <w:rsid w:val="005E4C58"/>
    <w:rsid w:val="005E65F9"/>
    <w:rsid w:val="005E744C"/>
    <w:rsid w:val="00604579"/>
    <w:rsid w:val="006221DF"/>
    <w:rsid w:val="00646D5E"/>
    <w:rsid w:val="00653C47"/>
    <w:rsid w:val="00692AB7"/>
    <w:rsid w:val="006B1715"/>
    <w:rsid w:val="006B4096"/>
    <w:rsid w:val="006C01D1"/>
    <w:rsid w:val="006C28A3"/>
    <w:rsid w:val="006D171E"/>
    <w:rsid w:val="006D4ACE"/>
    <w:rsid w:val="006D6ADF"/>
    <w:rsid w:val="007012BF"/>
    <w:rsid w:val="00721C02"/>
    <w:rsid w:val="00732ABD"/>
    <w:rsid w:val="007579FA"/>
    <w:rsid w:val="007913E6"/>
    <w:rsid w:val="007A58AB"/>
    <w:rsid w:val="007B515A"/>
    <w:rsid w:val="007C032A"/>
    <w:rsid w:val="007D5F86"/>
    <w:rsid w:val="007D6F73"/>
    <w:rsid w:val="007E3517"/>
    <w:rsid w:val="007E62DD"/>
    <w:rsid w:val="007F3DA6"/>
    <w:rsid w:val="007F7B5E"/>
    <w:rsid w:val="0083270A"/>
    <w:rsid w:val="00842B3C"/>
    <w:rsid w:val="00845CC1"/>
    <w:rsid w:val="00885026"/>
    <w:rsid w:val="008960F1"/>
    <w:rsid w:val="008A1E67"/>
    <w:rsid w:val="008A7E13"/>
    <w:rsid w:val="008B3885"/>
    <w:rsid w:val="00900661"/>
    <w:rsid w:val="00901BD9"/>
    <w:rsid w:val="00912BE6"/>
    <w:rsid w:val="00913EAA"/>
    <w:rsid w:val="00917593"/>
    <w:rsid w:val="00921B50"/>
    <w:rsid w:val="00925D25"/>
    <w:rsid w:val="00962AAA"/>
    <w:rsid w:val="00985E83"/>
    <w:rsid w:val="00990EFD"/>
    <w:rsid w:val="0099239F"/>
    <w:rsid w:val="0099290E"/>
    <w:rsid w:val="00994E39"/>
    <w:rsid w:val="009A032C"/>
    <w:rsid w:val="009A546B"/>
    <w:rsid w:val="009B2346"/>
    <w:rsid w:val="009B3A4B"/>
    <w:rsid w:val="009B799C"/>
    <w:rsid w:val="009C0C7C"/>
    <w:rsid w:val="009E0FCB"/>
    <w:rsid w:val="009F6BA3"/>
    <w:rsid w:val="00A126D6"/>
    <w:rsid w:val="00A258DB"/>
    <w:rsid w:val="00A512D4"/>
    <w:rsid w:val="00A64AB3"/>
    <w:rsid w:val="00A71842"/>
    <w:rsid w:val="00A774E8"/>
    <w:rsid w:val="00A92FA2"/>
    <w:rsid w:val="00AA0A99"/>
    <w:rsid w:val="00AD0D63"/>
    <w:rsid w:val="00AE2CE8"/>
    <w:rsid w:val="00AE4264"/>
    <w:rsid w:val="00AF5FAC"/>
    <w:rsid w:val="00B05678"/>
    <w:rsid w:val="00B220B4"/>
    <w:rsid w:val="00B22797"/>
    <w:rsid w:val="00B23523"/>
    <w:rsid w:val="00B3611B"/>
    <w:rsid w:val="00B40A19"/>
    <w:rsid w:val="00B445DB"/>
    <w:rsid w:val="00B45A89"/>
    <w:rsid w:val="00B55FCC"/>
    <w:rsid w:val="00B60FA6"/>
    <w:rsid w:val="00B62AAE"/>
    <w:rsid w:val="00B664CC"/>
    <w:rsid w:val="00B66D3D"/>
    <w:rsid w:val="00B823A0"/>
    <w:rsid w:val="00B973E0"/>
    <w:rsid w:val="00BA566C"/>
    <w:rsid w:val="00BB6F39"/>
    <w:rsid w:val="00BC7EA1"/>
    <w:rsid w:val="00BD7939"/>
    <w:rsid w:val="00BE1856"/>
    <w:rsid w:val="00BE674A"/>
    <w:rsid w:val="00BF1F1E"/>
    <w:rsid w:val="00C12354"/>
    <w:rsid w:val="00C252F3"/>
    <w:rsid w:val="00C4768C"/>
    <w:rsid w:val="00C83DDA"/>
    <w:rsid w:val="00CB448C"/>
    <w:rsid w:val="00CC0A54"/>
    <w:rsid w:val="00CC136C"/>
    <w:rsid w:val="00CC431C"/>
    <w:rsid w:val="00CC58D3"/>
    <w:rsid w:val="00CD08C9"/>
    <w:rsid w:val="00D038F0"/>
    <w:rsid w:val="00D14B6C"/>
    <w:rsid w:val="00D346F4"/>
    <w:rsid w:val="00D4043C"/>
    <w:rsid w:val="00D42A6E"/>
    <w:rsid w:val="00D50F57"/>
    <w:rsid w:val="00D51F70"/>
    <w:rsid w:val="00D52A6C"/>
    <w:rsid w:val="00D741BA"/>
    <w:rsid w:val="00D94408"/>
    <w:rsid w:val="00DA69B5"/>
    <w:rsid w:val="00E04EFC"/>
    <w:rsid w:val="00E10C74"/>
    <w:rsid w:val="00E170F6"/>
    <w:rsid w:val="00E24732"/>
    <w:rsid w:val="00E25E93"/>
    <w:rsid w:val="00E35949"/>
    <w:rsid w:val="00E35E6C"/>
    <w:rsid w:val="00E3718D"/>
    <w:rsid w:val="00E67EA6"/>
    <w:rsid w:val="00E779FD"/>
    <w:rsid w:val="00E82902"/>
    <w:rsid w:val="00EA1C1D"/>
    <w:rsid w:val="00EC18F2"/>
    <w:rsid w:val="00EC34B1"/>
    <w:rsid w:val="00ED2BCB"/>
    <w:rsid w:val="00ED7EAA"/>
    <w:rsid w:val="00EF2F4F"/>
    <w:rsid w:val="00EF7065"/>
    <w:rsid w:val="00F05A4F"/>
    <w:rsid w:val="00F06087"/>
    <w:rsid w:val="00F06FD2"/>
    <w:rsid w:val="00F51F4F"/>
    <w:rsid w:val="00F8323C"/>
    <w:rsid w:val="00FA5ABF"/>
    <w:rsid w:val="00FA7344"/>
    <w:rsid w:val="00FB3031"/>
    <w:rsid w:val="00FB4F5F"/>
    <w:rsid w:val="00FC354A"/>
    <w:rsid w:val="00FD0829"/>
    <w:rsid w:val="00FD1E35"/>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3A7838"/>
  <w15:chartTrackingRefBased/>
  <w15:docId w15:val="{5E8C6FC8-E03A-40D2-AD11-802F6AD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A0A"/>
    <w:rPr>
      <w:rFonts w:ascii="Times New Roman" w:hAnsi="Times New Roman" w:cs="Times New Roman"/>
      <w:sz w:val="26"/>
      <w:szCs w:val="26"/>
    </w:rPr>
  </w:style>
  <w:style w:type="paragraph" w:styleId="Heading1">
    <w:name w:val="heading 1"/>
    <w:next w:val="Normal"/>
    <w:link w:val="Heading1Char"/>
    <w:qFormat/>
    <w:rsid w:val="00732ABD"/>
    <w:pPr>
      <w:keepNext/>
      <w:pageBreakBefore/>
      <w:numPr>
        <w:numId w:val="3"/>
      </w:numPr>
      <w:suppressAutoHyphens/>
      <w:spacing w:after="280" w:line="240" w:lineRule="auto"/>
      <w:ind w:firstLine="0"/>
      <w:jc w:val="center"/>
      <w:outlineLvl w:val="0"/>
    </w:pPr>
    <w:rPr>
      <w:rFonts w:ascii="Times New Roman Bold" w:eastAsia="Times New Roman" w:hAnsi="Times New Roman Bold" w:cs="Garamond"/>
      <w:b/>
      <w:bCs/>
      <w:caps/>
      <w:sz w:val="28"/>
      <w:szCs w:val="28"/>
    </w:rPr>
  </w:style>
  <w:style w:type="paragraph" w:styleId="Heading2">
    <w:name w:val="heading 2"/>
    <w:basedOn w:val="Heading1"/>
    <w:next w:val="Normal"/>
    <w:link w:val="Heading2Char"/>
    <w:qFormat/>
    <w:rsid w:val="00732ABD"/>
    <w:pPr>
      <w:pageBreakBefore w:val="0"/>
      <w:numPr>
        <w:ilvl w:val="1"/>
      </w:numPr>
      <w:tabs>
        <w:tab w:val="left" w:pos="720"/>
      </w:tabs>
      <w:jc w:val="both"/>
      <w:outlineLvl w:val="1"/>
    </w:pPr>
    <w:rPr>
      <w:caps w:val="0"/>
    </w:rPr>
  </w:style>
  <w:style w:type="paragraph" w:styleId="Heading3">
    <w:name w:val="heading 3"/>
    <w:basedOn w:val="Heading2"/>
    <w:next w:val="Normal"/>
    <w:link w:val="Heading3Char"/>
    <w:qFormat/>
    <w:rsid w:val="00732ABD"/>
    <w:pPr>
      <w:numPr>
        <w:ilvl w:val="2"/>
      </w:numPr>
      <w:tabs>
        <w:tab w:val="clear" w:pos="720"/>
      </w:tabs>
      <w:outlineLvl w:val="2"/>
    </w:pPr>
    <w:rPr>
      <w:kern w:val="2"/>
    </w:rPr>
  </w:style>
  <w:style w:type="paragraph" w:styleId="Heading4">
    <w:name w:val="heading 4"/>
    <w:basedOn w:val="Heading3"/>
    <w:next w:val="Normal"/>
    <w:link w:val="Heading4Char"/>
    <w:qFormat/>
    <w:rsid w:val="00732ABD"/>
    <w:pPr>
      <w:numPr>
        <w:ilvl w:val="3"/>
      </w:numPr>
      <w:outlineLvl w:val="3"/>
    </w:pPr>
    <w:rPr>
      <w:rFonts w:cs="Times New Roman"/>
      <w:bCs w:val="0"/>
      <w:i/>
    </w:rPr>
  </w:style>
  <w:style w:type="paragraph" w:styleId="Heading5">
    <w:name w:val="heading 5"/>
    <w:basedOn w:val="Heading4"/>
    <w:next w:val="Normal"/>
    <w:link w:val="Heading5Char"/>
    <w:qFormat/>
    <w:rsid w:val="00732ABD"/>
    <w:pPr>
      <w:numPr>
        <w:ilvl w:val="4"/>
      </w:numPr>
      <w:outlineLvl w:val="4"/>
    </w:pPr>
    <w:rPr>
      <w:bCs/>
      <w:i w:val="0"/>
      <w:iCs/>
      <w:szCs w:val="26"/>
    </w:rPr>
  </w:style>
  <w:style w:type="paragraph" w:styleId="Heading6">
    <w:name w:val="heading 6"/>
    <w:basedOn w:val="Heading5"/>
    <w:next w:val="Normal"/>
    <w:link w:val="Heading6Char"/>
    <w:rsid w:val="00732ABD"/>
    <w:pPr>
      <w:numPr>
        <w:ilvl w:val="5"/>
      </w:numPr>
      <w:outlineLvl w:val="5"/>
    </w:pPr>
    <w:rPr>
      <w:rFonts w:ascii="Times New Roman" w:hAnsi="Times New Roman"/>
      <w:b w:val="0"/>
      <w:bCs w:val="0"/>
      <w:sz w:val="22"/>
      <w:szCs w:val="22"/>
    </w:rPr>
  </w:style>
  <w:style w:type="paragraph" w:styleId="Heading7">
    <w:name w:val="heading 7"/>
    <w:basedOn w:val="Heading6"/>
    <w:next w:val="Normal"/>
    <w:link w:val="Heading7Char"/>
    <w:rsid w:val="00732ABD"/>
    <w:pPr>
      <w:numPr>
        <w:ilvl w:val="6"/>
      </w:numPr>
      <w:outlineLvl w:val="6"/>
    </w:pPr>
    <w:rPr>
      <w:sz w:val="24"/>
      <w:szCs w:val="24"/>
    </w:rPr>
  </w:style>
  <w:style w:type="paragraph" w:styleId="Heading8">
    <w:name w:val="heading 8"/>
    <w:basedOn w:val="Heading7"/>
    <w:next w:val="Normal"/>
    <w:link w:val="Heading8Char"/>
    <w:rsid w:val="00732ABD"/>
    <w:pPr>
      <w:numPr>
        <w:ilvl w:val="7"/>
      </w:numPr>
      <w:outlineLvl w:val="7"/>
    </w:pPr>
    <w:rPr>
      <w:i/>
      <w:iCs w:val="0"/>
    </w:rPr>
  </w:style>
  <w:style w:type="paragraph" w:styleId="Heading9">
    <w:name w:val="heading 9"/>
    <w:basedOn w:val="Heading8"/>
    <w:next w:val="Normal"/>
    <w:link w:val="Heading9Char"/>
    <w:rsid w:val="00732ABD"/>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D4ACE"/>
    <w:pPr>
      <w:numPr>
        <w:numId w:val="1"/>
      </w:numPr>
      <w:tabs>
        <w:tab w:val="left" w:pos="1440"/>
      </w:tabs>
      <w:spacing w:after="240" w:line="240" w:lineRule="auto"/>
      <w:ind w:left="0" w:firstLine="0"/>
      <w:jc w:val="both"/>
    </w:pPr>
    <w:rPr>
      <w:rFonts w:ascii="Book Antiqua" w:hAnsi="Book Antiqua" w:cstheme="minorBidi"/>
      <w:sz w:val="24"/>
      <w:szCs w:val="22"/>
    </w:rPr>
  </w:style>
  <w:style w:type="paragraph" w:styleId="ListParagraph">
    <w:name w:val="List Paragraph"/>
    <w:basedOn w:val="Normal"/>
    <w:uiPriority w:val="34"/>
    <w:qFormat/>
    <w:rsid w:val="00FC354A"/>
    <w:pPr>
      <w:ind w:left="720"/>
      <w:contextualSpacing/>
    </w:pPr>
  </w:style>
  <w:style w:type="paragraph" w:customStyle="1" w:styleId="Zbasefontbody">
    <w:name w:val="Zbasefont_body"/>
    <w:link w:val="ZbasefontbodyChar"/>
    <w:rsid w:val="00FC354A"/>
    <w:pPr>
      <w:spacing w:after="0" w:line="240" w:lineRule="auto"/>
    </w:pPr>
    <w:rPr>
      <w:rFonts w:ascii="Times New Roman" w:eastAsia="Times New Roman" w:hAnsi="Times New Roman" w:cs="Times New Roman"/>
      <w:bCs/>
      <w:kern w:val="2"/>
      <w:sz w:val="28"/>
      <w:szCs w:val="28"/>
    </w:rPr>
  </w:style>
  <w:style w:type="paragraph" w:customStyle="1" w:styleId="Brieftitle">
    <w:name w:val="Brief_title"/>
    <w:basedOn w:val="Zbasefontbody"/>
    <w:rsid w:val="00FC354A"/>
    <w:pPr>
      <w:spacing w:before="240" w:after="240"/>
    </w:pPr>
    <w:rPr>
      <w:b/>
      <w:smallCaps/>
      <w:noProof/>
      <w:sz w:val="26"/>
      <w:szCs w:val="26"/>
    </w:rPr>
  </w:style>
  <w:style w:type="paragraph" w:customStyle="1" w:styleId="Caseinfo">
    <w:name w:val="Case_info"/>
    <w:basedOn w:val="Zbasefontbody"/>
    <w:link w:val="CaseinfoChar"/>
    <w:rsid w:val="00FC354A"/>
    <w:pPr>
      <w:tabs>
        <w:tab w:val="left" w:pos="3780"/>
      </w:tabs>
      <w:spacing w:line="360" w:lineRule="auto"/>
    </w:pPr>
    <w:rPr>
      <w:smallCaps/>
    </w:rPr>
  </w:style>
  <w:style w:type="character" w:customStyle="1" w:styleId="FieldAllCaps">
    <w:name w:val="Field All Caps"/>
    <w:autoRedefine/>
    <w:rsid w:val="00FC354A"/>
    <w:rPr>
      <w:caps/>
      <w:sz w:val="28"/>
      <w:szCs w:val="28"/>
    </w:rPr>
  </w:style>
  <w:style w:type="paragraph" w:customStyle="1" w:styleId="StyleStyleCourtNameTitle18ptAfter12ptTimesNewRoman">
    <w:name w:val="Style Style CourtNameTitle + 18 pt After:  12 pt + Times New Roman..."/>
    <w:basedOn w:val="Normal"/>
    <w:rsid w:val="00FC354A"/>
    <w:pPr>
      <w:widowControl w:val="0"/>
      <w:spacing w:before="360" w:after="240" w:line="240" w:lineRule="auto"/>
      <w:jc w:val="center"/>
      <w:outlineLvl w:val="0"/>
    </w:pPr>
    <w:rPr>
      <w:rFonts w:eastAsia="Times New Roman"/>
      <w:b/>
      <w:bCs/>
      <w:caps/>
      <w:kern w:val="2"/>
      <w:sz w:val="28"/>
      <w:szCs w:val="20"/>
    </w:rPr>
  </w:style>
  <w:style w:type="paragraph" w:customStyle="1" w:styleId="StyleCaseinfoBlack">
    <w:name w:val="Style Case_info + Black"/>
    <w:basedOn w:val="Caseinfo"/>
    <w:link w:val="StyleCaseinfoBlackChar"/>
    <w:rsid w:val="00FC354A"/>
    <w:rPr>
      <w:bCs w:val="0"/>
      <w:smallCaps w:val="0"/>
      <w:color w:val="000000"/>
    </w:rPr>
  </w:style>
  <w:style w:type="character" w:customStyle="1" w:styleId="ZbasefontbodyChar">
    <w:name w:val="Zbasefont_body Char"/>
    <w:link w:val="Zbasefontbody"/>
    <w:rsid w:val="00FC354A"/>
    <w:rPr>
      <w:rFonts w:ascii="Times New Roman" w:eastAsia="Times New Roman" w:hAnsi="Times New Roman" w:cs="Times New Roman"/>
      <w:bCs/>
      <w:kern w:val="2"/>
      <w:sz w:val="28"/>
      <w:szCs w:val="28"/>
    </w:rPr>
  </w:style>
  <w:style w:type="character" w:customStyle="1" w:styleId="CaseinfoChar">
    <w:name w:val="Case_info Char"/>
    <w:link w:val="Caseinfo"/>
    <w:rsid w:val="00FC354A"/>
    <w:rPr>
      <w:rFonts w:ascii="Times New Roman" w:eastAsia="Times New Roman" w:hAnsi="Times New Roman" w:cs="Times New Roman"/>
      <w:bCs/>
      <w:smallCaps/>
      <w:kern w:val="2"/>
      <w:sz w:val="28"/>
      <w:szCs w:val="28"/>
    </w:rPr>
  </w:style>
  <w:style w:type="character" w:customStyle="1" w:styleId="StyleCaseinfoBlackChar">
    <w:name w:val="Style Case_info + Black Char"/>
    <w:link w:val="StyleCaseinfoBlack"/>
    <w:rsid w:val="00FC354A"/>
    <w:rPr>
      <w:rFonts w:ascii="Times New Roman" w:eastAsia="Times New Roman" w:hAnsi="Times New Roman" w:cs="Times New Roman"/>
      <w:color w:val="000000"/>
      <w:kern w:val="2"/>
      <w:sz w:val="28"/>
      <w:szCs w:val="28"/>
    </w:rPr>
  </w:style>
  <w:style w:type="paragraph" w:styleId="Header">
    <w:name w:val="header"/>
    <w:basedOn w:val="Normal"/>
    <w:link w:val="HeaderChar"/>
    <w:uiPriority w:val="99"/>
    <w:unhideWhenUsed/>
    <w:rsid w:val="005C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7A"/>
    <w:rPr>
      <w:rFonts w:ascii="Times New Roman" w:hAnsi="Times New Roman" w:cs="Times New Roman"/>
      <w:sz w:val="26"/>
      <w:szCs w:val="26"/>
    </w:rPr>
  </w:style>
  <w:style w:type="paragraph" w:styleId="Footer">
    <w:name w:val="footer"/>
    <w:basedOn w:val="Normal"/>
    <w:link w:val="FooterChar"/>
    <w:uiPriority w:val="99"/>
    <w:unhideWhenUsed/>
    <w:rsid w:val="005C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7A"/>
    <w:rPr>
      <w:rFonts w:ascii="Times New Roman" w:hAnsi="Times New Roman" w:cs="Times New Roman"/>
      <w:sz w:val="26"/>
      <w:szCs w:val="26"/>
    </w:rPr>
  </w:style>
  <w:style w:type="character" w:customStyle="1" w:styleId="Heading1Char">
    <w:name w:val="Heading 1 Char"/>
    <w:basedOn w:val="DefaultParagraphFont"/>
    <w:link w:val="Heading1"/>
    <w:rsid w:val="00732ABD"/>
    <w:rPr>
      <w:rFonts w:ascii="Times New Roman Bold" w:eastAsia="Times New Roman" w:hAnsi="Times New Roman Bold" w:cs="Garamond"/>
      <w:b/>
      <w:bCs/>
      <w:caps/>
      <w:sz w:val="28"/>
      <w:szCs w:val="28"/>
    </w:rPr>
  </w:style>
  <w:style w:type="character" w:customStyle="1" w:styleId="Heading2Char">
    <w:name w:val="Heading 2 Char"/>
    <w:basedOn w:val="DefaultParagraphFont"/>
    <w:link w:val="Heading2"/>
    <w:rsid w:val="00732ABD"/>
    <w:rPr>
      <w:rFonts w:ascii="Times New Roman Bold" w:eastAsia="Times New Roman" w:hAnsi="Times New Roman Bold" w:cs="Garamond"/>
      <w:b/>
      <w:bCs/>
      <w:sz w:val="28"/>
      <w:szCs w:val="28"/>
    </w:rPr>
  </w:style>
  <w:style w:type="character" w:customStyle="1" w:styleId="Heading3Char">
    <w:name w:val="Heading 3 Char"/>
    <w:basedOn w:val="DefaultParagraphFont"/>
    <w:link w:val="Heading3"/>
    <w:rsid w:val="00732ABD"/>
    <w:rPr>
      <w:rFonts w:ascii="Times New Roman Bold" w:eastAsia="Times New Roman" w:hAnsi="Times New Roman Bold" w:cs="Garamond"/>
      <w:b/>
      <w:bCs/>
      <w:kern w:val="2"/>
      <w:sz w:val="28"/>
      <w:szCs w:val="28"/>
    </w:rPr>
  </w:style>
  <w:style w:type="character" w:customStyle="1" w:styleId="Heading4Char">
    <w:name w:val="Heading 4 Char"/>
    <w:basedOn w:val="DefaultParagraphFont"/>
    <w:link w:val="Heading4"/>
    <w:rsid w:val="00732ABD"/>
    <w:rPr>
      <w:rFonts w:ascii="Times New Roman Bold" w:eastAsia="Times New Roman" w:hAnsi="Times New Roman Bold" w:cs="Times New Roman"/>
      <w:b/>
      <w:i/>
      <w:kern w:val="2"/>
      <w:sz w:val="28"/>
      <w:szCs w:val="28"/>
    </w:rPr>
  </w:style>
  <w:style w:type="character" w:customStyle="1" w:styleId="Heading5Char">
    <w:name w:val="Heading 5 Char"/>
    <w:basedOn w:val="DefaultParagraphFont"/>
    <w:link w:val="Heading5"/>
    <w:rsid w:val="00732ABD"/>
    <w:rPr>
      <w:rFonts w:ascii="Times New Roman Bold" w:eastAsia="Times New Roman" w:hAnsi="Times New Roman Bold" w:cs="Times New Roman"/>
      <w:b/>
      <w:bCs/>
      <w:iCs/>
      <w:kern w:val="2"/>
      <w:sz w:val="28"/>
      <w:szCs w:val="26"/>
    </w:rPr>
  </w:style>
  <w:style w:type="character" w:customStyle="1" w:styleId="Heading6Char">
    <w:name w:val="Heading 6 Char"/>
    <w:basedOn w:val="DefaultParagraphFont"/>
    <w:link w:val="Heading6"/>
    <w:rsid w:val="00732ABD"/>
    <w:rPr>
      <w:rFonts w:ascii="Times New Roman" w:eastAsia="Times New Roman" w:hAnsi="Times New Roman" w:cs="Times New Roman"/>
      <w:iCs/>
      <w:kern w:val="2"/>
    </w:rPr>
  </w:style>
  <w:style w:type="character" w:customStyle="1" w:styleId="Heading7Char">
    <w:name w:val="Heading 7 Char"/>
    <w:basedOn w:val="DefaultParagraphFont"/>
    <w:link w:val="Heading7"/>
    <w:rsid w:val="00732ABD"/>
    <w:rPr>
      <w:rFonts w:ascii="Times New Roman" w:eastAsia="Times New Roman" w:hAnsi="Times New Roman" w:cs="Times New Roman"/>
      <w:iCs/>
      <w:kern w:val="2"/>
      <w:sz w:val="24"/>
      <w:szCs w:val="24"/>
    </w:rPr>
  </w:style>
  <w:style w:type="character" w:customStyle="1" w:styleId="Heading8Char">
    <w:name w:val="Heading 8 Char"/>
    <w:basedOn w:val="DefaultParagraphFont"/>
    <w:link w:val="Heading8"/>
    <w:rsid w:val="00732ABD"/>
    <w:rPr>
      <w:rFonts w:ascii="Times New Roman" w:eastAsia="Times New Roman" w:hAnsi="Times New Roman" w:cs="Times New Roman"/>
      <w:i/>
      <w:kern w:val="2"/>
      <w:sz w:val="24"/>
      <w:szCs w:val="24"/>
    </w:rPr>
  </w:style>
  <w:style w:type="character" w:customStyle="1" w:styleId="Heading9Char">
    <w:name w:val="Heading 9 Char"/>
    <w:basedOn w:val="DefaultParagraphFont"/>
    <w:link w:val="Heading9"/>
    <w:rsid w:val="00732ABD"/>
    <w:rPr>
      <w:rFonts w:ascii="Times New Roman" w:eastAsia="Times New Roman" w:hAnsi="Times New Roman" w:cs="Times New Roman"/>
      <w:i/>
      <w:kern w:val="2"/>
    </w:rPr>
  </w:style>
  <w:style w:type="numbering" w:customStyle="1" w:styleId="ABRHeadings">
    <w:name w:val="ABR Headings"/>
    <w:rsid w:val="00732ABD"/>
    <w:pPr>
      <w:numPr>
        <w:numId w:val="4"/>
      </w:numPr>
    </w:pPr>
  </w:style>
  <w:style w:type="character" w:styleId="Hyperlink">
    <w:name w:val="Hyperlink"/>
    <w:basedOn w:val="DefaultParagraphFont"/>
    <w:uiPriority w:val="99"/>
    <w:unhideWhenUsed/>
    <w:rsid w:val="00985E83"/>
    <w:rPr>
      <w:color w:val="0563C1" w:themeColor="hyperlink"/>
      <w:u w:val="single"/>
    </w:rPr>
  </w:style>
  <w:style w:type="character" w:styleId="UnresolvedMention">
    <w:name w:val="Unresolved Mention"/>
    <w:basedOn w:val="DefaultParagraphFont"/>
    <w:uiPriority w:val="99"/>
    <w:semiHidden/>
    <w:unhideWhenUsed/>
    <w:rsid w:val="00985E83"/>
    <w:rPr>
      <w:color w:val="605E5C"/>
      <w:shd w:val="clear" w:color="auto" w:fill="E1DFDD"/>
    </w:rPr>
  </w:style>
  <w:style w:type="paragraph" w:styleId="NoSpacing">
    <w:name w:val="No Spacing"/>
    <w:uiPriority w:val="1"/>
    <w:qFormat/>
    <w:rsid w:val="00E779FD"/>
    <w:pPr>
      <w:spacing w:after="0" w:line="240" w:lineRule="auto"/>
    </w:pPr>
    <w:rPr>
      <w:rFonts w:ascii="Times New Roman" w:hAnsi="Times New Roman" w:cs="Times New Roman"/>
      <w:sz w:val="26"/>
      <w:szCs w:val="26"/>
    </w:rPr>
  </w:style>
  <w:style w:type="paragraph" w:styleId="FootnoteText">
    <w:name w:val="footnote text"/>
    <w:basedOn w:val="Normal"/>
    <w:link w:val="FootnoteTextChar"/>
    <w:uiPriority w:val="99"/>
    <w:unhideWhenUsed/>
    <w:rsid w:val="00BE1856"/>
    <w:pPr>
      <w:spacing w:after="0" w:line="240" w:lineRule="auto"/>
    </w:pPr>
    <w:rPr>
      <w:sz w:val="20"/>
      <w:szCs w:val="20"/>
    </w:rPr>
  </w:style>
  <w:style w:type="character" w:customStyle="1" w:styleId="FootnoteTextChar">
    <w:name w:val="Footnote Text Char"/>
    <w:basedOn w:val="DefaultParagraphFont"/>
    <w:link w:val="FootnoteText"/>
    <w:uiPriority w:val="99"/>
    <w:rsid w:val="00BE1856"/>
    <w:rPr>
      <w:rFonts w:ascii="Times New Roman" w:hAnsi="Times New Roman" w:cs="Times New Roman"/>
      <w:sz w:val="20"/>
      <w:szCs w:val="20"/>
    </w:rPr>
  </w:style>
  <w:style w:type="character" w:styleId="FootnoteReference">
    <w:name w:val="footnote reference"/>
    <w:basedOn w:val="DefaultParagraphFont"/>
    <w:uiPriority w:val="99"/>
    <w:unhideWhenUsed/>
    <w:rsid w:val="00BE1856"/>
    <w:rPr>
      <w:vertAlign w:val="superscript"/>
    </w:rPr>
  </w:style>
  <w:style w:type="paragraph" w:styleId="BalloonText">
    <w:name w:val="Balloon Text"/>
    <w:basedOn w:val="Normal"/>
    <w:link w:val="BalloonTextChar"/>
    <w:uiPriority w:val="99"/>
    <w:semiHidden/>
    <w:unhideWhenUsed/>
    <w:rsid w:val="00EC3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B1"/>
    <w:rPr>
      <w:rFonts w:ascii="Segoe UI" w:hAnsi="Segoe UI" w:cs="Segoe UI"/>
      <w:sz w:val="18"/>
      <w:szCs w:val="18"/>
    </w:rPr>
  </w:style>
  <w:style w:type="character" w:styleId="CommentReference">
    <w:name w:val="annotation reference"/>
    <w:basedOn w:val="DefaultParagraphFont"/>
    <w:uiPriority w:val="99"/>
    <w:semiHidden/>
    <w:unhideWhenUsed/>
    <w:rsid w:val="00EC34B1"/>
    <w:rPr>
      <w:sz w:val="16"/>
      <w:szCs w:val="16"/>
    </w:rPr>
  </w:style>
  <w:style w:type="paragraph" w:styleId="CommentText">
    <w:name w:val="annotation text"/>
    <w:basedOn w:val="Normal"/>
    <w:link w:val="CommentTextChar"/>
    <w:uiPriority w:val="99"/>
    <w:semiHidden/>
    <w:unhideWhenUsed/>
    <w:rsid w:val="00EC34B1"/>
    <w:pPr>
      <w:spacing w:line="240" w:lineRule="auto"/>
    </w:pPr>
    <w:rPr>
      <w:sz w:val="20"/>
      <w:szCs w:val="20"/>
    </w:rPr>
  </w:style>
  <w:style w:type="character" w:customStyle="1" w:styleId="CommentTextChar">
    <w:name w:val="Comment Text Char"/>
    <w:basedOn w:val="DefaultParagraphFont"/>
    <w:link w:val="CommentText"/>
    <w:uiPriority w:val="99"/>
    <w:semiHidden/>
    <w:rsid w:val="00EC34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B1"/>
    <w:rPr>
      <w:b/>
      <w:bCs/>
    </w:rPr>
  </w:style>
  <w:style w:type="character" w:customStyle="1" w:styleId="CommentSubjectChar">
    <w:name w:val="Comment Subject Char"/>
    <w:basedOn w:val="CommentTextChar"/>
    <w:link w:val="CommentSubject"/>
    <w:uiPriority w:val="99"/>
    <w:semiHidden/>
    <w:rsid w:val="00EC34B1"/>
    <w:rPr>
      <w:rFonts w:ascii="Times New Roman" w:hAnsi="Times New Roman" w:cs="Times New Roman"/>
      <w:b/>
      <w:bCs/>
      <w:sz w:val="20"/>
      <w:szCs w:val="20"/>
    </w:rPr>
  </w:style>
  <w:style w:type="paragraph" w:styleId="Revision">
    <w:name w:val="Revision"/>
    <w:hidden/>
    <w:uiPriority w:val="99"/>
    <w:semiHidden/>
    <w:rsid w:val="00EC34B1"/>
    <w:pPr>
      <w:spacing w:after="0" w:line="240" w:lineRule="auto"/>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22749">
      <w:bodyDiv w:val="1"/>
      <w:marLeft w:val="0"/>
      <w:marRight w:val="0"/>
      <w:marTop w:val="0"/>
      <w:marBottom w:val="0"/>
      <w:divBdr>
        <w:top w:val="none" w:sz="0" w:space="0" w:color="auto"/>
        <w:left w:val="none" w:sz="0" w:space="0" w:color="auto"/>
        <w:bottom w:val="none" w:sz="0" w:space="0" w:color="auto"/>
        <w:right w:val="none" w:sz="0" w:space="0" w:color="auto"/>
      </w:divBdr>
      <w:divsChild>
        <w:div w:id="884759132">
          <w:marLeft w:val="0"/>
          <w:marRight w:val="0"/>
          <w:marTop w:val="0"/>
          <w:marBottom w:val="0"/>
          <w:divBdr>
            <w:top w:val="none" w:sz="0" w:space="0" w:color="3D3D3D"/>
            <w:left w:val="none" w:sz="0" w:space="0" w:color="3D3D3D"/>
            <w:bottom w:val="none" w:sz="0" w:space="0" w:color="3D3D3D"/>
            <w:right w:val="none" w:sz="0" w:space="0" w:color="3D3D3D"/>
          </w:divBdr>
          <w:divsChild>
            <w:div w:id="4107804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7373512">
      <w:bodyDiv w:val="1"/>
      <w:marLeft w:val="0"/>
      <w:marRight w:val="0"/>
      <w:marTop w:val="0"/>
      <w:marBottom w:val="0"/>
      <w:divBdr>
        <w:top w:val="none" w:sz="0" w:space="0" w:color="auto"/>
        <w:left w:val="none" w:sz="0" w:space="0" w:color="auto"/>
        <w:bottom w:val="none" w:sz="0" w:space="0" w:color="auto"/>
        <w:right w:val="none" w:sz="0" w:space="0" w:color="auto"/>
      </w:divBdr>
      <w:divsChild>
        <w:div w:id="353002747">
          <w:marLeft w:val="0"/>
          <w:marRight w:val="0"/>
          <w:marTop w:val="0"/>
          <w:marBottom w:val="0"/>
          <w:divBdr>
            <w:top w:val="none" w:sz="0" w:space="0" w:color="3D3D3D"/>
            <w:left w:val="none" w:sz="0" w:space="0" w:color="3D3D3D"/>
            <w:bottom w:val="none" w:sz="0" w:space="0" w:color="3D3D3D"/>
            <w:right w:val="none" w:sz="0" w:space="0" w:color="3D3D3D"/>
          </w:divBdr>
          <w:divsChild>
            <w:div w:id="20166401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0305388">
      <w:bodyDiv w:val="1"/>
      <w:marLeft w:val="0"/>
      <w:marRight w:val="0"/>
      <w:marTop w:val="0"/>
      <w:marBottom w:val="0"/>
      <w:divBdr>
        <w:top w:val="none" w:sz="0" w:space="0" w:color="auto"/>
        <w:left w:val="none" w:sz="0" w:space="0" w:color="auto"/>
        <w:bottom w:val="none" w:sz="0" w:space="0" w:color="auto"/>
        <w:right w:val="none" w:sz="0" w:space="0" w:color="auto"/>
      </w:divBdr>
      <w:divsChild>
        <w:div w:id="1249119551">
          <w:marLeft w:val="0"/>
          <w:marRight w:val="0"/>
          <w:marTop w:val="0"/>
          <w:marBottom w:val="0"/>
          <w:divBdr>
            <w:top w:val="none" w:sz="0" w:space="0" w:color="3D3D3D"/>
            <w:left w:val="none" w:sz="0" w:space="0" w:color="3D3D3D"/>
            <w:bottom w:val="none" w:sz="0" w:space="0" w:color="3D3D3D"/>
            <w:right w:val="none" w:sz="0" w:space="0" w:color="3D3D3D"/>
          </w:divBdr>
          <w:divsChild>
            <w:div w:id="366680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066875">
      <w:bodyDiv w:val="1"/>
      <w:marLeft w:val="0"/>
      <w:marRight w:val="0"/>
      <w:marTop w:val="0"/>
      <w:marBottom w:val="0"/>
      <w:divBdr>
        <w:top w:val="none" w:sz="0" w:space="0" w:color="auto"/>
        <w:left w:val="none" w:sz="0" w:space="0" w:color="auto"/>
        <w:bottom w:val="none" w:sz="0" w:space="0" w:color="auto"/>
        <w:right w:val="none" w:sz="0" w:space="0" w:color="auto"/>
      </w:divBdr>
      <w:divsChild>
        <w:div w:id="38629548">
          <w:marLeft w:val="0"/>
          <w:marRight w:val="0"/>
          <w:marTop w:val="0"/>
          <w:marBottom w:val="0"/>
          <w:divBdr>
            <w:top w:val="none" w:sz="0" w:space="0" w:color="3D3D3D"/>
            <w:left w:val="none" w:sz="0" w:space="0" w:color="3D3D3D"/>
            <w:bottom w:val="none" w:sz="0" w:space="0" w:color="3D3D3D"/>
            <w:right w:val="none" w:sz="0" w:space="0" w:color="3D3D3D"/>
          </w:divBdr>
          <w:divsChild>
            <w:div w:id="8783190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9197392">
      <w:bodyDiv w:val="1"/>
      <w:marLeft w:val="0"/>
      <w:marRight w:val="0"/>
      <w:marTop w:val="0"/>
      <w:marBottom w:val="0"/>
      <w:divBdr>
        <w:top w:val="none" w:sz="0" w:space="0" w:color="auto"/>
        <w:left w:val="none" w:sz="0" w:space="0" w:color="auto"/>
        <w:bottom w:val="none" w:sz="0" w:space="0" w:color="auto"/>
        <w:right w:val="none" w:sz="0" w:space="0" w:color="auto"/>
      </w:divBdr>
      <w:divsChild>
        <w:div w:id="1436486629">
          <w:marLeft w:val="0"/>
          <w:marRight w:val="0"/>
          <w:marTop w:val="0"/>
          <w:marBottom w:val="0"/>
          <w:divBdr>
            <w:top w:val="none" w:sz="0" w:space="0" w:color="3D3D3D"/>
            <w:left w:val="none" w:sz="0" w:space="0" w:color="3D3D3D"/>
            <w:bottom w:val="none" w:sz="0" w:space="0" w:color="3D3D3D"/>
            <w:right w:val="none" w:sz="0" w:space="0" w:color="3D3D3D"/>
          </w:divBdr>
          <w:divsChild>
            <w:div w:id="3970903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son.Lewis@azag.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CF3320396D347B282C0130898A28F" ma:contentTypeVersion="10" ma:contentTypeDescription="Create a new document." ma:contentTypeScope="" ma:versionID="006ca6947d8cd08ed2f0e347896f1d08">
  <xsd:schema xmlns:xsd="http://www.w3.org/2001/XMLSchema" xmlns:xs="http://www.w3.org/2001/XMLSchema" xmlns:p="http://schemas.microsoft.com/office/2006/metadata/properties" xmlns:ns3="8ea4aa9a-1744-43b5-af88-58ee33bf191c" targetNamespace="http://schemas.microsoft.com/office/2006/metadata/properties" ma:root="true" ma:fieldsID="9a1fe675720e9bb9d3dfc9e2093b8c4c" ns3:_="">
    <xsd:import namespace="8ea4aa9a-1744-43b5-af88-58ee33bf191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GenerationTime" minOccurs="0"/>
                <xsd:element ref="ns3:MediaServiceEventHashCode"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4aa9a-1744-43b5-af88-58ee33bf1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a4aa9a-1744-43b5-af88-58ee33bf19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A08E-90F9-4D97-9E18-B89C1BBE7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4aa9a-1744-43b5-af88-58ee33bf1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0A496-C31F-4139-8A67-C2670346D82C}">
  <ds:schemaRefs>
    <ds:schemaRef ds:uri="http://schemas.microsoft.com/sharepoint/v3/contenttype/forms"/>
  </ds:schemaRefs>
</ds:datastoreItem>
</file>

<file path=customXml/itemProps3.xml><?xml version="1.0" encoding="utf-8"?>
<ds:datastoreItem xmlns:ds="http://schemas.openxmlformats.org/officeDocument/2006/customXml" ds:itemID="{D7E49E74-2A4F-4B10-A451-DA8CA7E57BC8}">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ea4aa9a-1744-43b5-af88-58ee33bf191c"/>
    <ds:schemaRef ds:uri="http://schemas.microsoft.com/office/2006/metadata/properties"/>
  </ds:schemaRefs>
</ds:datastoreItem>
</file>

<file path=customXml/itemProps4.xml><?xml version="1.0" encoding="utf-8"?>
<ds:datastoreItem xmlns:ds="http://schemas.openxmlformats.org/officeDocument/2006/customXml" ds:itemID="{71FF5E75-EC6F-4128-B92B-A8C2A070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Kevin</dc:creator>
  <cp:keywords/>
  <dc:description/>
  <cp:lastModifiedBy>Lewis, Jason</cp:lastModifiedBy>
  <cp:revision>8</cp:revision>
  <dcterms:created xsi:type="dcterms:W3CDTF">2026-05-01T17:44:00Z</dcterms:created>
  <dcterms:modified xsi:type="dcterms:W3CDTF">2026-05-01T18:44:00Z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0x010100B39CF3320396D347B282C0130898A28F</vt:lpwstr>
  </property>
</Properties>
</file>