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C245" w14:textId="77777777" w:rsidR="00461919"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sidRPr="00461919">
        <w:rPr>
          <w:rFonts w:ascii="Century Schoolbook" w:eastAsia="Times New Roman" w:hAnsi="Century Schoolbook"/>
          <w:snapToGrid/>
          <w:kern w:val="0"/>
          <w:sz w:val="28"/>
          <w:szCs w:val="28"/>
          <w14:ligatures w14:val="none"/>
        </w:rPr>
        <w:t>Law Office of Sheena Chiang, PLLC</w:t>
      </w:r>
    </w:p>
    <w:p w14:paraId="23639E9A" w14:textId="1227B408" w:rsidR="00461919"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sidRPr="00461919">
        <w:rPr>
          <w:rFonts w:ascii="Century Schoolbook" w:eastAsia="Times New Roman" w:hAnsi="Century Schoolbook"/>
          <w:snapToGrid/>
          <w:kern w:val="0"/>
          <w:sz w:val="28"/>
          <w:szCs w:val="28"/>
          <w14:ligatures w14:val="none"/>
        </w:rPr>
        <w:t>Sheena S. Chiang, Bar No. 025966</w:t>
      </w:r>
      <w:r w:rsidRPr="00461919">
        <w:rPr>
          <w:rFonts w:ascii="Century Schoolbook" w:eastAsia="Times New Roman" w:hAnsi="Century Schoolbook"/>
          <w:snapToGrid/>
          <w:kern w:val="0"/>
          <w:sz w:val="28"/>
          <w:szCs w:val="28"/>
          <w14:ligatures w14:val="none"/>
        </w:rPr>
        <w:tab/>
      </w:r>
    </w:p>
    <w:p w14:paraId="10611D8F" w14:textId="3A1DC6E2" w:rsidR="00461919"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sidRPr="00461919">
        <w:rPr>
          <w:rFonts w:ascii="Century Schoolbook" w:eastAsia="Times New Roman" w:hAnsi="Century Schoolbook"/>
          <w:snapToGrid/>
          <w:kern w:val="0"/>
          <w:sz w:val="28"/>
          <w:szCs w:val="28"/>
          <w14:ligatures w14:val="none"/>
        </w:rPr>
        <w:t>3219 E. Camelback Road, Suite 600</w:t>
      </w:r>
    </w:p>
    <w:p w14:paraId="78B7B6DC" w14:textId="399F8B64" w:rsidR="00461919"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sidRPr="00461919">
        <w:rPr>
          <w:rFonts w:ascii="Century Schoolbook" w:eastAsia="Times New Roman" w:hAnsi="Century Schoolbook"/>
          <w:snapToGrid/>
          <w:kern w:val="0"/>
          <w:sz w:val="28"/>
          <w:szCs w:val="28"/>
          <w14:ligatures w14:val="none"/>
        </w:rPr>
        <w:t>Phoenix, Arizona 85018</w:t>
      </w:r>
    </w:p>
    <w:p w14:paraId="3AEF13CD" w14:textId="53B47A55" w:rsidR="00461919"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sidRPr="00461919">
        <w:rPr>
          <w:rFonts w:ascii="Century Schoolbook" w:eastAsia="Times New Roman" w:hAnsi="Century Schoolbook"/>
          <w:snapToGrid/>
          <w:kern w:val="0"/>
          <w:sz w:val="28"/>
          <w:szCs w:val="28"/>
          <w14:ligatures w14:val="none"/>
        </w:rPr>
        <w:t>Telephone (480) 427-0330</w:t>
      </w:r>
    </w:p>
    <w:p w14:paraId="00D77F4F" w14:textId="17E801FC" w:rsidR="00461919"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hyperlink r:id="rId7" w:history="1">
        <w:r w:rsidRPr="00461919">
          <w:rPr>
            <w:rFonts w:ascii="Century Schoolbook" w:eastAsia="Times New Roman" w:hAnsi="Century Schoolbook"/>
            <w:snapToGrid/>
            <w:kern w:val="0"/>
            <w:sz w:val="28"/>
            <w:szCs w:val="28"/>
            <w14:ligatures w14:val="none"/>
          </w:rPr>
          <w:t>sheena@sheenachianglaw.com</w:t>
        </w:r>
      </w:hyperlink>
      <w:r w:rsidRPr="00461919">
        <w:rPr>
          <w:rFonts w:ascii="Century Schoolbook" w:eastAsia="Times New Roman" w:hAnsi="Century Schoolbook"/>
          <w:snapToGrid/>
          <w:kern w:val="0"/>
          <w:sz w:val="28"/>
          <w:szCs w:val="28"/>
          <w14:ligatures w14:val="none"/>
        </w:rPr>
        <w:t xml:space="preserve">   </w:t>
      </w:r>
    </w:p>
    <w:p w14:paraId="6F4047A3" w14:textId="77777777" w:rsidR="00461919"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sidRPr="00461919">
        <w:rPr>
          <w:rFonts w:ascii="Century Schoolbook" w:eastAsia="Times New Roman" w:hAnsi="Century Schoolbook"/>
          <w:snapToGrid/>
          <w:kern w:val="0"/>
          <w:sz w:val="28"/>
          <w:szCs w:val="28"/>
          <w14:ligatures w14:val="none"/>
        </w:rPr>
        <w:t>Attorney for AACJ</w:t>
      </w:r>
    </w:p>
    <w:p w14:paraId="118D3664" w14:textId="33B3CF35" w:rsidR="00F95EEC" w:rsidRPr="00461919" w:rsidRDefault="00461919"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hyperlink r:id="rId8" w:history="1">
        <w:r w:rsidRPr="00461919">
          <w:rPr>
            <w:rFonts w:ascii="Century Schoolbook" w:eastAsia="Times New Roman" w:hAnsi="Century Schoolbook"/>
            <w:snapToGrid/>
            <w:kern w:val="0"/>
            <w:sz w:val="28"/>
            <w:szCs w:val="28"/>
            <w14:ligatures w14:val="none"/>
          </w:rPr>
          <w:t>info@aacj.org</w:t>
        </w:r>
      </w:hyperlink>
    </w:p>
    <w:p w14:paraId="28D241D3" w14:textId="77777777" w:rsidR="00F95EEC" w:rsidRDefault="00F95EEC" w:rsidP="00DE4F18">
      <w:pPr>
        <w:spacing w:after="0" w:line="320" w:lineRule="exact"/>
        <w:contextualSpacing/>
        <w:rPr>
          <w:rFonts w:ascii="Century Schoolbook" w:eastAsia="Times New Roman" w:hAnsi="Century Schoolbook"/>
          <w:bCs/>
          <w:snapToGrid/>
          <w:kern w:val="0"/>
          <w:sz w:val="28"/>
          <w:szCs w:val="28"/>
          <w14:ligatures w14:val="none"/>
        </w:rPr>
      </w:pPr>
    </w:p>
    <w:p w14:paraId="64E01AC9" w14:textId="77777777" w:rsidR="009D285A" w:rsidRDefault="009D285A" w:rsidP="00DE4F18">
      <w:pPr>
        <w:spacing w:after="0" w:line="320" w:lineRule="exact"/>
        <w:contextualSpacing/>
        <w:jc w:val="center"/>
        <w:rPr>
          <w:rFonts w:ascii="Century Schoolbook" w:eastAsia="Times New Roman" w:hAnsi="Century Schoolbook"/>
          <w:b/>
          <w:snapToGrid/>
          <w:kern w:val="0"/>
          <w:sz w:val="28"/>
          <w:szCs w:val="28"/>
          <w14:ligatures w14:val="none"/>
        </w:rPr>
      </w:pPr>
    </w:p>
    <w:p w14:paraId="3AAC412F" w14:textId="06CF96FD" w:rsidR="00EB7083" w:rsidRPr="002F2A6D" w:rsidRDefault="00EB7083" w:rsidP="00DE4F18">
      <w:pPr>
        <w:spacing w:after="0" w:line="320" w:lineRule="exact"/>
        <w:contextualSpacing/>
        <w:jc w:val="center"/>
        <w:rPr>
          <w:rFonts w:ascii="Century Schoolbook" w:eastAsia="Times New Roman" w:hAnsi="Century Schoolbook"/>
          <w:b/>
          <w:snapToGrid/>
          <w:kern w:val="0"/>
          <w:sz w:val="28"/>
          <w:szCs w:val="28"/>
          <w14:ligatures w14:val="none"/>
        </w:rPr>
      </w:pPr>
      <w:r w:rsidRPr="002F2A6D">
        <w:rPr>
          <w:rFonts w:ascii="Century Schoolbook" w:eastAsia="Times New Roman" w:hAnsi="Century Schoolbook"/>
          <w:b/>
          <w:snapToGrid/>
          <w:kern w:val="0"/>
          <w:sz w:val="28"/>
          <w:szCs w:val="28"/>
          <w14:ligatures w14:val="none"/>
        </w:rPr>
        <w:t>IN THE SUPREME COURT</w:t>
      </w:r>
    </w:p>
    <w:p w14:paraId="7D4D8582" w14:textId="77777777" w:rsidR="00EB7083" w:rsidRPr="002F2A6D" w:rsidRDefault="00EB7083" w:rsidP="00DE4F18">
      <w:pPr>
        <w:spacing w:after="0" w:line="320" w:lineRule="exact"/>
        <w:contextualSpacing/>
        <w:jc w:val="center"/>
        <w:rPr>
          <w:rFonts w:ascii="Century Schoolbook" w:eastAsia="Times New Roman" w:hAnsi="Century Schoolbook"/>
          <w:b/>
          <w:snapToGrid/>
          <w:kern w:val="0"/>
          <w:sz w:val="28"/>
          <w:szCs w:val="28"/>
          <w14:ligatures w14:val="none"/>
        </w:rPr>
      </w:pPr>
      <w:r w:rsidRPr="002F2A6D">
        <w:rPr>
          <w:rFonts w:ascii="Century Schoolbook" w:eastAsia="Times New Roman" w:hAnsi="Century Schoolbook"/>
          <w:b/>
          <w:snapToGrid/>
          <w:kern w:val="0"/>
          <w:sz w:val="28"/>
          <w:szCs w:val="28"/>
          <w14:ligatures w14:val="none"/>
        </w:rPr>
        <w:t>STATE OF ARIZONA</w:t>
      </w:r>
    </w:p>
    <w:p w14:paraId="2207B979" w14:textId="77777777" w:rsidR="00EB7083" w:rsidRPr="002F2A6D" w:rsidRDefault="00EB7083" w:rsidP="00DE4F18">
      <w:pPr>
        <w:spacing w:after="0" w:line="320" w:lineRule="exact"/>
        <w:contextualSpacing/>
        <w:jc w:val="both"/>
        <w:rPr>
          <w:rFonts w:ascii="Century Schoolbook" w:eastAsia="Times New Roman" w:hAnsi="Century Schoolbook"/>
          <w:b/>
          <w:snapToGrid/>
          <w:kern w:val="0"/>
          <w:sz w:val="28"/>
          <w:szCs w:val="2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7"/>
        <w:gridCol w:w="4548"/>
      </w:tblGrid>
      <w:tr w:rsidR="00EB7083" w:rsidRPr="002F2A6D" w14:paraId="63044A30" w14:textId="77777777" w:rsidTr="00165D19">
        <w:trPr>
          <w:trHeight w:val="1479"/>
          <w:jc w:val="center"/>
        </w:trPr>
        <w:tc>
          <w:tcPr>
            <w:tcW w:w="4547" w:type="dxa"/>
            <w:tcBorders>
              <w:top w:val="nil"/>
              <w:left w:val="nil"/>
              <w:bottom w:val="nil"/>
            </w:tcBorders>
          </w:tcPr>
          <w:p w14:paraId="1167E30B" w14:textId="77777777" w:rsidR="00EB7083" w:rsidRPr="002F2A6D" w:rsidRDefault="00EB7083" w:rsidP="00DE4F18">
            <w:pPr>
              <w:keepLines/>
              <w:spacing w:after="0" w:line="320" w:lineRule="exact"/>
              <w:contextualSpacing/>
              <w:jc w:val="both"/>
              <w:rPr>
                <w:rFonts w:ascii="Century Schoolbook" w:eastAsia="Times New Roman" w:hAnsi="Century Schoolbook"/>
                <w:snapToGrid/>
                <w:kern w:val="0"/>
                <w:sz w:val="28"/>
                <w:szCs w:val="28"/>
                <w14:ligatures w14:val="none"/>
              </w:rPr>
            </w:pPr>
            <w:r w:rsidRPr="002F2A6D">
              <w:rPr>
                <w:rFonts w:ascii="Century Schoolbook" w:eastAsia="Times New Roman" w:hAnsi="Century Schoolbook"/>
                <w:snapToGrid/>
                <w:kern w:val="0"/>
                <w:sz w:val="28"/>
                <w:szCs w:val="28"/>
                <w14:ligatures w14:val="none"/>
              </w:rPr>
              <w:t>IN THE MATTER OF:</w:t>
            </w:r>
          </w:p>
          <w:p w14:paraId="49468B0E" w14:textId="77777777" w:rsidR="00EB7083" w:rsidRPr="002F2A6D" w:rsidRDefault="00EB7083" w:rsidP="00DE4F18">
            <w:pPr>
              <w:keepLines/>
              <w:spacing w:after="0" w:line="320" w:lineRule="exact"/>
              <w:contextualSpacing/>
              <w:jc w:val="both"/>
              <w:rPr>
                <w:rFonts w:ascii="Century Schoolbook" w:eastAsia="Times New Roman" w:hAnsi="Century Schoolbook"/>
                <w:snapToGrid/>
                <w:kern w:val="0"/>
                <w:sz w:val="28"/>
                <w:szCs w:val="28"/>
                <w14:ligatures w14:val="none"/>
              </w:rPr>
            </w:pPr>
          </w:p>
          <w:p w14:paraId="1C378856" w14:textId="572B347A" w:rsidR="00EB7083" w:rsidRPr="002F2A6D" w:rsidRDefault="00461919" w:rsidP="00461919">
            <w:pPr>
              <w:keepLines/>
              <w:spacing w:after="0" w:line="320" w:lineRule="exact"/>
              <w:contextualSpacing/>
              <w:jc w:val="both"/>
              <w:rPr>
                <w:rFonts w:ascii="Century Schoolbook" w:eastAsia="Times New Roman" w:hAnsi="Century Schoolbook"/>
                <w:snapToGrid/>
                <w:kern w:val="0"/>
                <w:sz w:val="28"/>
                <w:szCs w:val="28"/>
                <w14:ligatures w14:val="none"/>
              </w:rPr>
            </w:pPr>
            <w:r w:rsidRPr="00461919">
              <w:rPr>
                <w:rFonts w:ascii="Century Schoolbook" w:eastAsia="Times New Roman" w:hAnsi="Century Schoolbook"/>
                <w:b/>
                <w:bCs/>
                <w:snapToGrid/>
                <w:kern w:val="0"/>
                <w:sz w:val="28"/>
                <w:szCs w:val="28"/>
                <w14:ligatures w14:val="none"/>
              </w:rPr>
              <w:t>Petition to Amend Arizona Rules of Criminal Procedure 1.9, 15.1, 32.6, and 33.6</w:t>
            </w:r>
          </w:p>
        </w:tc>
        <w:tc>
          <w:tcPr>
            <w:tcW w:w="4548" w:type="dxa"/>
            <w:tcBorders>
              <w:top w:val="nil"/>
              <w:bottom w:val="nil"/>
              <w:right w:val="nil"/>
            </w:tcBorders>
          </w:tcPr>
          <w:p w14:paraId="762569FC" w14:textId="7B524440" w:rsidR="00EB7083" w:rsidRDefault="004E4CEA" w:rsidP="00DE4F18">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Pr>
                <w:rFonts w:ascii="Century Schoolbook" w:eastAsia="Times New Roman" w:hAnsi="Century Schoolbook"/>
                <w:snapToGrid/>
                <w:kern w:val="0"/>
                <w:sz w:val="28"/>
                <w:szCs w:val="28"/>
                <w14:ligatures w14:val="none"/>
              </w:rPr>
              <w:t xml:space="preserve">Supreme Court </w:t>
            </w:r>
            <w:r w:rsidR="00EB7083" w:rsidRPr="002F2A6D">
              <w:rPr>
                <w:rFonts w:ascii="Century Schoolbook" w:eastAsia="Times New Roman" w:hAnsi="Century Schoolbook"/>
                <w:snapToGrid/>
                <w:kern w:val="0"/>
                <w:sz w:val="28"/>
                <w:szCs w:val="28"/>
                <w14:ligatures w14:val="none"/>
              </w:rPr>
              <w:t>No. R-26-00</w:t>
            </w:r>
            <w:r w:rsidR="00461919">
              <w:rPr>
                <w:rFonts w:ascii="Century Schoolbook" w:eastAsia="Times New Roman" w:hAnsi="Century Schoolbook"/>
                <w:snapToGrid/>
                <w:kern w:val="0"/>
                <w:sz w:val="28"/>
                <w:szCs w:val="28"/>
                <w14:ligatures w14:val="none"/>
              </w:rPr>
              <w:t>2</w:t>
            </w:r>
            <w:r w:rsidR="00B87C8C">
              <w:rPr>
                <w:rFonts w:ascii="Century Schoolbook" w:eastAsia="Times New Roman" w:hAnsi="Century Schoolbook"/>
                <w:snapToGrid/>
                <w:kern w:val="0"/>
                <w:sz w:val="28"/>
                <w:szCs w:val="28"/>
                <w14:ligatures w14:val="none"/>
              </w:rPr>
              <w:t>4</w:t>
            </w:r>
          </w:p>
          <w:p w14:paraId="3EFAD94A" w14:textId="77777777" w:rsidR="00BF28F2" w:rsidRDefault="00BF28F2" w:rsidP="00DE4F18">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p>
          <w:p w14:paraId="37B983DB" w14:textId="4A96B701" w:rsidR="00BF28F2" w:rsidRPr="002F2A6D" w:rsidRDefault="00BF28F2" w:rsidP="00461919">
            <w:pPr>
              <w:keepLines/>
              <w:tabs>
                <w:tab w:val="center" w:pos="4680"/>
              </w:tabs>
              <w:spacing w:after="0" w:line="320" w:lineRule="exact"/>
              <w:ind w:left="108" w:firstLine="14"/>
              <w:contextualSpacing/>
              <w:jc w:val="both"/>
              <w:rPr>
                <w:rFonts w:ascii="Century Schoolbook" w:eastAsia="Times New Roman" w:hAnsi="Century Schoolbook"/>
                <w:snapToGrid/>
                <w:kern w:val="0"/>
                <w:sz w:val="28"/>
                <w:szCs w:val="28"/>
                <w14:ligatures w14:val="none"/>
              </w:rPr>
            </w:pPr>
            <w:r>
              <w:rPr>
                <w:rFonts w:ascii="Century Schoolbook" w:eastAsia="Times New Roman" w:hAnsi="Century Schoolbook"/>
                <w:snapToGrid/>
                <w:kern w:val="0"/>
                <w:sz w:val="28"/>
                <w:szCs w:val="28"/>
                <w14:ligatures w14:val="none"/>
              </w:rPr>
              <w:t xml:space="preserve">Comment of Arizona Attorneys for Criminal Justice in </w:t>
            </w:r>
            <w:r w:rsidR="00461919">
              <w:rPr>
                <w:rFonts w:ascii="Century Schoolbook" w:eastAsia="Times New Roman" w:hAnsi="Century Schoolbook"/>
                <w:snapToGrid/>
                <w:kern w:val="0"/>
                <w:sz w:val="28"/>
                <w:szCs w:val="28"/>
                <w14:ligatures w14:val="none"/>
              </w:rPr>
              <w:t xml:space="preserve">Support of Petition to </w:t>
            </w:r>
            <w:r w:rsidR="00461919" w:rsidRPr="00461919">
              <w:rPr>
                <w:rFonts w:ascii="Century Schoolbook" w:eastAsia="Times New Roman" w:hAnsi="Century Schoolbook"/>
                <w:snapToGrid/>
                <w:kern w:val="0"/>
                <w:sz w:val="28"/>
                <w:szCs w:val="28"/>
                <w14:ligatures w14:val="none"/>
              </w:rPr>
              <w:t xml:space="preserve">Amend Arizona Rules of Criminal Procedure 1.9, 15.1, 32.6, and 33.6 - to allow </w:t>
            </w:r>
            <w:r w:rsidR="00461919" w:rsidRPr="00184F78">
              <w:rPr>
                <w:rFonts w:ascii="Century Schoolbook" w:eastAsia="Times New Roman" w:hAnsi="Century Schoolbook"/>
                <w:i/>
                <w:iCs/>
                <w:snapToGrid/>
                <w:kern w:val="0"/>
                <w:sz w:val="28"/>
                <w:szCs w:val="28"/>
                <w14:ligatures w14:val="none"/>
              </w:rPr>
              <w:t>ex</w:t>
            </w:r>
            <w:r w:rsidR="00461919" w:rsidRPr="00461919">
              <w:rPr>
                <w:rFonts w:ascii="Century Schoolbook" w:eastAsia="Times New Roman" w:hAnsi="Century Schoolbook"/>
                <w:snapToGrid/>
                <w:kern w:val="0"/>
                <w:sz w:val="28"/>
                <w:szCs w:val="28"/>
                <w14:ligatures w14:val="none"/>
              </w:rPr>
              <w:t xml:space="preserve"> </w:t>
            </w:r>
            <w:r w:rsidR="00461919" w:rsidRPr="000A7E2F">
              <w:rPr>
                <w:rFonts w:ascii="Century Schoolbook" w:eastAsia="Times New Roman" w:hAnsi="Century Schoolbook"/>
                <w:i/>
                <w:iCs/>
                <w:snapToGrid/>
                <w:kern w:val="0"/>
                <w:sz w:val="28"/>
                <w:szCs w:val="28"/>
                <w14:ligatures w14:val="none"/>
              </w:rPr>
              <w:t>parte</w:t>
            </w:r>
            <w:r w:rsidR="006B557B">
              <w:rPr>
                <w:rFonts w:ascii="Century Schoolbook" w:eastAsia="Times New Roman" w:hAnsi="Century Schoolbook"/>
                <w:snapToGrid/>
                <w:kern w:val="0"/>
                <w:sz w:val="28"/>
                <w:szCs w:val="28"/>
                <w14:ligatures w14:val="none"/>
              </w:rPr>
              <w:t xml:space="preserve"> </w:t>
            </w:r>
            <w:r w:rsidR="00461919" w:rsidRPr="00461919">
              <w:rPr>
                <w:rFonts w:ascii="Century Schoolbook" w:eastAsia="Times New Roman" w:hAnsi="Century Schoolbook"/>
                <w:snapToGrid/>
                <w:kern w:val="0"/>
                <w:sz w:val="28"/>
                <w:szCs w:val="28"/>
                <w14:ligatures w14:val="none"/>
              </w:rPr>
              <w:t>discovery motions and hearings.</w:t>
            </w:r>
          </w:p>
        </w:tc>
      </w:tr>
    </w:tbl>
    <w:p w14:paraId="3561EDDB" w14:textId="77777777" w:rsidR="008B0ED5" w:rsidRDefault="008B0ED5" w:rsidP="002F2A6D">
      <w:pPr>
        <w:widowControl w:val="0"/>
        <w:spacing w:after="0" w:line="240" w:lineRule="auto"/>
        <w:ind w:firstLine="720"/>
        <w:rPr>
          <w:rFonts w:ascii="Century Schoolbook" w:eastAsia="Times New Roman" w:hAnsi="Century Schoolbook" w:cs="Arial"/>
          <w:kern w:val="0"/>
          <w:sz w:val="28"/>
          <w:szCs w:val="28"/>
          <w14:ligatures w14:val="none"/>
        </w:rPr>
      </w:pPr>
    </w:p>
    <w:p w14:paraId="10FCBF4D" w14:textId="35C0A586" w:rsidR="00A35B5C" w:rsidRDefault="00A35B5C" w:rsidP="00461919">
      <w:pPr>
        <w:jc w:val="center"/>
        <w:rPr>
          <w:rFonts w:ascii="Century Schoolbook" w:eastAsia="Times New Roman" w:hAnsi="Century Schoolbook" w:cs="Arial"/>
          <w:kern w:val="0"/>
          <w:sz w:val="28"/>
          <w:szCs w:val="28"/>
          <w14:ligatures w14:val="none"/>
        </w:rPr>
      </w:pPr>
    </w:p>
    <w:p w14:paraId="3D42E8DD" w14:textId="39F0F169" w:rsidR="004E4CEA" w:rsidRDefault="004E4CEA" w:rsidP="004E4CEA">
      <w:pPr>
        <w:spacing w:line="360" w:lineRule="auto"/>
        <w:ind w:firstLine="360"/>
        <w:jc w:val="both"/>
        <w:rPr>
          <w:rFonts w:ascii="Century Schoolbook" w:eastAsia="Times New Roman" w:hAnsi="Century Schoolbook" w:cs="Arial"/>
          <w:kern w:val="0"/>
          <w:sz w:val="28"/>
          <w:szCs w:val="28"/>
          <w14:ligatures w14:val="none"/>
        </w:rPr>
      </w:pPr>
      <w:r>
        <w:rPr>
          <w:rFonts w:ascii="Century Schoolbook" w:eastAsia="Times New Roman" w:hAnsi="Century Schoolbook" w:cs="Arial"/>
          <w:kern w:val="0"/>
          <w:sz w:val="28"/>
          <w:szCs w:val="28"/>
          <w14:ligatures w14:val="none"/>
        </w:rPr>
        <w:t>Arizona Attorneys for Criminal Justice (“</w:t>
      </w:r>
      <w:r w:rsidRPr="00461919">
        <w:rPr>
          <w:rFonts w:ascii="Century Schoolbook" w:eastAsia="Times New Roman" w:hAnsi="Century Schoolbook" w:cs="Arial"/>
          <w:kern w:val="0"/>
          <w:sz w:val="28"/>
          <w:szCs w:val="28"/>
          <w14:ligatures w14:val="none"/>
        </w:rPr>
        <w:t>AACJ</w:t>
      </w:r>
      <w:r>
        <w:rPr>
          <w:rFonts w:ascii="Century Schoolbook" w:eastAsia="Times New Roman" w:hAnsi="Century Schoolbook" w:cs="Arial"/>
          <w:kern w:val="0"/>
          <w:sz w:val="28"/>
          <w:szCs w:val="28"/>
          <w14:ligatures w14:val="none"/>
        </w:rPr>
        <w:t>”)</w:t>
      </w:r>
      <w:r w:rsidRPr="00461919">
        <w:rPr>
          <w:rFonts w:ascii="Century Schoolbook" w:eastAsia="Times New Roman" w:hAnsi="Century Schoolbook" w:cs="Arial"/>
          <w:kern w:val="0"/>
          <w:sz w:val="28"/>
          <w:szCs w:val="28"/>
          <w14:ligatures w14:val="none"/>
        </w:rPr>
        <w:t>, the Arizona affiliate of the National Association of Criminal</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Defense Lawyers, was founded in 1986 to give a voice to the rights of the</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criminally accused and the attorneys who defend them.</w:t>
      </w:r>
      <w:r w:rsidR="00F026BC">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AACJ is a</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statewide not-for-profit membership organization of criminal defense</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lawyers, law students, and associated professionals. Our organization is</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dedicated to safeguarding the rights of the accused in the courts and</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before the legislature; ensuring that criminal defendants, regardless of</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resources, receive fair treatment and meaningful access to justice; and</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defending the integrity of the adversarial system.</w:t>
      </w:r>
    </w:p>
    <w:p w14:paraId="4AEC351C" w14:textId="77777777" w:rsidR="004E4CEA" w:rsidRDefault="004E4CEA" w:rsidP="004E4CEA">
      <w:pPr>
        <w:spacing w:line="360" w:lineRule="auto"/>
        <w:ind w:firstLine="360"/>
        <w:jc w:val="both"/>
        <w:rPr>
          <w:rFonts w:ascii="Century Schoolbook" w:eastAsia="Times New Roman" w:hAnsi="Century Schoolbook" w:cs="Arial"/>
          <w:kern w:val="0"/>
          <w:sz w:val="28"/>
          <w:szCs w:val="28"/>
          <w14:ligatures w14:val="none"/>
        </w:rPr>
      </w:pPr>
      <w:r w:rsidRPr="00461919">
        <w:rPr>
          <w:rFonts w:ascii="Century Schoolbook" w:eastAsia="Times New Roman" w:hAnsi="Century Schoolbook" w:cs="Arial"/>
          <w:kern w:val="0"/>
          <w:sz w:val="28"/>
          <w:szCs w:val="28"/>
          <w14:ligatures w14:val="none"/>
        </w:rPr>
        <w:lastRenderedPageBreak/>
        <w:t>AACJ also promotes excellence in the practice of criminal law</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through education, training, and mutual assistance, and works to foster</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public understanding of citizens’ rights, the criminal justice syste</w:t>
      </w:r>
      <w:r>
        <w:rPr>
          <w:rFonts w:ascii="Century Schoolbook" w:eastAsia="Times New Roman" w:hAnsi="Century Schoolbook" w:cs="Arial"/>
          <w:kern w:val="0"/>
          <w:sz w:val="28"/>
          <w:szCs w:val="28"/>
          <w14:ligatures w14:val="none"/>
        </w:rPr>
        <w:t>m</w:t>
      </w:r>
      <w:r w:rsidRPr="00461919">
        <w:rPr>
          <w:rFonts w:ascii="Century Schoolbook" w:eastAsia="Times New Roman" w:hAnsi="Century Schoolbook" w:cs="Arial"/>
          <w:kern w:val="0"/>
          <w:sz w:val="28"/>
          <w:szCs w:val="28"/>
          <w14:ligatures w14:val="none"/>
        </w:rPr>
        <w:t>, and the</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essential role defense attorneys play in preserving due process and equal</w:t>
      </w:r>
      <w:r>
        <w:rPr>
          <w:rFonts w:ascii="Century Schoolbook" w:eastAsia="Times New Roman" w:hAnsi="Century Schoolbook" w:cs="Arial"/>
          <w:kern w:val="0"/>
          <w:sz w:val="28"/>
          <w:szCs w:val="28"/>
          <w14:ligatures w14:val="none"/>
        </w:rPr>
        <w:t xml:space="preserve"> </w:t>
      </w:r>
      <w:r w:rsidRPr="00461919">
        <w:rPr>
          <w:rFonts w:ascii="Century Schoolbook" w:eastAsia="Times New Roman" w:hAnsi="Century Schoolbook" w:cs="Arial"/>
          <w:kern w:val="0"/>
          <w:sz w:val="28"/>
          <w:szCs w:val="28"/>
          <w14:ligatures w14:val="none"/>
        </w:rPr>
        <w:t>justice under law.</w:t>
      </w:r>
    </w:p>
    <w:p w14:paraId="5C326762" w14:textId="43D047F6" w:rsidR="004E4CEA" w:rsidRDefault="004E4CEA" w:rsidP="004E4CEA">
      <w:pPr>
        <w:spacing w:line="360" w:lineRule="auto"/>
        <w:ind w:firstLine="360"/>
        <w:jc w:val="both"/>
        <w:rPr>
          <w:rFonts w:ascii="Century Schoolbook" w:eastAsia="Times New Roman" w:hAnsi="Century Schoolbook" w:cs="Arial"/>
          <w:kern w:val="0"/>
          <w:sz w:val="28"/>
          <w:szCs w:val="28"/>
          <w14:ligatures w14:val="none"/>
        </w:rPr>
      </w:pPr>
      <w:r>
        <w:rPr>
          <w:rFonts w:ascii="Century Schoolbook" w:eastAsia="Times New Roman" w:hAnsi="Century Schoolbook" w:cs="Arial"/>
          <w:kern w:val="0"/>
          <w:sz w:val="28"/>
          <w:szCs w:val="28"/>
          <w14:ligatures w14:val="none"/>
        </w:rPr>
        <w:t xml:space="preserve">Pursuant to Rule 28, Rules of the Supreme Court, AACJ respectfully submits this Comment in support of Petition to Amend Arizona Rules of Criminal Procedure 1.9, 15.1, 32.6, and 33.6, which seeks to sanction and establish the parameters of </w:t>
      </w:r>
      <w:r>
        <w:rPr>
          <w:rFonts w:ascii="Century Schoolbook" w:eastAsia="Times New Roman" w:hAnsi="Century Schoolbook" w:cs="Arial"/>
          <w:i/>
          <w:iCs/>
          <w:kern w:val="0"/>
          <w:sz w:val="28"/>
          <w:szCs w:val="28"/>
          <w14:ligatures w14:val="none"/>
        </w:rPr>
        <w:t xml:space="preserve">ex parte </w:t>
      </w:r>
      <w:r>
        <w:rPr>
          <w:rFonts w:ascii="Century Schoolbook" w:eastAsia="Times New Roman" w:hAnsi="Century Schoolbook" w:cs="Arial"/>
          <w:kern w:val="0"/>
          <w:sz w:val="28"/>
          <w:szCs w:val="28"/>
          <w14:ligatures w14:val="none"/>
        </w:rPr>
        <w:t xml:space="preserve">discovery motions and hearings. </w:t>
      </w:r>
    </w:p>
    <w:p w14:paraId="594C7C68" w14:textId="39E83AF4" w:rsidR="004E4CEA" w:rsidRPr="00082E9F" w:rsidRDefault="004E4CEA" w:rsidP="004E4CEA">
      <w:pPr>
        <w:pStyle w:val="ListParagraph"/>
        <w:numPr>
          <w:ilvl w:val="0"/>
          <w:numId w:val="8"/>
        </w:numPr>
        <w:spacing w:line="240" w:lineRule="auto"/>
        <w:jc w:val="both"/>
        <w:rPr>
          <w:rFonts w:ascii="Century Schoolbook" w:eastAsia="Times New Roman" w:hAnsi="Century Schoolbook" w:cs="Arial"/>
          <w:b/>
          <w:bCs/>
          <w:kern w:val="0"/>
          <w:sz w:val="28"/>
          <w:szCs w:val="28"/>
          <w:u w:val="single"/>
          <w14:ligatures w14:val="none"/>
        </w:rPr>
      </w:pPr>
      <w:r w:rsidRPr="00F026BC">
        <w:rPr>
          <w:rFonts w:ascii="Century Schoolbook" w:eastAsia="Times New Roman" w:hAnsi="Century Schoolbook" w:cs="Arial"/>
          <w:b/>
          <w:bCs/>
          <w:i/>
          <w:iCs/>
          <w:kern w:val="0"/>
          <w:sz w:val="28"/>
          <w:szCs w:val="28"/>
          <w:u w:val="single"/>
          <w14:ligatures w14:val="none"/>
        </w:rPr>
        <w:t>Ex</w:t>
      </w:r>
      <w:r w:rsidR="006B557B" w:rsidRPr="00F026BC">
        <w:rPr>
          <w:rFonts w:ascii="Century Schoolbook" w:eastAsia="Times New Roman" w:hAnsi="Century Schoolbook" w:cs="Arial"/>
          <w:b/>
          <w:bCs/>
          <w:i/>
          <w:iCs/>
          <w:kern w:val="0"/>
          <w:sz w:val="28"/>
          <w:szCs w:val="28"/>
          <w:u w:val="single"/>
          <w14:ligatures w14:val="none"/>
        </w:rPr>
        <w:t xml:space="preserve"> </w:t>
      </w:r>
      <w:r w:rsidRPr="00F026BC">
        <w:rPr>
          <w:rFonts w:ascii="Century Schoolbook" w:eastAsia="Times New Roman" w:hAnsi="Century Schoolbook" w:cs="Arial"/>
          <w:b/>
          <w:bCs/>
          <w:i/>
          <w:iCs/>
          <w:kern w:val="0"/>
          <w:sz w:val="28"/>
          <w:szCs w:val="28"/>
          <w:u w:val="single"/>
          <w14:ligatures w14:val="none"/>
        </w:rPr>
        <w:t>Parte</w:t>
      </w:r>
      <w:r w:rsidRPr="00082E9F">
        <w:rPr>
          <w:rFonts w:ascii="Century Schoolbook" w:eastAsia="Times New Roman" w:hAnsi="Century Schoolbook" w:cs="Arial"/>
          <w:b/>
          <w:bCs/>
          <w:kern w:val="0"/>
          <w:sz w:val="28"/>
          <w:szCs w:val="28"/>
          <w:u w:val="single"/>
          <w14:ligatures w14:val="none"/>
        </w:rPr>
        <w:t xml:space="preserve"> Discovery Motions Streamline the Discovery Process and Are Essential to Justice. </w:t>
      </w:r>
    </w:p>
    <w:p w14:paraId="56C0CB45" w14:textId="77777777" w:rsidR="004E4CEA" w:rsidRDefault="004E4CEA" w:rsidP="00A35B5C">
      <w:pPr>
        <w:ind w:firstLine="720"/>
        <w:jc w:val="both"/>
        <w:rPr>
          <w:rFonts w:ascii="Century Schoolbook" w:eastAsia="Times New Roman" w:hAnsi="Century Schoolbook" w:cs="Arial"/>
          <w:kern w:val="0"/>
          <w:sz w:val="28"/>
          <w:szCs w:val="28"/>
          <w14:ligatures w14:val="none"/>
        </w:rPr>
      </w:pPr>
    </w:p>
    <w:p w14:paraId="18C6C43A" w14:textId="6B6A168B" w:rsidR="00165D19" w:rsidRDefault="00165D19" w:rsidP="0030490B">
      <w:pPr>
        <w:ind w:firstLine="360"/>
        <w:jc w:val="both"/>
        <w:rPr>
          <w:rFonts w:ascii="Century Schoolbook" w:eastAsia="Times New Roman" w:hAnsi="Century Schoolbook" w:cs="Arial"/>
          <w:kern w:val="0"/>
          <w:sz w:val="28"/>
          <w:szCs w:val="28"/>
          <w14:ligatures w14:val="none"/>
        </w:rPr>
      </w:pPr>
      <w:r>
        <w:rPr>
          <w:rFonts w:ascii="Century Schoolbook" w:eastAsia="Times New Roman" w:hAnsi="Century Schoolbook" w:cs="Arial"/>
          <w:kern w:val="0"/>
          <w:sz w:val="28"/>
          <w:szCs w:val="28"/>
          <w14:ligatures w14:val="none"/>
        </w:rPr>
        <w:t>T</w:t>
      </w:r>
      <w:r w:rsidRPr="00165D19">
        <w:rPr>
          <w:rFonts w:ascii="Century Schoolbook" w:eastAsia="Times New Roman" w:hAnsi="Century Schoolbook" w:cs="Arial"/>
          <w:kern w:val="0"/>
          <w:sz w:val="28"/>
          <w:szCs w:val="28"/>
          <w14:ligatures w14:val="none"/>
        </w:rPr>
        <w:t>he proposed amendment</w:t>
      </w:r>
      <w:r w:rsidR="00184F78">
        <w:rPr>
          <w:rFonts w:ascii="Century Schoolbook" w:eastAsia="Times New Roman" w:hAnsi="Century Schoolbook" w:cs="Arial"/>
          <w:kern w:val="0"/>
          <w:sz w:val="28"/>
          <w:szCs w:val="28"/>
          <w14:ligatures w14:val="none"/>
        </w:rPr>
        <w:t>s</w:t>
      </w:r>
      <w:r w:rsidRPr="00165D19">
        <w:rPr>
          <w:rFonts w:ascii="Century Schoolbook" w:eastAsia="Times New Roman" w:hAnsi="Century Schoolbook" w:cs="Arial"/>
          <w:kern w:val="0"/>
          <w:sz w:val="28"/>
          <w:szCs w:val="28"/>
          <w14:ligatures w14:val="none"/>
        </w:rPr>
        <w:t xml:space="preserve"> to </w:t>
      </w:r>
      <w:r>
        <w:rPr>
          <w:rFonts w:ascii="Century Schoolbook" w:eastAsia="Times New Roman" w:hAnsi="Century Schoolbook" w:cs="Arial"/>
          <w:b/>
          <w:bCs/>
          <w:kern w:val="0"/>
          <w:sz w:val="28"/>
          <w:szCs w:val="28"/>
          <w14:ligatures w14:val="none"/>
        </w:rPr>
        <w:t>Rule 1.9, 15.1, 32.6</w:t>
      </w:r>
      <w:r w:rsidR="00F026BC">
        <w:rPr>
          <w:rFonts w:ascii="Century Schoolbook" w:eastAsia="Times New Roman" w:hAnsi="Century Schoolbook" w:cs="Arial"/>
          <w:b/>
          <w:bCs/>
          <w:kern w:val="0"/>
          <w:sz w:val="28"/>
          <w:szCs w:val="28"/>
          <w14:ligatures w14:val="none"/>
        </w:rPr>
        <w:t>,</w:t>
      </w:r>
      <w:r>
        <w:rPr>
          <w:rFonts w:ascii="Century Schoolbook" w:eastAsia="Times New Roman" w:hAnsi="Century Schoolbook" w:cs="Arial"/>
          <w:b/>
          <w:bCs/>
          <w:kern w:val="0"/>
          <w:sz w:val="28"/>
          <w:szCs w:val="28"/>
          <w14:ligatures w14:val="none"/>
        </w:rPr>
        <w:t xml:space="preserve"> and 33.6</w:t>
      </w:r>
      <w:r w:rsidRPr="00165D19">
        <w:rPr>
          <w:rFonts w:ascii="Century Schoolbook" w:eastAsia="Times New Roman" w:hAnsi="Century Schoolbook" w:cs="Arial"/>
          <w:kern w:val="0"/>
          <w:sz w:val="28"/>
          <w:szCs w:val="28"/>
          <w14:ligatures w14:val="none"/>
        </w:rPr>
        <w:t xml:space="preserve"> </w:t>
      </w:r>
      <w:r w:rsidR="00634A38">
        <w:rPr>
          <w:rFonts w:ascii="Century Schoolbook" w:eastAsia="Times New Roman" w:hAnsi="Century Schoolbook" w:cs="Arial"/>
          <w:kern w:val="0"/>
          <w:sz w:val="28"/>
          <w:szCs w:val="28"/>
          <w14:ligatures w14:val="none"/>
        </w:rPr>
        <w:t>are</w:t>
      </w:r>
      <w:r w:rsidRPr="00165D19">
        <w:rPr>
          <w:rFonts w:ascii="Century Schoolbook" w:eastAsia="Times New Roman" w:hAnsi="Century Schoolbook" w:cs="Arial"/>
          <w:kern w:val="0"/>
          <w:sz w:val="28"/>
          <w:szCs w:val="28"/>
          <w14:ligatures w14:val="none"/>
        </w:rPr>
        <w:t xml:space="preserve"> a necessary clarification that </w:t>
      </w:r>
      <w:r w:rsidR="003078D0">
        <w:rPr>
          <w:rFonts w:ascii="Century Schoolbook" w:eastAsia="Times New Roman" w:hAnsi="Century Schoolbook" w:cs="Arial"/>
          <w:kern w:val="0"/>
          <w:sz w:val="28"/>
          <w:szCs w:val="28"/>
          <w14:ligatures w14:val="none"/>
        </w:rPr>
        <w:t xml:space="preserve">will </w:t>
      </w:r>
      <w:r w:rsidRPr="00165D19">
        <w:rPr>
          <w:rFonts w:ascii="Century Schoolbook" w:eastAsia="Times New Roman" w:hAnsi="Century Schoolbook" w:cs="Arial"/>
          <w:kern w:val="0"/>
          <w:sz w:val="28"/>
          <w:szCs w:val="28"/>
          <w14:ligatures w14:val="none"/>
        </w:rPr>
        <w:t xml:space="preserve">align the written text of the Criminal Rules with both long-standing judicial practice and the constitutional mandates of effective advocacy. By expressly authorizing </w:t>
      </w:r>
      <w:r w:rsidR="006B557B" w:rsidRPr="00165D19">
        <w:rPr>
          <w:rFonts w:ascii="Century Schoolbook" w:eastAsia="Times New Roman" w:hAnsi="Century Schoolbook" w:cs="Arial"/>
          <w:i/>
          <w:iCs/>
          <w:kern w:val="0"/>
          <w:sz w:val="28"/>
          <w:szCs w:val="28"/>
          <w14:ligatures w14:val="none"/>
        </w:rPr>
        <w:t>ex</w:t>
      </w:r>
      <w:r w:rsidR="006B557B">
        <w:rPr>
          <w:rFonts w:ascii="Century Schoolbook" w:eastAsia="Times New Roman" w:hAnsi="Century Schoolbook" w:cs="Arial"/>
          <w:i/>
          <w:iCs/>
          <w:kern w:val="0"/>
          <w:sz w:val="28"/>
          <w:szCs w:val="28"/>
          <w14:ligatures w14:val="none"/>
        </w:rPr>
        <w:t xml:space="preserve"> </w:t>
      </w:r>
      <w:r w:rsidR="006B557B" w:rsidRPr="00165D19">
        <w:rPr>
          <w:rFonts w:ascii="Century Schoolbook" w:eastAsia="Times New Roman" w:hAnsi="Century Schoolbook" w:cs="Arial"/>
          <w:i/>
          <w:iCs/>
          <w:kern w:val="0"/>
          <w:sz w:val="28"/>
          <w:szCs w:val="28"/>
          <w14:ligatures w14:val="none"/>
        </w:rPr>
        <w:t>parte</w:t>
      </w:r>
      <w:r w:rsidR="006B557B" w:rsidRPr="00165D19">
        <w:rPr>
          <w:rFonts w:ascii="Century Schoolbook" w:eastAsia="Times New Roman" w:hAnsi="Century Schoolbook" w:cs="Arial"/>
          <w:kern w:val="0"/>
          <w:sz w:val="28"/>
          <w:szCs w:val="28"/>
          <w14:ligatures w14:val="none"/>
        </w:rPr>
        <w:t xml:space="preserve"> </w:t>
      </w:r>
      <w:r w:rsidRPr="00165D19">
        <w:rPr>
          <w:rFonts w:ascii="Century Schoolbook" w:eastAsia="Times New Roman" w:hAnsi="Century Schoolbook" w:cs="Arial"/>
          <w:kern w:val="0"/>
          <w:sz w:val="28"/>
          <w:szCs w:val="28"/>
          <w14:ligatures w14:val="none"/>
        </w:rPr>
        <w:t>discovery motions, this Court will provide a clear procedural roadmap that protects the integrity of defense investigations without violating ethical canons.</w:t>
      </w:r>
    </w:p>
    <w:p w14:paraId="59F55E80" w14:textId="37429B2E" w:rsidR="00165D19" w:rsidRPr="00165D19" w:rsidRDefault="00F026BC" w:rsidP="00165D19">
      <w:pPr>
        <w:ind w:firstLine="360"/>
        <w:jc w:val="both"/>
        <w:rPr>
          <w:rFonts w:ascii="Century Schoolbook" w:eastAsia="Times New Roman" w:hAnsi="Century Schoolbook" w:cs="Arial"/>
          <w:kern w:val="0"/>
          <w:sz w:val="28"/>
          <w:szCs w:val="28"/>
          <w14:ligatures w14:val="none"/>
        </w:rPr>
      </w:pPr>
      <w:r>
        <w:rPr>
          <w:rFonts w:ascii="Century Schoolbook" w:eastAsia="Times New Roman" w:hAnsi="Century Schoolbook" w:cs="Arial"/>
          <w:i/>
          <w:iCs/>
          <w:kern w:val="0"/>
          <w:sz w:val="28"/>
          <w:szCs w:val="28"/>
          <w14:ligatures w14:val="none"/>
        </w:rPr>
        <w:t>Ex parte</w:t>
      </w:r>
      <w:r w:rsidR="00082E9F">
        <w:rPr>
          <w:rFonts w:ascii="Century Schoolbook" w:eastAsia="Times New Roman" w:hAnsi="Century Schoolbook" w:cs="Arial"/>
          <w:kern w:val="0"/>
          <w:sz w:val="28"/>
          <w:szCs w:val="28"/>
          <w14:ligatures w14:val="none"/>
        </w:rPr>
        <w:t xml:space="preserve"> proceedings, as circumscribed, are recognized as essential to justice when needed to protect confidential information</w:t>
      </w:r>
      <w:r w:rsidR="00165D19" w:rsidRPr="00165D19">
        <w:rPr>
          <w:rFonts w:ascii="Century Schoolbook" w:eastAsia="Times New Roman" w:hAnsi="Century Schoolbook" w:cs="Arial"/>
          <w:kern w:val="0"/>
          <w:sz w:val="28"/>
          <w:szCs w:val="28"/>
          <w14:ligatures w14:val="none"/>
        </w:rPr>
        <w:t>. Our legal system acknowledges specific instances where such communications are essential to justice:</w:t>
      </w:r>
    </w:p>
    <w:p w14:paraId="35373DDA" w14:textId="52B67EDA" w:rsidR="00165D19" w:rsidRPr="00165D19" w:rsidRDefault="00165D19" w:rsidP="00165D19">
      <w:pPr>
        <w:numPr>
          <w:ilvl w:val="0"/>
          <w:numId w:val="6"/>
        </w:numPr>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b/>
          <w:bCs/>
          <w:kern w:val="0"/>
          <w:sz w:val="28"/>
          <w:szCs w:val="28"/>
          <w14:ligatures w14:val="none"/>
        </w:rPr>
        <w:t>Judicial Ethics:</w:t>
      </w:r>
      <w:r w:rsidRPr="00165D19">
        <w:rPr>
          <w:rFonts w:ascii="Century Schoolbook" w:eastAsia="Times New Roman" w:hAnsi="Century Schoolbook" w:cs="Arial"/>
          <w:kern w:val="0"/>
          <w:sz w:val="28"/>
          <w:szCs w:val="28"/>
          <w14:ligatures w14:val="none"/>
        </w:rPr>
        <w:t xml:space="preserve"> Canon 2.9(A)(5) explicitly provides that a judge may "initiate, permit, or consider any </w:t>
      </w:r>
      <w:r w:rsidRPr="00165D19">
        <w:rPr>
          <w:rFonts w:ascii="Century Schoolbook" w:eastAsia="Times New Roman" w:hAnsi="Century Schoolbook" w:cs="Arial"/>
          <w:i/>
          <w:iCs/>
          <w:kern w:val="0"/>
          <w:sz w:val="28"/>
          <w:szCs w:val="28"/>
          <w14:ligatures w14:val="none"/>
        </w:rPr>
        <w:t>ex</w:t>
      </w:r>
      <w:r w:rsidR="006B557B">
        <w:rPr>
          <w:rFonts w:ascii="Century Schoolbook" w:eastAsia="Times New Roman" w:hAnsi="Century Schoolbook" w:cs="Arial"/>
          <w:i/>
          <w:iCs/>
          <w:kern w:val="0"/>
          <w:sz w:val="28"/>
          <w:szCs w:val="28"/>
          <w14:ligatures w14:val="none"/>
        </w:rPr>
        <w:t xml:space="preserve"> </w:t>
      </w:r>
      <w:r w:rsidRPr="00165D19">
        <w:rPr>
          <w:rFonts w:ascii="Century Schoolbook" w:eastAsia="Times New Roman" w:hAnsi="Century Schoolbook" w:cs="Arial"/>
          <w:i/>
          <w:iCs/>
          <w:kern w:val="0"/>
          <w:sz w:val="28"/>
          <w:szCs w:val="28"/>
          <w14:ligatures w14:val="none"/>
        </w:rPr>
        <w:t>parte</w:t>
      </w:r>
      <w:r w:rsidRPr="00165D19">
        <w:rPr>
          <w:rFonts w:ascii="Century Schoolbook" w:eastAsia="Times New Roman" w:hAnsi="Century Schoolbook" w:cs="Arial"/>
          <w:kern w:val="0"/>
          <w:sz w:val="28"/>
          <w:szCs w:val="28"/>
          <w14:ligatures w14:val="none"/>
        </w:rPr>
        <w:t xml:space="preserve"> communication when </w:t>
      </w:r>
      <w:r w:rsidRPr="00165D19">
        <w:rPr>
          <w:rFonts w:ascii="Century Schoolbook" w:eastAsia="Times New Roman" w:hAnsi="Century Schoolbook" w:cs="Arial"/>
          <w:b/>
          <w:bCs/>
          <w:kern w:val="0"/>
          <w:sz w:val="28"/>
          <w:szCs w:val="28"/>
          <w14:ligatures w14:val="none"/>
        </w:rPr>
        <w:t>expressly authorized by law</w:t>
      </w:r>
      <w:r w:rsidRPr="00165D19">
        <w:rPr>
          <w:rFonts w:ascii="Century Schoolbook" w:eastAsia="Times New Roman" w:hAnsi="Century Schoolbook" w:cs="Arial"/>
          <w:kern w:val="0"/>
          <w:sz w:val="28"/>
          <w:szCs w:val="28"/>
          <w14:ligatures w14:val="none"/>
        </w:rPr>
        <w:t xml:space="preserve"> to do so."</w:t>
      </w:r>
    </w:p>
    <w:p w14:paraId="234C9682" w14:textId="00A5FB7E" w:rsidR="00165D19" w:rsidRPr="00165D19" w:rsidRDefault="00165D19" w:rsidP="00165D19">
      <w:pPr>
        <w:numPr>
          <w:ilvl w:val="0"/>
          <w:numId w:val="6"/>
        </w:numPr>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b/>
          <w:bCs/>
          <w:kern w:val="0"/>
          <w:sz w:val="28"/>
          <w:szCs w:val="28"/>
          <w14:ligatures w14:val="none"/>
        </w:rPr>
        <w:t>Attorney Conduct:</w:t>
      </w:r>
      <w:r w:rsidRPr="00165D19">
        <w:rPr>
          <w:rFonts w:ascii="Century Schoolbook" w:eastAsia="Times New Roman" w:hAnsi="Century Schoolbook" w:cs="Arial"/>
          <w:kern w:val="0"/>
          <w:sz w:val="28"/>
          <w:szCs w:val="28"/>
          <w14:ligatures w14:val="none"/>
        </w:rPr>
        <w:t xml:space="preserve"> Similarly, ER 3.5(b) prohibits </w:t>
      </w:r>
      <w:r w:rsidRPr="00165D19">
        <w:rPr>
          <w:rFonts w:ascii="Century Schoolbook" w:eastAsia="Times New Roman" w:hAnsi="Century Schoolbook" w:cs="Arial"/>
          <w:i/>
          <w:iCs/>
          <w:kern w:val="0"/>
          <w:sz w:val="28"/>
          <w:szCs w:val="28"/>
          <w14:ligatures w14:val="none"/>
        </w:rPr>
        <w:t>ex</w:t>
      </w:r>
      <w:r w:rsidR="006B557B">
        <w:rPr>
          <w:rFonts w:ascii="Century Schoolbook" w:eastAsia="Times New Roman" w:hAnsi="Century Schoolbook" w:cs="Arial"/>
          <w:i/>
          <w:iCs/>
          <w:kern w:val="0"/>
          <w:sz w:val="28"/>
          <w:szCs w:val="28"/>
          <w14:ligatures w14:val="none"/>
        </w:rPr>
        <w:t xml:space="preserve"> </w:t>
      </w:r>
      <w:r w:rsidRPr="00165D19">
        <w:rPr>
          <w:rFonts w:ascii="Century Schoolbook" w:eastAsia="Times New Roman" w:hAnsi="Century Schoolbook" w:cs="Arial"/>
          <w:i/>
          <w:iCs/>
          <w:kern w:val="0"/>
          <w:sz w:val="28"/>
          <w:szCs w:val="28"/>
          <w14:ligatures w14:val="none"/>
        </w:rPr>
        <w:t>parte</w:t>
      </w:r>
      <w:r w:rsidRPr="00165D19">
        <w:rPr>
          <w:rFonts w:ascii="Century Schoolbook" w:eastAsia="Times New Roman" w:hAnsi="Century Schoolbook" w:cs="Arial"/>
          <w:kern w:val="0"/>
          <w:sz w:val="28"/>
          <w:szCs w:val="28"/>
          <w14:ligatures w14:val="none"/>
        </w:rPr>
        <w:t xml:space="preserve"> communication with a judge "unless authorized to do so by law or court order."</w:t>
      </w:r>
    </w:p>
    <w:p w14:paraId="4C36C98D" w14:textId="48BACB11" w:rsidR="00165D19" w:rsidRDefault="00165D19" w:rsidP="0030490B">
      <w:pPr>
        <w:ind w:firstLine="360"/>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kern w:val="0"/>
          <w:sz w:val="28"/>
          <w:szCs w:val="28"/>
          <w14:ligatures w14:val="none"/>
        </w:rPr>
        <w:lastRenderedPageBreak/>
        <w:t>Currently, the text of the Criminal Rules does not explicitly articulate this authority. This silence creates an unnecessary tension between a lawyer’s ethical obligations and their duty to provide a robust defense.</w:t>
      </w:r>
      <w:r w:rsidR="004E4CEA">
        <w:rPr>
          <w:rFonts w:ascii="Century Schoolbook" w:eastAsia="Times New Roman" w:hAnsi="Century Schoolbook" w:cs="Arial"/>
          <w:kern w:val="0"/>
          <w:sz w:val="28"/>
          <w:szCs w:val="28"/>
          <w14:ligatures w14:val="none"/>
        </w:rPr>
        <w:t xml:space="preserve"> It also restricts judges from exercising their judicial discretion. </w:t>
      </w:r>
    </w:p>
    <w:p w14:paraId="2E5AD2C2" w14:textId="1F2A2723" w:rsidR="004E4CEA" w:rsidRPr="004E4CEA" w:rsidRDefault="004E4CEA" w:rsidP="004E4CEA">
      <w:pPr>
        <w:pStyle w:val="ListParagraph"/>
        <w:numPr>
          <w:ilvl w:val="0"/>
          <w:numId w:val="8"/>
        </w:numPr>
        <w:jc w:val="both"/>
        <w:rPr>
          <w:rFonts w:ascii="Century Schoolbook" w:eastAsia="Times New Roman" w:hAnsi="Century Schoolbook" w:cs="Arial"/>
          <w:b/>
          <w:bCs/>
          <w:kern w:val="0"/>
          <w:sz w:val="28"/>
          <w:szCs w:val="28"/>
          <w:u w:val="single"/>
          <w14:ligatures w14:val="none"/>
        </w:rPr>
      </w:pPr>
      <w:r w:rsidRPr="004E4CEA">
        <w:rPr>
          <w:rFonts w:ascii="Century Schoolbook" w:eastAsia="Times New Roman" w:hAnsi="Century Schoolbook" w:cs="Arial"/>
          <w:b/>
          <w:bCs/>
          <w:kern w:val="0"/>
          <w:sz w:val="28"/>
          <w:szCs w:val="28"/>
          <w:u w:val="single"/>
          <w14:ligatures w14:val="none"/>
        </w:rPr>
        <w:t xml:space="preserve">A </w:t>
      </w:r>
      <w:r w:rsidRPr="004E4CEA">
        <w:rPr>
          <w:rFonts w:ascii="Century Schoolbook" w:eastAsia="Times New Roman" w:hAnsi="Century Schoolbook" w:cs="Arial"/>
          <w:b/>
          <w:bCs/>
          <w:i/>
          <w:iCs/>
          <w:kern w:val="0"/>
          <w:sz w:val="28"/>
          <w:szCs w:val="28"/>
          <w:u w:val="single"/>
          <w14:ligatures w14:val="none"/>
        </w:rPr>
        <w:t>Per Se</w:t>
      </w:r>
      <w:r w:rsidRPr="004E4CEA">
        <w:rPr>
          <w:rFonts w:ascii="Century Schoolbook" w:eastAsia="Times New Roman" w:hAnsi="Century Schoolbook" w:cs="Arial"/>
          <w:b/>
          <w:bCs/>
          <w:kern w:val="0"/>
          <w:sz w:val="28"/>
          <w:szCs w:val="28"/>
          <w:u w:val="single"/>
          <w14:ligatures w14:val="none"/>
        </w:rPr>
        <w:t xml:space="preserve"> Ban on </w:t>
      </w:r>
      <w:r w:rsidRPr="004E4CEA">
        <w:rPr>
          <w:rFonts w:ascii="Century Schoolbook" w:eastAsia="Times New Roman" w:hAnsi="Century Schoolbook" w:cs="Arial"/>
          <w:b/>
          <w:bCs/>
          <w:i/>
          <w:iCs/>
          <w:kern w:val="0"/>
          <w:sz w:val="28"/>
          <w:szCs w:val="28"/>
          <w:u w:val="single"/>
          <w14:ligatures w14:val="none"/>
        </w:rPr>
        <w:t>Ex Parte</w:t>
      </w:r>
      <w:r w:rsidRPr="004E4CEA">
        <w:rPr>
          <w:rFonts w:ascii="Century Schoolbook" w:eastAsia="Times New Roman" w:hAnsi="Century Schoolbook" w:cs="Arial"/>
          <w:b/>
          <w:bCs/>
          <w:kern w:val="0"/>
          <w:sz w:val="28"/>
          <w:szCs w:val="28"/>
          <w:u w:val="single"/>
          <w14:ligatures w14:val="none"/>
        </w:rPr>
        <w:t xml:space="preserve"> Discovery Motions Conflicts with the United States and Arizona Constitutions, and this Court’s Precedent. </w:t>
      </w:r>
    </w:p>
    <w:p w14:paraId="1DDE816A" w14:textId="77777777" w:rsidR="00165D19" w:rsidRPr="00165D19" w:rsidRDefault="00165D19" w:rsidP="00165D19">
      <w:pPr>
        <w:ind w:firstLine="360"/>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kern w:val="0"/>
          <w:sz w:val="28"/>
          <w:szCs w:val="28"/>
          <w14:ligatures w14:val="none"/>
        </w:rPr>
        <w:t xml:space="preserve">A criminal defendant’s right to a thorough investigation is a cornerstone of the Sixth Amendment. As noted in </w:t>
      </w:r>
      <w:r w:rsidRPr="00165D19">
        <w:rPr>
          <w:rFonts w:ascii="Century Schoolbook" w:eastAsia="Times New Roman" w:hAnsi="Century Schoolbook" w:cs="Arial"/>
          <w:i/>
          <w:iCs/>
          <w:kern w:val="0"/>
          <w:sz w:val="28"/>
          <w:szCs w:val="28"/>
          <w14:ligatures w14:val="none"/>
        </w:rPr>
        <w:t>Morehart v. Barton</w:t>
      </w:r>
      <w:r w:rsidRPr="00165D19">
        <w:rPr>
          <w:rFonts w:ascii="Century Schoolbook" w:eastAsia="Times New Roman" w:hAnsi="Century Schoolbook" w:cs="Arial"/>
          <w:kern w:val="0"/>
          <w:sz w:val="28"/>
          <w:szCs w:val="28"/>
          <w14:ligatures w14:val="none"/>
        </w:rPr>
        <w:t>, 226 Ariz. 510, ¶ 22 (2011), a defendant’s need for an exhaustive investigation outweighs the prosecution’s interest in monitoring the defense’s strategy or investigative leads.</w:t>
      </w:r>
    </w:p>
    <w:p w14:paraId="7C176EDC" w14:textId="77777777" w:rsidR="00165D19" w:rsidRPr="00165D19" w:rsidRDefault="00165D19" w:rsidP="00165D19">
      <w:pPr>
        <w:ind w:firstLine="360"/>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kern w:val="0"/>
          <w:sz w:val="28"/>
          <w:szCs w:val="28"/>
          <w14:ligatures w14:val="none"/>
        </w:rPr>
        <w:t xml:space="preserve">The necessity for </w:t>
      </w:r>
      <w:r w:rsidRPr="00165D19">
        <w:rPr>
          <w:rFonts w:ascii="Century Schoolbook" w:eastAsia="Times New Roman" w:hAnsi="Century Schoolbook" w:cs="Arial"/>
          <w:i/>
          <w:iCs/>
          <w:kern w:val="0"/>
          <w:sz w:val="28"/>
          <w:szCs w:val="28"/>
          <w14:ligatures w14:val="none"/>
        </w:rPr>
        <w:t>ex parte</w:t>
      </w:r>
      <w:r w:rsidRPr="00165D19">
        <w:rPr>
          <w:rFonts w:ascii="Century Schoolbook" w:eastAsia="Times New Roman" w:hAnsi="Century Schoolbook" w:cs="Arial"/>
          <w:kern w:val="0"/>
          <w:sz w:val="28"/>
          <w:szCs w:val="28"/>
          <w14:ligatures w14:val="none"/>
        </w:rPr>
        <w:t xml:space="preserve"> proceedings is implicit when one considers the dual requirements of:</w:t>
      </w:r>
    </w:p>
    <w:p w14:paraId="2A04E655" w14:textId="77777777" w:rsidR="00165D19" w:rsidRPr="00165D19" w:rsidRDefault="00165D19" w:rsidP="00165D19">
      <w:pPr>
        <w:numPr>
          <w:ilvl w:val="0"/>
          <w:numId w:val="7"/>
        </w:numPr>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b/>
          <w:bCs/>
          <w:kern w:val="0"/>
          <w:sz w:val="28"/>
          <w:szCs w:val="28"/>
          <w14:ligatures w14:val="none"/>
        </w:rPr>
        <w:t>Aggressive Investigation:</w:t>
      </w:r>
      <w:r w:rsidRPr="00165D19">
        <w:rPr>
          <w:rFonts w:ascii="Century Schoolbook" w:eastAsia="Times New Roman" w:hAnsi="Century Schoolbook" w:cs="Arial"/>
          <w:kern w:val="0"/>
          <w:sz w:val="28"/>
          <w:szCs w:val="28"/>
          <w14:ligatures w14:val="none"/>
        </w:rPr>
        <w:t xml:space="preserve"> The duty to seek out all mitigating or exculpatory evidence.</w:t>
      </w:r>
    </w:p>
    <w:p w14:paraId="190520D3" w14:textId="77777777" w:rsidR="00165D19" w:rsidRPr="00165D19" w:rsidRDefault="00165D19" w:rsidP="00165D19">
      <w:pPr>
        <w:numPr>
          <w:ilvl w:val="0"/>
          <w:numId w:val="7"/>
        </w:numPr>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b/>
          <w:bCs/>
          <w:kern w:val="0"/>
          <w:sz w:val="28"/>
          <w:szCs w:val="28"/>
          <w14:ligatures w14:val="none"/>
        </w:rPr>
        <w:t>Privilege Protection:</w:t>
      </w:r>
      <w:r w:rsidRPr="00165D19">
        <w:rPr>
          <w:rFonts w:ascii="Century Schoolbook" w:eastAsia="Times New Roman" w:hAnsi="Century Schoolbook" w:cs="Arial"/>
          <w:kern w:val="0"/>
          <w:sz w:val="28"/>
          <w:szCs w:val="28"/>
          <w14:ligatures w14:val="none"/>
        </w:rPr>
        <w:t xml:space="preserve"> The requirement to shield the work product and strategy of the defense until such information is legally required to be disclosed.</w:t>
      </w:r>
    </w:p>
    <w:p w14:paraId="74C8FF3D" w14:textId="77777777" w:rsidR="00165D19" w:rsidRPr="00165D19" w:rsidRDefault="00165D19" w:rsidP="00165D19">
      <w:pPr>
        <w:ind w:firstLine="360"/>
        <w:jc w:val="both"/>
        <w:rPr>
          <w:rFonts w:ascii="Century Schoolbook" w:eastAsia="Times New Roman" w:hAnsi="Century Schoolbook" w:cs="Arial"/>
          <w:kern w:val="0"/>
          <w:sz w:val="28"/>
          <w:szCs w:val="28"/>
          <w14:ligatures w14:val="none"/>
        </w:rPr>
      </w:pPr>
      <w:r w:rsidRPr="00165D19">
        <w:rPr>
          <w:rFonts w:ascii="Century Schoolbook" w:eastAsia="Times New Roman" w:hAnsi="Century Schoolbook" w:cs="Arial"/>
          <w:kern w:val="0"/>
          <w:sz w:val="28"/>
          <w:szCs w:val="28"/>
          <w14:ligatures w14:val="none"/>
        </w:rPr>
        <w:t xml:space="preserve">Without the ability to move the court </w:t>
      </w:r>
      <w:r w:rsidRPr="00165D19">
        <w:rPr>
          <w:rFonts w:ascii="Century Schoolbook" w:eastAsia="Times New Roman" w:hAnsi="Century Schoolbook" w:cs="Arial"/>
          <w:i/>
          <w:iCs/>
          <w:kern w:val="0"/>
          <w:sz w:val="28"/>
          <w:szCs w:val="28"/>
          <w14:ligatures w14:val="none"/>
        </w:rPr>
        <w:t>ex parte</w:t>
      </w:r>
      <w:r w:rsidRPr="00165D19">
        <w:rPr>
          <w:rFonts w:ascii="Century Schoolbook" w:eastAsia="Times New Roman" w:hAnsi="Century Schoolbook" w:cs="Arial"/>
          <w:kern w:val="0"/>
          <w:sz w:val="28"/>
          <w:szCs w:val="28"/>
          <w14:ligatures w14:val="none"/>
        </w:rPr>
        <w:t xml:space="preserve"> for discovery resources or orders, a defendant is often forced to "tip their hand" to the State, effectively granting the prosecution a roadmap of the defense’s mental impressions and investigative theories.</w:t>
      </w:r>
    </w:p>
    <w:p w14:paraId="33BB06A1" w14:textId="77777777" w:rsidR="0042250E" w:rsidRDefault="00165D19" w:rsidP="00165D19">
      <w:pPr>
        <w:ind w:firstLine="360"/>
        <w:jc w:val="both"/>
        <w:rPr>
          <w:rFonts w:ascii="Century Schoolbook" w:eastAsia="Times New Roman" w:hAnsi="Century Schoolbook" w:cs="Arial"/>
          <w:kern w:val="0"/>
          <w:sz w:val="28"/>
          <w:szCs w:val="28"/>
          <w14:ligatures w14:val="none"/>
        </w:rPr>
      </w:pPr>
      <w:r>
        <w:rPr>
          <w:rFonts w:ascii="Century Schoolbook" w:eastAsia="Times New Roman" w:hAnsi="Century Schoolbook" w:cs="Arial"/>
          <w:kern w:val="0"/>
          <w:sz w:val="28"/>
          <w:szCs w:val="28"/>
          <w14:ligatures w14:val="none"/>
        </w:rPr>
        <w:t>These</w:t>
      </w:r>
      <w:r w:rsidRPr="00165D19">
        <w:rPr>
          <w:rFonts w:ascii="Century Schoolbook" w:eastAsia="Times New Roman" w:hAnsi="Century Schoolbook" w:cs="Arial"/>
          <w:kern w:val="0"/>
          <w:sz w:val="28"/>
          <w:szCs w:val="28"/>
          <w14:ligatures w14:val="none"/>
        </w:rPr>
        <w:t xml:space="preserve"> change</w:t>
      </w:r>
      <w:r>
        <w:rPr>
          <w:rFonts w:ascii="Century Schoolbook" w:eastAsia="Times New Roman" w:hAnsi="Century Schoolbook" w:cs="Arial"/>
          <w:kern w:val="0"/>
          <w:sz w:val="28"/>
          <w:szCs w:val="28"/>
          <w14:ligatures w14:val="none"/>
        </w:rPr>
        <w:t>s</w:t>
      </w:r>
      <w:r w:rsidRPr="00165D19">
        <w:rPr>
          <w:rFonts w:ascii="Century Schoolbook" w:eastAsia="Times New Roman" w:hAnsi="Century Schoolbook" w:cs="Arial"/>
          <w:kern w:val="0"/>
          <w:sz w:val="28"/>
          <w:szCs w:val="28"/>
          <w14:ligatures w14:val="none"/>
        </w:rPr>
        <w:t xml:space="preserve"> would simply </w:t>
      </w:r>
      <w:r w:rsidRPr="00165D19">
        <w:rPr>
          <w:rFonts w:ascii="Century Schoolbook" w:eastAsia="Times New Roman" w:hAnsi="Century Schoolbook" w:cs="Arial"/>
          <w:b/>
          <w:bCs/>
          <w:kern w:val="0"/>
          <w:sz w:val="28"/>
          <w:szCs w:val="28"/>
          <w14:ligatures w14:val="none"/>
        </w:rPr>
        <w:t>codify what has always been the practice</w:t>
      </w:r>
      <w:r w:rsidRPr="00165D19">
        <w:rPr>
          <w:rFonts w:ascii="Century Schoolbook" w:eastAsia="Times New Roman" w:hAnsi="Century Schoolbook" w:cs="Arial"/>
          <w:kern w:val="0"/>
          <w:sz w:val="28"/>
          <w:szCs w:val="28"/>
          <w14:ligatures w14:val="none"/>
        </w:rPr>
        <w:t xml:space="preserve"> in our courts—ensuring that the rules of procedure reflect the reality of constitutional criminal defense and provide much-needed </w:t>
      </w:r>
      <w:r>
        <w:rPr>
          <w:rFonts w:ascii="Century Schoolbook" w:eastAsia="Times New Roman" w:hAnsi="Century Schoolbook" w:cs="Arial"/>
          <w:kern w:val="0"/>
          <w:sz w:val="28"/>
          <w:szCs w:val="28"/>
          <w14:ligatures w14:val="none"/>
        </w:rPr>
        <w:t>clarity.</w:t>
      </w:r>
      <w:r w:rsidR="004E4CEA">
        <w:rPr>
          <w:rFonts w:ascii="Century Schoolbook" w:eastAsia="Times New Roman" w:hAnsi="Century Schoolbook" w:cs="Arial"/>
          <w:kern w:val="0"/>
          <w:sz w:val="28"/>
          <w:szCs w:val="28"/>
          <w14:ligatures w14:val="none"/>
        </w:rPr>
        <w:t xml:space="preserve"> </w:t>
      </w:r>
    </w:p>
    <w:p w14:paraId="38467A29" w14:textId="2718C0BA" w:rsidR="00DE4C84" w:rsidRPr="00DE4C84" w:rsidRDefault="00082E9F" w:rsidP="00DE4C84">
      <w:pPr>
        <w:ind w:firstLine="360"/>
        <w:jc w:val="both"/>
        <w:rPr>
          <w:rFonts w:ascii="Century Schoolbook" w:eastAsia="Times New Roman" w:hAnsi="Century Schoolbook" w:cs="Arial"/>
          <w:kern w:val="0"/>
          <w:sz w:val="28"/>
          <w:szCs w:val="28"/>
          <w14:ligatures w14:val="none"/>
        </w:rPr>
      </w:pPr>
      <w:r>
        <w:rPr>
          <w:rFonts w:ascii="Century Schoolbook" w:eastAsia="Times New Roman" w:hAnsi="Century Schoolbook" w:cs="Arial"/>
          <w:kern w:val="0"/>
          <w:sz w:val="28"/>
          <w:szCs w:val="28"/>
          <w14:ligatures w14:val="none"/>
        </w:rPr>
        <w:t xml:space="preserve">As a member of the capital defense bar for over 10 years who routinely works with and consults with other members of the capital defense bar, undersigned counsel can represent that </w:t>
      </w:r>
      <w:r w:rsidR="00F67614" w:rsidRPr="00DE4C84">
        <w:rPr>
          <w:rFonts w:ascii="Century Schoolbook" w:eastAsia="Times New Roman" w:hAnsi="Century Schoolbook" w:cs="Arial"/>
          <w:i/>
          <w:iCs/>
          <w:kern w:val="0"/>
          <w:sz w:val="28"/>
          <w:szCs w:val="28"/>
          <w14:ligatures w14:val="none"/>
        </w:rPr>
        <w:t>ex</w:t>
      </w:r>
      <w:r w:rsidR="00F67614">
        <w:rPr>
          <w:rFonts w:ascii="Century Schoolbook" w:eastAsia="Times New Roman" w:hAnsi="Century Schoolbook" w:cs="Arial"/>
          <w:i/>
          <w:iCs/>
          <w:kern w:val="0"/>
          <w:sz w:val="28"/>
          <w:szCs w:val="28"/>
          <w14:ligatures w14:val="none"/>
        </w:rPr>
        <w:t xml:space="preserve"> </w:t>
      </w:r>
      <w:r w:rsidR="00F67614" w:rsidRPr="00DE4C84">
        <w:rPr>
          <w:rFonts w:ascii="Century Schoolbook" w:eastAsia="Times New Roman" w:hAnsi="Century Schoolbook" w:cs="Arial"/>
          <w:i/>
          <w:iCs/>
          <w:kern w:val="0"/>
          <w:sz w:val="28"/>
          <w:szCs w:val="28"/>
          <w14:ligatures w14:val="none"/>
        </w:rPr>
        <w:t>parte</w:t>
      </w:r>
      <w:r w:rsidR="00DE4C84" w:rsidRPr="00DE4C84">
        <w:rPr>
          <w:rFonts w:ascii="Century Schoolbook" w:eastAsia="Times New Roman" w:hAnsi="Century Schoolbook" w:cs="Arial"/>
          <w:kern w:val="0"/>
          <w:sz w:val="28"/>
          <w:szCs w:val="28"/>
          <w14:ligatures w14:val="none"/>
        </w:rPr>
        <w:t xml:space="preserve"> discovery requests are both routine and constitutionally necessary. As part of the mandated mitigation investigation, counsel must secure sensitive records and </w:t>
      </w:r>
      <w:r w:rsidR="00AD646B">
        <w:rPr>
          <w:rFonts w:ascii="Century Schoolbook" w:eastAsia="Times New Roman" w:hAnsi="Century Schoolbook" w:cs="Arial"/>
          <w:kern w:val="0"/>
          <w:sz w:val="28"/>
          <w:szCs w:val="28"/>
          <w14:ligatures w14:val="none"/>
        </w:rPr>
        <w:lastRenderedPageBreak/>
        <w:t xml:space="preserve">retain experts to </w:t>
      </w:r>
      <w:r w:rsidR="00DE4C84" w:rsidRPr="00DE4C84">
        <w:rPr>
          <w:rFonts w:ascii="Century Schoolbook" w:eastAsia="Times New Roman" w:hAnsi="Century Schoolbook" w:cs="Arial"/>
          <w:kern w:val="0"/>
          <w:sz w:val="28"/>
          <w:szCs w:val="28"/>
          <w14:ligatures w14:val="none"/>
        </w:rPr>
        <w:t>administer psychological or medical evaluations</w:t>
      </w:r>
      <w:r w:rsidR="00AD646B">
        <w:rPr>
          <w:rFonts w:ascii="Century Schoolbook" w:eastAsia="Times New Roman" w:hAnsi="Century Schoolbook" w:cs="Arial"/>
          <w:kern w:val="0"/>
          <w:sz w:val="28"/>
          <w:szCs w:val="28"/>
          <w14:ligatures w14:val="none"/>
        </w:rPr>
        <w:t xml:space="preserve">. Records and </w:t>
      </w:r>
      <w:r w:rsidR="00843C93">
        <w:rPr>
          <w:rFonts w:ascii="Century Schoolbook" w:eastAsia="Times New Roman" w:hAnsi="Century Schoolbook" w:cs="Arial"/>
          <w:kern w:val="0"/>
          <w:sz w:val="28"/>
          <w:szCs w:val="28"/>
          <w14:ligatures w14:val="none"/>
        </w:rPr>
        <w:t>evaluations often</w:t>
      </w:r>
      <w:r w:rsidR="00DE4C84" w:rsidRPr="00DE4C84">
        <w:rPr>
          <w:rFonts w:ascii="Century Schoolbook" w:eastAsia="Times New Roman" w:hAnsi="Century Schoolbook" w:cs="Arial"/>
          <w:kern w:val="0"/>
          <w:sz w:val="28"/>
          <w:szCs w:val="28"/>
          <w14:ligatures w14:val="none"/>
        </w:rPr>
        <w:t xml:space="preserve"> require court orders to proceed</w:t>
      </w:r>
      <w:r>
        <w:rPr>
          <w:rFonts w:ascii="Century Schoolbook" w:eastAsia="Times New Roman" w:hAnsi="Century Schoolbook" w:cs="Arial"/>
          <w:kern w:val="0"/>
          <w:sz w:val="28"/>
          <w:szCs w:val="28"/>
          <w14:ligatures w14:val="none"/>
        </w:rPr>
        <w:t>, and the criminal rules require disclosure of confidential information to obtain those orders</w:t>
      </w:r>
      <w:r w:rsidR="00DE4C84" w:rsidRPr="00DE4C84">
        <w:rPr>
          <w:rFonts w:ascii="Century Schoolbook" w:eastAsia="Times New Roman" w:hAnsi="Century Schoolbook" w:cs="Arial"/>
          <w:kern w:val="0"/>
          <w:sz w:val="28"/>
          <w:szCs w:val="28"/>
          <w14:ligatures w14:val="none"/>
        </w:rPr>
        <w:t xml:space="preserve">. </w:t>
      </w:r>
      <w:r>
        <w:rPr>
          <w:rFonts w:ascii="Century Schoolbook" w:eastAsia="Times New Roman" w:hAnsi="Century Schoolbook" w:cs="Arial"/>
          <w:kern w:val="0"/>
          <w:sz w:val="28"/>
          <w:szCs w:val="28"/>
          <w14:ligatures w14:val="none"/>
        </w:rPr>
        <w:t xml:space="preserve"> Ariz. R. Crim. P. 15.1(g) (requiring showings of “substantial need for the material or information to prepare the defendant’s case” and inability to obtain substantial equivalent without undue hardship); 32.6(b)(1). </w:t>
      </w:r>
      <w:r w:rsidR="00DE4C84" w:rsidRPr="00DE4C84">
        <w:rPr>
          <w:rFonts w:ascii="Century Schoolbook" w:eastAsia="Times New Roman" w:hAnsi="Century Schoolbook" w:cs="Arial"/>
          <w:kern w:val="0"/>
          <w:sz w:val="28"/>
          <w:szCs w:val="28"/>
          <w14:ligatures w14:val="none"/>
        </w:rPr>
        <w:t>Counsel is duty-bound to protect the sanctity of this ongoing investigation; disclosing initial efforts would jeopardize the defense’s strategy</w:t>
      </w:r>
      <w:r w:rsidR="007E17F2">
        <w:rPr>
          <w:rFonts w:ascii="Century Schoolbook" w:eastAsia="Times New Roman" w:hAnsi="Century Schoolbook" w:cs="Arial"/>
          <w:kern w:val="0"/>
          <w:sz w:val="28"/>
          <w:szCs w:val="28"/>
          <w14:ligatures w14:val="none"/>
        </w:rPr>
        <w:t>, purpose, and function</w:t>
      </w:r>
      <w:r w:rsidR="00DE4C84" w:rsidRPr="00DE4C84">
        <w:rPr>
          <w:rFonts w:ascii="Century Schoolbook" w:eastAsia="Times New Roman" w:hAnsi="Century Schoolbook" w:cs="Arial"/>
          <w:kern w:val="0"/>
          <w:sz w:val="28"/>
          <w:szCs w:val="28"/>
          <w14:ligatures w14:val="none"/>
        </w:rPr>
        <w:t>. Premature or piecemeal disclosure to the State would not only prejudice the defendant but would violate their due process rights under both the Arizona and United States Constitutions.</w:t>
      </w:r>
    </w:p>
    <w:p w14:paraId="02C94EF0" w14:textId="079B1445" w:rsidR="00DE4C84" w:rsidRDefault="00DE4C84" w:rsidP="00DE4C84">
      <w:pPr>
        <w:ind w:firstLine="360"/>
        <w:jc w:val="both"/>
        <w:rPr>
          <w:rFonts w:ascii="Century Schoolbook" w:eastAsia="Times New Roman" w:hAnsi="Century Schoolbook" w:cs="Arial"/>
          <w:kern w:val="0"/>
          <w:sz w:val="28"/>
          <w:szCs w:val="28"/>
          <w14:ligatures w14:val="none"/>
        </w:rPr>
      </w:pPr>
      <w:r w:rsidRPr="00DE4C84">
        <w:rPr>
          <w:rFonts w:ascii="Century Schoolbook" w:eastAsia="Times New Roman" w:hAnsi="Century Schoolbook" w:cs="Arial"/>
          <w:kern w:val="0"/>
          <w:sz w:val="28"/>
          <w:szCs w:val="28"/>
          <w14:ligatures w14:val="none"/>
        </w:rPr>
        <w:t xml:space="preserve">Furthermore, forced disclosure at this stage would infringe upon the confidential nature of the mitigation process. </w:t>
      </w:r>
      <w:r w:rsidR="006B557B">
        <w:rPr>
          <w:rFonts w:ascii="Century Schoolbook" w:eastAsia="Times New Roman" w:hAnsi="Century Schoolbook" w:cs="Arial"/>
          <w:kern w:val="0"/>
          <w:sz w:val="28"/>
          <w:szCs w:val="28"/>
          <w14:ligatures w14:val="none"/>
        </w:rPr>
        <w:t>The Guidelines</w:t>
      </w:r>
      <w:r w:rsidR="007018D1">
        <w:rPr>
          <w:rFonts w:ascii="Century Schoolbook" w:eastAsia="Times New Roman" w:hAnsi="Century Schoolbook" w:cs="Arial"/>
          <w:kern w:val="0"/>
          <w:sz w:val="28"/>
          <w:szCs w:val="28"/>
          <w14:ligatures w14:val="none"/>
        </w:rPr>
        <w:t xml:space="preserve"> provide </w:t>
      </w:r>
      <w:r w:rsidR="006B557B">
        <w:rPr>
          <w:rFonts w:ascii="Century Schoolbook" w:eastAsia="Times New Roman" w:hAnsi="Century Schoolbook" w:cs="Arial"/>
          <w:kern w:val="0"/>
          <w:sz w:val="28"/>
          <w:szCs w:val="28"/>
          <w14:ligatures w14:val="none"/>
        </w:rPr>
        <w:t xml:space="preserve">that </w:t>
      </w:r>
      <w:r w:rsidR="007018D1">
        <w:rPr>
          <w:rFonts w:ascii="Century Schoolbook" w:eastAsia="Times New Roman" w:hAnsi="Century Schoolbook" w:cs="Arial"/>
          <w:kern w:val="0"/>
          <w:sz w:val="28"/>
          <w:szCs w:val="28"/>
          <w14:ligatures w14:val="none"/>
        </w:rPr>
        <w:t xml:space="preserve">the </w:t>
      </w:r>
      <w:r w:rsidR="00B826CF">
        <w:rPr>
          <w:rFonts w:ascii="Century Schoolbook" w:eastAsia="Times New Roman" w:hAnsi="Century Schoolbook" w:cs="Arial"/>
          <w:kern w:val="0"/>
          <w:sz w:val="28"/>
          <w:szCs w:val="28"/>
          <w14:ligatures w14:val="none"/>
        </w:rPr>
        <w:t xml:space="preserve">mitigation investigation must be performed independently and confidentially. </w:t>
      </w:r>
      <w:r w:rsidR="00B826CF">
        <w:rPr>
          <w:rFonts w:ascii="Century Schoolbook" w:eastAsia="Times New Roman" w:hAnsi="Century Schoolbook" w:cs="Arial"/>
          <w:i/>
          <w:iCs/>
          <w:kern w:val="0"/>
          <w:sz w:val="28"/>
          <w:szCs w:val="28"/>
          <w14:ligatures w14:val="none"/>
        </w:rPr>
        <w:t>American Bar Association’s Guidelines for Appointment and Performance of Defense Counsel in Death Penalty Cases, Guideline 4.1(B)</w:t>
      </w:r>
      <w:r w:rsidR="00082E9F">
        <w:rPr>
          <w:rFonts w:ascii="Century Schoolbook" w:eastAsia="Times New Roman" w:hAnsi="Century Schoolbook" w:cs="Arial"/>
          <w:i/>
          <w:iCs/>
          <w:kern w:val="0"/>
          <w:sz w:val="28"/>
          <w:szCs w:val="28"/>
          <w14:ligatures w14:val="none"/>
        </w:rPr>
        <w:t xml:space="preserve"> </w:t>
      </w:r>
      <w:r w:rsidR="00082E9F">
        <w:rPr>
          <w:rFonts w:ascii="Century Schoolbook" w:eastAsia="Times New Roman" w:hAnsi="Century Schoolbook" w:cs="Arial"/>
          <w:kern w:val="0"/>
          <w:sz w:val="28"/>
          <w:szCs w:val="28"/>
          <w14:ligatures w14:val="none"/>
        </w:rPr>
        <w:t xml:space="preserve">and </w:t>
      </w:r>
      <w:r w:rsidR="00082E9F" w:rsidRPr="00082E9F">
        <w:rPr>
          <w:rFonts w:ascii="Century Schoolbook" w:eastAsia="Times New Roman" w:hAnsi="Century Schoolbook" w:cs="Arial"/>
          <w:i/>
          <w:iCs/>
          <w:kern w:val="0"/>
          <w:sz w:val="28"/>
          <w:szCs w:val="28"/>
          <w14:ligatures w14:val="none"/>
        </w:rPr>
        <w:t>Guideline 10.15.1</w:t>
      </w:r>
      <w:r w:rsidR="00B826CF">
        <w:rPr>
          <w:rFonts w:ascii="Century Schoolbook" w:eastAsia="Times New Roman" w:hAnsi="Century Schoolbook" w:cs="Arial"/>
          <w:i/>
          <w:iCs/>
          <w:kern w:val="0"/>
          <w:sz w:val="28"/>
          <w:szCs w:val="28"/>
          <w14:ligatures w14:val="none"/>
        </w:rPr>
        <w:t xml:space="preserve">. </w:t>
      </w:r>
      <w:r w:rsidRPr="00B826CF">
        <w:rPr>
          <w:rFonts w:ascii="Century Schoolbook" w:eastAsia="Times New Roman" w:hAnsi="Century Schoolbook" w:cs="Arial"/>
          <w:kern w:val="0"/>
          <w:sz w:val="28"/>
          <w:szCs w:val="28"/>
          <w14:ligatures w14:val="none"/>
        </w:rPr>
        <w:t>Because</w:t>
      </w:r>
      <w:r w:rsidRPr="00DE4C84">
        <w:rPr>
          <w:rFonts w:ascii="Century Schoolbook" w:eastAsia="Times New Roman" w:hAnsi="Century Schoolbook" w:cs="Arial"/>
          <w:kern w:val="0"/>
          <w:sz w:val="28"/>
          <w:szCs w:val="28"/>
          <w14:ligatures w14:val="none"/>
        </w:rPr>
        <w:t xml:space="preserve"> the investigation reflects counsel’s preliminary opinions and theories, it is strictly protected by the work-product doctrine, as established in </w:t>
      </w:r>
      <w:r w:rsidRPr="00DE4C84">
        <w:rPr>
          <w:rFonts w:ascii="Century Schoolbook" w:eastAsia="Times New Roman" w:hAnsi="Century Schoolbook" w:cs="Arial"/>
          <w:i/>
          <w:iCs/>
          <w:kern w:val="0"/>
          <w:sz w:val="28"/>
          <w:szCs w:val="28"/>
          <w14:ligatures w14:val="none"/>
        </w:rPr>
        <w:t>Hickman v. Taylor</w:t>
      </w:r>
      <w:r w:rsidRPr="00DE4C84">
        <w:rPr>
          <w:rFonts w:ascii="Century Schoolbook" w:eastAsia="Times New Roman" w:hAnsi="Century Schoolbook" w:cs="Arial"/>
          <w:kern w:val="0"/>
          <w:sz w:val="28"/>
          <w:szCs w:val="28"/>
          <w14:ligatures w14:val="none"/>
        </w:rPr>
        <w:t>, 329 U.S. 495 (1947), and codified in Rule 15.4(b)(1) of the Arizona Rules of Criminal Procedure.</w:t>
      </w:r>
    </w:p>
    <w:p w14:paraId="57056D07" w14:textId="42688A7D" w:rsidR="0079132F" w:rsidRPr="00DE4C84" w:rsidRDefault="006B2274" w:rsidP="00DE4C84">
      <w:pPr>
        <w:ind w:firstLine="360"/>
        <w:jc w:val="both"/>
        <w:rPr>
          <w:rFonts w:ascii="Century Schoolbook" w:eastAsia="Times New Roman" w:hAnsi="Century Schoolbook" w:cs="Arial"/>
          <w:kern w:val="0"/>
          <w:sz w:val="28"/>
          <w:szCs w:val="28"/>
          <w14:ligatures w14:val="none"/>
        </w:rPr>
      </w:pPr>
      <w:r>
        <w:rPr>
          <w:rFonts w:ascii="Century Schoolbook" w:eastAsia="Times New Roman" w:hAnsi="Century Schoolbook" w:cs="Arial"/>
          <w:kern w:val="0"/>
          <w:sz w:val="28"/>
          <w:szCs w:val="28"/>
          <w14:ligatures w14:val="none"/>
        </w:rPr>
        <w:t xml:space="preserve">The written text of </w:t>
      </w:r>
      <w:r w:rsidR="0079132F">
        <w:rPr>
          <w:rFonts w:ascii="Century Schoolbook" w:eastAsia="Times New Roman" w:hAnsi="Century Schoolbook" w:cs="Arial"/>
          <w:b/>
          <w:bCs/>
          <w:kern w:val="0"/>
          <w:sz w:val="28"/>
          <w:szCs w:val="28"/>
          <w14:ligatures w14:val="none"/>
        </w:rPr>
        <w:t>Rule</w:t>
      </w:r>
      <w:r>
        <w:rPr>
          <w:rFonts w:ascii="Century Schoolbook" w:eastAsia="Times New Roman" w:hAnsi="Century Schoolbook" w:cs="Arial"/>
          <w:b/>
          <w:bCs/>
          <w:kern w:val="0"/>
          <w:sz w:val="28"/>
          <w:szCs w:val="28"/>
          <w14:ligatures w14:val="none"/>
        </w:rPr>
        <w:t>s</w:t>
      </w:r>
      <w:r w:rsidR="0079132F">
        <w:rPr>
          <w:rFonts w:ascii="Century Schoolbook" w:eastAsia="Times New Roman" w:hAnsi="Century Schoolbook" w:cs="Arial"/>
          <w:b/>
          <w:bCs/>
          <w:kern w:val="0"/>
          <w:sz w:val="28"/>
          <w:szCs w:val="28"/>
          <w14:ligatures w14:val="none"/>
        </w:rPr>
        <w:t xml:space="preserve"> 1.9, 15.1, 32.6</w:t>
      </w:r>
      <w:r w:rsidR="00610A64">
        <w:rPr>
          <w:rFonts w:ascii="Century Schoolbook" w:eastAsia="Times New Roman" w:hAnsi="Century Schoolbook" w:cs="Arial"/>
          <w:b/>
          <w:bCs/>
          <w:kern w:val="0"/>
          <w:sz w:val="28"/>
          <w:szCs w:val="28"/>
          <w14:ligatures w14:val="none"/>
        </w:rPr>
        <w:t>,</w:t>
      </w:r>
      <w:r w:rsidR="0079132F">
        <w:rPr>
          <w:rFonts w:ascii="Century Schoolbook" w:eastAsia="Times New Roman" w:hAnsi="Century Schoolbook" w:cs="Arial"/>
          <w:b/>
          <w:bCs/>
          <w:kern w:val="0"/>
          <w:sz w:val="28"/>
          <w:szCs w:val="28"/>
          <w14:ligatures w14:val="none"/>
        </w:rPr>
        <w:t xml:space="preserve"> and 33.6</w:t>
      </w:r>
      <w:r w:rsidR="0079132F" w:rsidRPr="00165D19">
        <w:rPr>
          <w:rFonts w:ascii="Century Schoolbook" w:eastAsia="Times New Roman" w:hAnsi="Century Schoolbook" w:cs="Arial"/>
          <w:kern w:val="0"/>
          <w:sz w:val="28"/>
          <w:szCs w:val="28"/>
          <w14:ligatures w14:val="none"/>
        </w:rPr>
        <w:t xml:space="preserve"> </w:t>
      </w:r>
      <w:r>
        <w:rPr>
          <w:rFonts w:ascii="Century Schoolbook" w:eastAsia="Times New Roman" w:hAnsi="Century Schoolbook" w:cs="Arial"/>
          <w:kern w:val="0"/>
          <w:sz w:val="28"/>
          <w:szCs w:val="28"/>
          <w14:ligatures w14:val="none"/>
        </w:rPr>
        <w:t xml:space="preserve">must align </w:t>
      </w:r>
      <w:r w:rsidR="0079132F" w:rsidRPr="00165D19">
        <w:rPr>
          <w:rFonts w:ascii="Century Schoolbook" w:eastAsia="Times New Roman" w:hAnsi="Century Schoolbook" w:cs="Arial"/>
          <w:kern w:val="0"/>
          <w:sz w:val="28"/>
          <w:szCs w:val="28"/>
          <w14:ligatures w14:val="none"/>
        </w:rPr>
        <w:t>with both long-standing judicial practice and the constitutional mandates of effective advocacy.</w:t>
      </w:r>
    </w:p>
    <w:p w14:paraId="4B2FC683" w14:textId="77777777" w:rsidR="00461919" w:rsidRDefault="00461919" w:rsidP="00461919">
      <w:pPr>
        <w:widowControl w:val="0"/>
        <w:spacing w:after="0" w:line="240" w:lineRule="auto"/>
        <w:ind w:firstLine="720"/>
        <w:jc w:val="both"/>
        <w:rPr>
          <w:rFonts w:ascii="Century Schoolbook" w:eastAsia="Times New Roman" w:hAnsi="Century Schoolbook" w:cs="Arial"/>
          <w:kern w:val="0"/>
          <w:sz w:val="28"/>
          <w:szCs w:val="28"/>
          <w14:ligatures w14:val="none"/>
        </w:rPr>
      </w:pPr>
    </w:p>
    <w:p w14:paraId="55D581B4" w14:textId="18C01856" w:rsidR="002F2A6D" w:rsidRPr="002F2A6D" w:rsidRDefault="002F2A6D" w:rsidP="00461919">
      <w:pPr>
        <w:widowControl w:val="0"/>
        <w:spacing w:after="0" w:line="240" w:lineRule="auto"/>
        <w:ind w:firstLine="720"/>
        <w:jc w:val="both"/>
        <w:rPr>
          <w:rFonts w:ascii="Century Schoolbook" w:eastAsia="Times New Roman" w:hAnsi="Century Schoolbook" w:cs="Arial"/>
          <w:kern w:val="0"/>
          <w:sz w:val="28"/>
          <w:szCs w:val="28"/>
          <w14:ligatures w14:val="none"/>
        </w:rPr>
      </w:pPr>
      <w:r w:rsidRPr="002F2A6D">
        <w:rPr>
          <w:rFonts w:ascii="Century Schoolbook" w:eastAsia="Times New Roman" w:hAnsi="Century Schoolbook" w:cs="Arial"/>
          <w:kern w:val="0"/>
          <w:sz w:val="28"/>
          <w:szCs w:val="28"/>
          <w14:ligatures w14:val="none"/>
        </w:rPr>
        <w:t>RESPECTFULLY SUBMITTED th</w:t>
      </w:r>
      <w:r>
        <w:rPr>
          <w:rFonts w:ascii="Century Schoolbook" w:eastAsia="Times New Roman" w:hAnsi="Century Schoolbook" w:cs="Arial"/>
          <w:kern w:val="0"/>
          <w:sz w:val="28"/>
          <w:szCs w:val="28"/>
          <w14:ligatures w14:val="none"/>
        </w:rPr>
        <w:t>is</w:t>
      </w:r>
      <w:r w:rsidRPr="002F2A6D">
        <w:rPr>
          <w:rFonts w:ascii="Century Schoolbook" w:eastAsia="Times New Roman" w:hAnsi="Century Schoolbook" w:cs="Arial"/>
          <w:kern w:val="0"/>
          <w:sz w:val="28"/>
          <w:szCs w:val="28"/>
          <w14:ligatures w14:val="none"/>
        </w:rPr>
        <w:t xml:space="preserve"> </w:t>
      </w:r>
      <w:r w:rsidR="00A35B5C">
        <w:rPr>
          <w:rFonts w:ascii="Century Schoolbook" w:eastAsia="Times New Roman" w:hAnsi="Century Schoolbook" w:cs="Arial"/>
          <w:kern w:val="0"/>
          <w:sz w:val="28"/>
          <w:szCs w:val="28"/>
          <w14:ligatures w14:val="none"/>
        </w:rPr>
        <w:t>1st</w:t>
      </w:r>
      <w:r w:rsidRPr="002F2A6D">
        <w:rPr>
          <w:rFonts w:ascii="Century Schoolbook" w:eastAsia="Times New Roman" w:hAnsi="Century Schoolbook" w:cs="Arial"/>
          <w:kern w:val="0"/>
          <w:sz w:val="28"/>
          <w:szCs w:val="28"/>
          <w14:ligatures w14:val="none"/>
        </w:rPr>
        <w:t xml:space="preserve"> day of </w:t>
      </w:r>
      <w:r w:rsidR="00A35B5C">
        <w:rPr>
          <w:rFonts w:ascii="Century Schoolbook" w:eastAsia="Times New Roman" w:hAnsi="Century Schoolbook" w:cs="Arial"/>
          <w:kern w:val="0"/>
          <w:sz w:val="28"/>
          <w:szCs w:val="28"/>
          <w14:ligatures w14:val="none"/>
        </w:rPr>
        <w:t>May</w:t>
      </w:r>
      <w:r w:rsidRPr="002F2A6D">
        <w:rPr>
          <w:rFonts w:ascii="Century Schoolbook" w:eastAsia="Times New Roman" w:hAnsi="Century Schoolbook" w:cs="Arial"/>
          <w:kern w:val="0"/>
          <w:sz w:val="28"/>
          <w:szCs w:val="28"/>
          <w14:ligatures w14:val="none"/>
        </w:rPr>
        <w:t xml:space="preserve"> 2026.</w:t>
      </w:r>
    </w:p>
    <w:p w14:paraId="7ADDC3DC" w14:textId="77777777" w:rsidR="002F2A6D" w:rsidRDefault="002F2A6D" w:rsidP="00461919">
      <w:pPr>
        <w:widowControl w:val="0"/>
        <w:spacing w:after="0" w:line="240" w:lineRule="auto"/>
        <w:jc w:val="both"/>
        <w:rPr>
          <w:rFonts w:ascii="Century Schoolbook" w:eastAsia="Times New Roman" w:hAnsi="Century Schoolbook" w:cs="Arial"/>
          <w:kern w:val="0"/>
          <w:sz w:val="28"/>
          <w:szCs w:val="28"/>
          <w14:ligatures w14:val="none"/>
        </w:rPr>
      </w:pPr>
    </w:p>
    <w:p w14:paraId="541BCE31" w14:textId="3306C1BF" w:rsidR="00897362" w:rsidRPr="005E6E03" w:rsidRDefault="00897362" w:rsidP="00461919">
      <w:pPr>
        <w:widowControl w:val="0"/>
        <w:spacing w:after="0" w:line="240" w:lineRule="auto"/>
        <w:ind w:left="3600"/>
        <w:contextualSpacing/>
        <w:jc w:val="both"/>
        <w:rPr>
          <w:rFonts w:ascii="Century Schoolbook" w:eastAsia="Times New Roman" w:hAnsi="Century Schoolbook" w:cs="Arial"/>
          <w:b/>
          <w:bCs/>
          <w:kern w:val="0"/>
          <w:sz w:val="28"/>
          <w:szCs w:val="28"/>
          <w14:ligatures w14:val="none"/>
        </w:rPr>
      </w:pPr>
      <w:r w:rsidRPr="002F2A6D">
        <w:rPr>
          <w:rFonts w:ascii="Century Schoolbook" w:eastAsia="Times New Roman" w:hAnsi="Century Schoolbook" w:cs="Arial"/>
          <w:b/>
          <w:bCs/>
          <w:kern w:val="0"/>
          <w:sz w:val="28"/>
          <w:szCs w:val="28"/>
          <w14:ligatures w14:val="none"/>
        </w:rPr>
        <w:t>Arizona Attorneys for Criminal Justice</w:t>
      </w:r>
    </w:p>
    <w:p w14:paraId="7814D98C" w14:textId="77777777" w:rsidR="002F2A6D" w:rsidRPr="002F2A6D" w:rsidRDefault="002F2A6D" w:rsidP="00461919">
      <w:pPr>
        <w:widowControl w:val="0"/>
        <w:spacing w:after="0" w:line="240" w:lineRule="auto"/>
        <w:jc w:val="both"/>
        <w:rPr>
          <w:rFonts w:ascii="Century Schoolbook" w:eastAsia="Times New Roman" w:hAnsi="Century Schoolbook" w:cs="Arial"/>
          <w:kern w:val="0"/>
          <w:sz w:val="28"/>
          <w:szCs w:val="28"/>
          <w14:ligatures w14:val="none"/>
        </w:rPr>
      </w:pPr>
    </w:p>
    <w:p w14:paraId="52EAD9E0" w14:textId="2428827C" w:rsidR="002F2A6D" w:rsidRPr="002F2A6D" w:rsidRDefault="002F2A6D" w:rsidP="00461919">
      <w:pPr>
        <w:widowControl w:val="0"/>
        <w:spacing w:after="0" w:line="240" w:lineRule="auto"/>
        <w:ind w:left="2880" w:firstLine="720"/>
        <w:contextualSpacing/>
        <w:jc w:val="both"/>
        <w:rPr>
          <w:rFonts w:ascii="Century Schoolbook" w:eastAsia="Times New Roman" w:hAnsi="Century Schoolbook" w:cs="Arial"/>
          <w:kern w:val="0"/>
          <w:sz w:val="28"/>
          <w:szCs w:val="28"/>
          <w14:ligatures w14:val="none"/>
        </w:rPr>
      </w:pPr>
      <w:r w:rsidRPr="002F2A6D">
        <w:rPr>
          <w:rFonts w:ascii="Century Schoolbook" w:eastAsia="Times New Roman" w:hAnsi="Century Schoolbook" w:cs="Arial"/>
          <w:kern w:val="0"/>
          <w:sz w:val="28"/>
          <w:szCs w:val="28"/>
          <w14:ligatures w14:val="none"/>
        </w:rPr>
        <w:t>By:</w:t>
      </w:r>
      <w:r w:rsidRPr="002F2A6D">
        <w:rPr>
          <w:rFonts w:ascii="Century Schoolbook" w:eastAsia="Times New Roman" w:hAnsi="Century Schoolbook" w:cs="Arial"/>
          <w:kern w:val="0"/>
          <w:sz w:val="28"/>
          <w:szCs w:val="28"/>
          <w14:ligatures w14:val="none"/>
        </w:rPr>
        <w:tab/>
      </w:r>
      <w:r w:rsidRPr="002F2A6D">
        <w:rPr>
          <w:rFonts w:ascii="Century Schoolbook" w:eastAsia="Times New Roman" w:hAnsi="Century Schoolbook" w:cs="Arial"/>
          <w:kern w:val="0"/>
          <w:sz w:val="28"/>
          <w:szCs w:val="28"/>
          <w:u w:val="single"/>
          <w14:ligatures w14:val="none"/>
        </w:rPr>
        <w:t xml:space="preserve"> </w:t>
      </w:r>
      <w:r w:rsidRPr="002F2A6D">
        <w:rPr>
          <w:rFonts w:ascii="Century Schoolbook" w:eastAsia="Times New Roman" w:hAnsi="Century Schoolbook" w:cs="Arial"/>
          <w:i/>
          <w:iCs/>
          <w:kern w:val="0"/>
          <w:sz w:val="28"/>
          <w:szCs w:val="28"/>
          <w:u w:val="single"/>
          <w14:ligatures w14:val="none"/>
        </w:rPr>
        <w:t xml:space="preserve">/s/ </w:t>
      </w:r>
      <w:r w:rsidR="00461919">
        <w:rPr>
          <w:rFonts w:ascii="Century Schoolbook" w:eastAsia="Times New Roman" w:hAnsi="Century Schoolbook" w:cs="Arial"/>
          <w:i/>
          <w:iCs/>
          <w:kern w:val="0"/>
          <w:sz w:val="28"/>
          <w:szCs w:val="28"/>
          <w:u w:val="single"/>
          <w14:ligatures w14:val="none"/>
        </w:rPr>
        <w:t xml:space="preserve">Sheena S. Chiang </w:t>
      </w:r>
      <w:r w:rsidRPr="002F2A6D">
        <w:rPr>
          <w:rFonts w:ascii="Century Schoolbook" w:eastAsia="Times New Roman" w:hAnsi="Century Schoolbook" w:cs="Arial"/>
          <w:kern w:val="0"/>
          <w:sz w:val="28"/>
          <w:szCs w:val="28"/>
          <w:u w:val="single"/>
          <w14:ligatures w14:val="none"/>
        </w:rPr>
        <w:tab/>
      </w:r>
      <w:r w:rsidRPr="002F2A6D">
        <w:rPr>
          <w:rFonts w:ascii="Century Schoolbook" w:eastAsia="Times New Roman" w:hAnsi="Century Schoolbook" w:cs="Arial"/>
          <w:kern w:val="0"/>
          <w:sz w:val="28"/>
          <w:szCs w:val="28"/>
          <w:u w:val="single"/>
          <w14:ligatures w14:val="none"/>
        </w:rPr>
        <w:tab/>
      </w:r>
    </w:p>
    <w:p w14:paraId="16B556B2" w14:textId="481DB714" w:rsidR="002F2A6D" w:rsidRDefault="0030490B" w:rsidP="00461919">
      <w:pPr>
        <w:widowControl w:val="0"/>
        <w:spacing w:after="0" w:line="240" w:lineRule="auto"/>
        <w:ind w:left="3600" w:firstLine="720"/>
        <w:contextualSpacing/>
        <w:jc w:val="both"/>
        <w:rPr>
          <w:rFonts w:ascii="Century Schoolbook" w:eastAsia="Times New Roman" w:hAnsi="Century Schoolbook" w:cs="Arial"/>
          <w:b/>
          <w:bCs/>
          <w:kern w:val="0"/>
          <w:sz w:val="28"/>
          <w:szCs w:val="28"/>
          <w14:ligatures w14:val="none"/>
        </w:rPr>
      </w:pPr>
      <w:r>
        <w:rPr>
          <w:rFonts w:ascii="Century Schoolbook" w:eastAsia="Times New Roman" w:hAnsi="Century Schoolbook" w:cs="Arial"/>
          <w:b/>
          <w:bCs/>
          <w:kern w:val="0"/>
          <w:sz w:val="28"/>
          <w:szCs w:val="28"/>
          <w14:ligatures w14:val="none"/>
        </w:rPr>
        <w:t>Sheena S. Chiang</w:t>
      </w:r>
    </w:p>
    <w:p w14:paraId="63081B03" w14:textId="4FE7AE8A" w:rsidR="0030490B" w:rsidRPr="002F2A6D" w:rsidRDefault="0030490B" w:rsidP="00461919">
      <w:pPr>
        <w:widowControl w:val="0"/>
        <w:spacing w:after="0" w:line="240" w:lineRule="auto"/>
        <w:ind w:left="3600" w:firstLine="720"/>
        <w:contextualSpacing/>
        <w:jc w:val="both"/>
        <w:rPr>
          <w:rFonts w:ascii="Century Schoolbook" w:eastAsia="Times New Roman" w:hAnsi="Century Schoolbook" w:cs="Arial"/>
          <w:b/>
          <w:bCs/>
          <w:kern w:val="0"/>
          <w:sz w:val="28"/>
          <w:szCs w:val="28"/>
          <w14:ligatures w14:val="none"/>
        </w:rPr>
      </w:pPr>
    </w:p>
    <w:p w14:paraId="7F1C5A9F" w14:textId="77777777" w:rsidR="002F2A6D" w:rsidRPr="002F2A6D" w:rsidRDefault="002F2A6D" w:rsidP="002F2A6D">
      <w:pPr>
        <w:widowControl w:val="0"/>
        <w:spacing w:after="0" w:line="240" w:lineRule="auto"/>
        <w:contextualSpacing/>
        <w:rPr>
          <w:rFonts w:ascii="Century Schoolbook" w:eastAsia="Times New Roman" w:hAnsi="Century Schoolbook" w:cs="Arial"/>
          <w:b/>
          <w:bCs/>
          <w:kern w:val="0"/>
          <w:sz w:val="28"/>
          <w:szCs w:val="28"/>
          <w14:ligatures w14:val="none"/>
        </w:rPr>
      </w:pPr>
    </w:p>
    <w:p w14:paraId="12ADB7E8" w14:textId="1B3B79D3" w:rsidR="00BD6F6C" w:rsidRPr="002F2A6D" w:rsidRDefault="00BD6F6C" w:rsidP="002F2A6D">
      <w:pPr>
        <w:rPr>
          <w:rFonts w:ascii="Century Schoolbook" w:hAnsi="Century Schoolbook"/>
          <w:sz w:val="28"/>
          <w:szCs w:val="28"/>
        </w:rPr>
      </w:pPr>
    </w:p>
    <w:sectPr w:rsidR="00BD6F6C" w:rsidRPr="002F2A6D" w:rsidSect="008B0ED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AB92" w14:textId="77777777" w:rsidR="00554D75" w:rsidRDefault="00554D75" w:rsidP="003C20FB">
      <w:pPr>
        <w:spacing w:after="0" w:line="240" w:lineRule="auto"/>
      </w:pPr>
      <w:r>
        <w:separator/>
      </w:r>
    </w:p>
  </w:endnote>
  <w:endnote w:type="continuationSeparator" w:id="0">
    <w:p w14:paraId="24E02CB2" w14:textId="77777777" w:rsidR="00554D75" w:rsidRDefault="00554D75" w:rsidP="003C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sz w:val="28"/>
        <w:szCs w:val="32"/>
      </w:rPr>
      <w:id w:val="-1336684990"/>
      <w:docPartObj>
        <w:docPartGallery w:val="Page Numbers (Bottom of Page)"/>
        <w:docPartUnique/>
      </w:docPartObj>
    </w:sdtPr>
    <w:sdtEndPr>
      <w:rPr>
        <w:noProof/>
      </w:rPr>
    </w:sdtEndPr>
    <w:sdtContent>
      <w:p w14:paraId="708F8244" w14:textId="607E4C03" w:rsidR="003C20FB" w:rsidRPr="008B0ED5" w:rsidRDefault="003C20FB" w:rsidP="008B0ED5">
        <w:pPr>
          <w:pStyle w:val="Footer"/>
          <w:jc w:val="center"/>
          <w:rPr>
            <w:rFonts w:ascii="Century Schoolbook" w:hAnsi="Century Schoolbook"/>
            <w:sz w:val="28"/>
            <w:szCs w:val="32"/>
          </w:rPr>
        </w:pPr>
        <w:r w:rsidRPr="008B0ED5">
          <w:rPr>
            <w:rFonts w:ascii="Century Schoolbook" w:hAnsi="Century Schoolbook"/>
            <w:sz w:val="28"/>
            <w:szCs w:val="32"/>
          </w:rPr>
          <w:fldChar w:fldCharType="begin"/>
        </w:r>
        <w:r w:rsidRPr="008B0ED5">
          <w:rPr>
            <w:rFonts w:ascii="Century Schoolbook" w:hAnsi="Century Schoolbook"/>
            <w:sz w:val="28"/>
            <w:szCs w:val="32"/>
          </w:rPr>
          <w:instrText xml:space="preserve"> PAGE   \* MERGEFORMAT </w:instrText>
        </w:r>
        <w:r w:rsidRPr="008B0ED5">
          <w:rPr>
            <w:rFonts w:ascii="Century Schoolbook" w:hAnsi="Century Schoolbook"/>
            <w:sz w:val="28"/>
            <w:szCs w:val="32"/>
          </w:rPr>
          <w:fldChar w:fldCharType="separate"/>
        </w:r>
        <w:r w:rsidRPr="008B0ED5">
          <w:rPr>
            <w:rFonts w:ascii="Century Schoolbook" w:hAnsi="Century Schoolbook"/>
            <w:noProof/>
            <w:sz w:val="28"/>
            <w:szCs w:val="32"/>
          </w:rPr>
          <w:t>2</w:t>
        </w:r>
        <w:r w:rsidRPr="008B0ED5">
          <w:rPr>
            <w:rFonts w:ascii="Century Schoolbook" w:hAnsi="Century Schoolbook"/>
            <w:noProof/>
            <w:sz w:val="28"/>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6BBE" w14:textId="77777777" w:rsidR="00554D75" w:rsidRDefault="00554D75" w:rsidP="003C20FB">
      <w:pPr>
        <w:spacing w:after="0" w:line="240" w:lineRule="auto"/>
      </w:pPr>
      <w:r>
        <w:separator/>
      </w:r>
    </w:p>
  </w:footnote>
  <w:footnote w:type="continuationSeparator" w:id="0">
    <w:p w14:paraId="0AA0F500" w14:textId="77777777" w:rsidR="00554D75" w:rsidRDefault="00554D75" w:rsidP="003C2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2F7"/>
    <w:multiLevelType w:val="hybridMultilevel"/>
    <w:tmpl w:val="6E5A027E"/>
    <w:lvl w:ilvl="0" w:tplc="0780164A">
      <w:start w:val="1"/>
      <w:numFmt w:val="decimal"/>
      <w:lvlText w:val="%1."/>
      <w:lvlJc w:val="left"/>
      <w:pPr>
        <w:ind w:left="1020" w:hanging="360"/>
      </w:pPr>
    </w:lvl>
    <w:lvl w:ilvl="1" w:tplc="68922160">
      <w:start w:val="1"/>
      <w:numFmt w:val="decimal"/>
      <w:lvlText w:val="%2."/>
      <w:lvlJc w:val="left"/>
      <w:pPr>
        <w:ind w:left="1020" w:hanging="360"/>
      </w:pPr>
    </w:lvl>
    <w:lvl w:ilvl="2" w:tplc="BF20AFEA">
      <w:start w:val="1"/>
      <w:numFmt w:val="decimal"/>
      <w:lvlText w:val="%3."/>
      <w:lvlJc w:val="left"/>
      <w:pPr>
        <w:ind w:left="1020" w:hanging="360"/>
      </w:pPr>
    </w:lvl>
    <w:lvl w:ilvl="3" w:tplc="552AAE5C">
      <w:start w:val="1"/>
      <w:numFmt w:val="decimal"/>
      <w:lvlText w:val="%4."/>
      <w:lvlJc w:val="left"/>
      <w:pPr>
        <w:ind w:left="1020" w:hanging="360"/>
      </w:pPr>
    </w:lvl>
    <w:lvl w:ilvl="4" w:tplc="824E827C">
      <w:start w:val="1"/>
      <w:numFmt w:val="decimal"/>
      <w:lvlText w:val="%5."/>
      <w:lvlJc w:val="left"/>
      <w:pPr>
        <w:ind w:left="1020" w:hanging="360"/>
      </w:pPr>
    </w:lvl>
    <w:lvl w:ilvl="5" w:tplc="6AD01A1A">
      <w:start w:val="1"/>
      <w:numFmt w:val="decimal"/>
      <w:lvlText w:val="%6."/>
      <w:lvlJc w:val="left"/>
      <w:pPr>
        <w:ind w:left="1020" w:hanging="360"/>
      </w:pPr>
    </w:lvl>
    <w:lvl w:ilvl="6" w:tplc="C7F0C050">
      <w:start w:val="1"/>
      <w:numFmt w:val="decimal"/>
      <w:lvlText w:val="%7."/>
      <w:lvlJc w:val="left"/>
      <w:pPr>
        <w:ind w:left="1020" w:hanging="360"/>
      </w:pPr>
    </w:lvl>
    <w:lvl w:ilvl="7" w:tplc="5ED6D68C">
      <w:start w:val="1"/>
      <w:numFmt w:val="decimal"/>
      <w:lvlText w:val="%8."/>
      <w:lvlJc w:val="left"/>
      <w:pPr>
        <w:ind w:left="1020" w:hanging="360"/>
      </w:pPr>
    </w:lvl>
    <w:lvl w:ilvl="8" w:tplc="2F68F1F8">
      <w:start w:val="1"/>
      <w:numFmt w:val="decimal"/>
      <w:lvlText w:val="%9."/>
      <w:lvlJc w:val="left"/>
      <w:pPr>
        <w:ind w:left="1020" w:hanging="360"/>
      </w:pPr>
    </w:lvl>
  </w:abstractNum>
  <w:abstractNum w:abstractNumId="1" w15:restartNumberingAfterBreak="0">
    <w:nsid w:val="1FEC47DF"/>
    <w:multiLevelType w:val="multilevel"/>
    <w:tmpl w:val="CF6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63A90"/>
    <w:multiLevelType w:val="multilevel"/>
    <w:tmpl w:val="BFE67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C12CC1"/>
    <w:multiLevelType w:val="hybridMultilevel"/>
    <w:tmpl w:val="854647F4"/>
    <w:lvl w:ilvl="0" w:tplc="C8527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458D3"/>
    <w:multiLevelType w:val="hybridMultilevel"/>
    <w:tmpl w:val="E466C902"/>
    <w:lvl w:ilvl="0" w:tplc="EBC80880">
      <w:start w:val="1"/>
      <w:numFmt w:val="decimal"/>
      <w:lvlText w:val="%1."/>
      <w:lvlJc w:val="left"/>
      <w:pPr>
        <w:ind w:left="1020" w:hanging="360"/>
      </w:pPr>
    </w:lvl>
    <w:lvl w:ilvl="1" w:tplc="707846E4">
      <w:start w:val="1"/>
      <w:numFmt w:val="decimal"/>
      <w:lvlText w:val="%2."/>
      <w:lvlJc w:val="left"/>
      <w:pPr>
        <w:ind w:left="1020" w:hanging="360"/>
      </w:pPr>
    </w:lvl>
    <w:lvl w:ilvl="2" w:tplc="0BAE72CE">
      <w:start w:val="1"/>
      <w:numFmt w:val="decimal"/>
      <w:lvlText w:val="%3."/>
      <w:lvlJc w:val="left"/>
      <w:pPr>
        <w:ind w:left="1020" w:hanging="360"/>
      </w:pPr>
    </w:lvl>
    <w:lvl w:ilvl="3" w:tplc="AA76E5E2">
      <w:start w:val="1"/>
      <w:numFmt w:val="decimal"/>
      <w:lvlText w:val="%4."/>
      <w:lvlJc w:val="left"/>
      <w:pPr>
        <w:ind w:left="1020" w:hanging="360"/>
      </w:pPr>
    </w:lvl>
    <w:lvl w:ilvl="4" w:tplc="C5E683E2">
      <w:start w:val="1"/>
      <w:numFmt w:val="decimal"/>
      <w:lvlText w:val="%5."/>
      <w:lvlJc w:val="left"/>
      <w:pPr>
        <w:ind w:left="1020" w:hanging="360"/>
      </w:pPr>
    </w:lvl>
    <w:lvl w:ilvl="5" w:tplc="1D209E54">
      <w:start w:val="1"/>
      <w:numFmt w:val="decimal"/>
      <w:lvlText w:val="%6."/>
      <w:lvlJc w:val="left"/>
      <w:pPr>
        <w:ind w:left="1020" w:hanging="360"/>
      </w:pPr>
    </w:lvl>
    <w:lvl w:ilvl="6" w:tplc="AC108022">
      <w:start w:val="1"/>
      <w:numFmt w:val="decimal"/>
      <w:lvlText w:val="%7."/>
      <w:lvlJc w:val="left"/>
      <w:pPr>
        <w:ind w:left="1020" w:hanging="360"/>
      </w:pPr>
    </w:lvl>
    <w:lvl w:ilvl="7" w:tplc="31E448A8">
      <w:start w:val="1"/>
      <w:numFmt w:val="decimal"/>
      <w:lvlText w:val="%8."/>
      <w:lvlJc w:val="left"/>
      <w:pPr>
        <w:ind w:left="1020" w:hanging="360"/>
      </w:pPr>
    </w:lvl>
    <w:lvl w:ilvl="8" w:tplc="D192490E">
      <w:start w:val="1"/>
      <w:numFmt w:val="decimal"/>
      <w:lvlText w:val="%9."/>
      <w:lvlJc w:val="left"/>
      <w:pPr>
        <w:ind w:left="1020" w:hanging="360"/>
      </w:pPr>
    </w:lvl>
  </w:abstractNum>
  <w:abstractNum w:abstractNumId="5" w15:restartNumberingAfterBreak="0">
    <w:nsid w:val="537C0709"/>
    <w:multiLevelType w:val="multilevel"/>
    <w:tmpl w:val="17A8F878"/>
    <w:lvl w:ilvl="0">
      <w:start w:val="1"/>
      <w:numFmt w:val="decimal"/>
      <w:lvlText w:val="%1."/>
      <w:lvlJc w:val="left"/>
      <w:pPr>
        <w:tabs>
          <w:tab w:val="num" w:pos="720"/>
        </w:tabs>
        <w:ind w:left="720" w:hanging="720"/>
      </w:pPr>
    </w:lvl>
    <w:lvl w:ilvl="1">
      <w:start w:val="1"/>
      <w:numFmt w:val="decimal"/>
      <w:pStyle w:val="COAbriefshead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47E04"/>
    <w:multiLevelType w:val="multilevel"/>
    <w:tmpl w:val="22A6AF46"/>
    <w:lvl w:ilvl="0">
      <w:start w:val="1"/>
      <w:numFmt w:val="decimal"/>
      <w:pStyle w:val="COAbriefheader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25121022">
    <w:abstractNumId w:val="6"/>
  </w:num>
  <w:num w:numId="2" w16cid:durableId="794564440">
    <w:abstractNumId w:val="6"/>
  </w:num>
  <w:num w:numId="3" w16cid:durableId="1849559241">
    <w:abstractNumId w:val="5"/>
  </w:num>
  <w:num w:numId="4" w16cid:durableId="27460585">
    <w:abstractNumId w:val="4"/>
  </w:num>
  <w:num w:numId="5" w16cid:durableId="774328278">
    <w:abstractNumId w:val="0"/>
  </w:num>
  <w:num w:numId="6" w16cid:durableId="1670059689">
    <w:abstractNumId w:val="1"/>
  </w:num>
  <w:num w:numId="7" w16cid:durableId="1365670015">
    <w:abstractNumId w:val="2"/>
  </w:num>
  <w:num w:numId="8" w16cid:durableId="2144611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83"/>
    <w:rsid w:val="00046DF3"/>
    <w:rsid w:val="00057531"/>
    <w:rsid w:val="0006149E"/>
    <w:rsid w:val="000647A6"/>
    <w:rsid w:val="00066034"/>
    <w:rsid w:val="00082E9F"/>
    <w:rsid w:val="000A5F0F"/>
    <w:rsid w:val="000A7E2F"/>
    <w:rsid w:val="000D07EB"/>
    <w:rsid w:val="000F2F91"/>
    <w:rsid w:val="00165D19"/>
    <w:rsid w:val="00184F78"/>
    <w:rsid w:val="001D0DDC"/>
    <w:rsid w:val="00221CD2"/>
    <w:rsid w:val="002370EA"/>
    <w:rsid w:val="002614AA"/>
    <w:rsid w:val="002E12CA"/>
    <w:rsid w:val="002E61EF"/>
    <w:rsid w:val="002F2A6D"/>
    <w:rsid w:val="0030490B"/>
    <w:rsid w:val="003078D0"/>
    <w:rsid w:val="003377E7"/>
    <w:rsid w:val="00340D8B"/>
    <w:rsid w:val="00355447"/>
    <w:rsid w:val="00367744"/>
    <w:rsid w:val="003C20FB"/>
    <w:rsid w:val="00411FA4"/>
    <w:rsid w:val="004143D8"/>
    <w:rsid w:val="0042250E"/>
    <w:rsid w:val="00446554"/>
    <w:rsid w:val="00461919"/>
    <w:rsid w:val="00496A5B"/>
    <w:rsid w:val="004A60A8"/>
    <w:rsid w:val="004B53C0"/>
    <w:rsid w:val="004E4CEA"/>
    <w:rsid w:val="004E6C63"/>
    <w:rsid w:val="0050608F"/>
    <w:rsid w:val="00526CBC"/>
    <w:rsid w:val="00537EFA"/>
    <w:rsid w:val="00554D75"/>
    <w:rsid w:val="00582E4E"/>
    <w:rsid w:val="005C5B99"/>
    <w:rsid w:val="005E6E03"/>
    <w:rsid w:val="00610A64"/>
    <w:rsid w:val="00634A38"/>
    <w:rsid w:val="00641C5C"/>
    <w:rsid w:val="006519CB"/>
    <w:rsid w:val="00665116"/>
    <w:rsid w:val="00695986"/>
    <w:rsid w:val="006A75E1"/>
    <w:rsid w:val="006B2274"/>
    <w:rsid w:val="006B557B"/>
    <w:rsid w:val="006D7077"/>
    <w:rsid w:val="006F778A"/>
    <w:rsid w:val="007018D1"/>
    <w:rsid w:val="0079132F"/>
    <w:rsid w:val="007E17F2"/>
    <w:rsid w:val="007F6FF4"/>
    <w:rsid w:val="008209E9"/>
    <w:rsid w:val="00843C93"/>
    <w:rsid w:val="00854DA8"/>
    <w:rsid w:val="00890DB7"/>
    <w:rsid w:val="00897362"/>
    <w:rsid w:val="008B0ED5"/>
    <w:rsid w:val="008B6C59"/>
    <w:rsid w:val="00942565"/>
    <w:rsid w:val="009555B2"/>
    <w:rsid w:val="00967C1D"/>
    <w:rsid w:val="00983258"/>
    <w:rsid w:val="009970A0"/>
    <w:rsid w:val="009D2780"/>
    <w:rsid w:val="009D285A"/>
    <w:rsid w:val="009E16E0"/>
    <w:rsid w:val="00A2696C"/>
    <w:rsid w:val="00A35B5C"/>
    <w:rsid w:val="00AB19A0"/>
    <w:rsid w:val="00AD2B2E"/>
    <w:rsid w:val="00AD2C14"/>
    <w:rsid w:val="00AD646B"/>
    <w:rsid w:val="00B07634"/>
    <w:rsid w:val="00B826CF"/>
    <w:rsid w:val="00B87C8C"/>
    <w:rsid w:val="00BD6F6C"/>
    <w:rsid w:val="00BF28F2"/>
    <w:rsid w:val="00C1799C"/>
    <w:rsid w:val="00C4008F"/>
    <w:rsid w:val="00C420E8"/>
    <w:rsid w:val="00C856AF"/>
    <w:rsid w:val="00CD73FB"/>
    <w:rsid w:val="00CD7BF6"/>
    <w:rsid w:val="00D069D7"/>
    <w:rsid w:val="00D1782E"/>
    <w:rsid w:val="00DA6CE9"/>
    <w:rsid w:val="00DB1047"/>
    <w:rsid w:val="00DC00F0"/>
    <w:rsid w:val="00DC0B22"/>
    <w:rsid w:val="00DE4C84"/>
    <w:rsid w:val="00DE4F18"/>
    <w:rsid w:val="00E7366D"/>
    <w:rsid w:val="00EA571F"/>
    <w:rsid w:val="00EB39E1"/>
    <w:rsid w:val="00EB7083"/>
    <w:rsid w:val="00F026BC"/>
    <w:rsid w:val="00F17696"/>
    <w:rsid w:val="00F312A0"/>
    <w:rsid w:val="00F31BD1"/>
    <w:rsid w:val="00F475AD"/>
    <w:rsid w:val="00F521A3"/>
    <w:rsid w:val="00F67614"/>
    <w:rsid w:val="00F72216"/>
    <w:rsid w:val="00F900CF"/>
    <w:rsid w:val="00F9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5979"/>
  <w15:chartTrackingRefBased/>
  <w15:docId w15:val="{36B7FD41-8826-4622-BDDC-69E9604F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harter" w:eastAsiaTheme="minorHAnsi" w:hAnsi="Charter" w:cs="Times New Roman"/>
        <w:snapToGrid w:val="0"/>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34"/>
  </w:style>
  <w:style w:type="paragraph" w:styleId="Heading1">
    <w:name w:val="heading 1"/>
    <w:basedOn w:val="Normal"/>
    <w:next w:val="Normal"/>
    <w:link w:val="Heading1Char"/>
    <w:uiPriority w:val="9"/>
    <w:qFormat/>
    <w:rsid w:val="00EB708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708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708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708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B708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B70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70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70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70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Abriefheader1">
    <w:name w:val="COA brief header 1"/>
    <w:basedOn w:val="ListParagraph"/>
    <w:link w:val="COAbriefheader1Char"/>
    <w:qFormat/>
    <w:rsid w:val="00F72216"/>
    <w:pPr>
      <w:numPr>
        <w:numId w:val="2"/>
      </w:numPr>
      <w:spacing w:after="0" w:line="240" w:lineRule="auto"/>
    </w:pPr>
    <w:rPr>
      <w:b/>
      <w:bCs/>
      <w:sz w:val="28"/>
      <w:szCs w:val="28"/>
    </w:rPr>
  </w:style>
  <w:style w:type="character" w:customStyle="1" w:styleId="COAbriefheader1Char">
    <w:name w:val="COA brief header 1 Char"/>
    <w:basedOn w:val="DefaultParagraphFont"/>
    <w:link w:val="COAbriefheader1"/>
    <w:rsid w:val="00F72216"/>
    <w:rPr>
      <w:b/>
      <w:bCs/>
      <w:sz w:val="28"/>
      <w:szCs w:val="28"/>
    </w:rPr>
  </w:style>
  <w:style w:type="paragraph" w:styleId="ListParagraph">
    <w:name w:val="List Paragraph"/>
    <w:basedOn w:val="Normal"/>
    <w:uiPriority w:val="34"/>
    <w:qFormat/>
    <w:rsid w:val="00F72216"/>
    <w:pPr>
      <w:ind w:left="720"/>
      <w:contextualSpacing/>
    </w:pPr>
  </w:style>
  <w:style w:type="paragraph" w:customStyle="1" w:styleId="COAbriefsheader2">
    <w:name w:val="COA briefs header 2"/>
    <w:basedOn w:val="ListParagraph"/>
    <w:link w:val="COAbriefsheader2Char"/>
    <w:qFormat/>
    <w:rsid w:val="00F72216"/>
    <w:pPr>
      <w:numPr>
        <w:ilvl w:val="1"/>
        <w:numId w:val="3"/>
      </w:numPr>
      <w:spacing w:after="0" w:line="240" w:lineRule="auto"/>
      <w:ind w:left="1080"/>
    </w:pPr>
    <w:rPr>
      <w:b/>
      <w:bCs/>
      <w:sz w:val="28"/>
      <w:szCs w:val="28"/>
    </w:rPr>
  </w:style>
  <w:style w:type="character" w:customStyle="1" w:styleId="COAbriefsheader2Char">
    <w:name w:val="COA briefs header 2 Char"/>
    <w:basedOn w:val="DefaultParagraphFont"/>
    <w:link w:val="COAbriefsheader2"/>
    <w:rsid w:val="00F72216"/>
    <w:rPr>
      <w:b/>
      <w:bCs/>
      <w:sz w:val="28"/>
      <w:szCs w:val="28"/>
    </w:rPr>
  </w:style>
  <w:style w:type="paragraph" w:customStyle="1" w:styleId="COAbriefsparagraphs">
    <w:name w:val="COA briefs paragraphs"/>
    <w:basedOn w:val="Normal"/>
    <w:link w:val="COAbriefsparagraphsChar"/>
    <w:qFormat/>
    <w:rsid w:val="00F72216"/>
    <w:pPr>
      <w:spacing w:after="0" w:line="560" w:lineRule="exact"/>
      <w:ind w:firstLine="720"/>
      <w:contextualSpacing/>
    </w:pPr>
    <w:rPr>
      <w:sz w:val="28"/>
      <w:szCs w:val="28"/>
    </w:rPr>
  </w:style>
  <w:style w:type="character" w:customStyle="1" w:styleId="COAbriefsparagraphsChar">
    <w:name w:val="COA briefs paragraphs Char"/>
    <w:basedOn w:val="DefaultParagraphFont"/>
    <w:link w:val="COAbriefsparagraphs"/>
    <w:rsid w:val="00F72216"/>
    <w:rPr>
      <w:sz w:val="28"/>
      <w:szCs w:val="28"/>
    </w:rPr>
  </w:style>
  <w:style w:type="character" w:customStyle="1" w:styleId="Heading1Char">
    <w:name w:val="Heading 1 Char"/>
    <w:basedOn w:val="DefaultParagraphFont"/>
    <w:link w:val="Heading1"/>
    <w:uiPriority w:val="9"/>
    <w:rsid w:val="00EB708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708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708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708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B708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B70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70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70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70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7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0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0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7083"/>
    <w:pPr>
      <w:spacing w:before="160"/>
      <w:jc w:val="center"/>
    </w:pPr>
    <w:rPr>
      <w:i/>
      <w:iCs/>
      <w:color w:val="404040" w:themeColor="text1" w:themeTint="BF"/>
    </w:rPr>
  </w:style>
  <w:style w:type="character" w:customStyle="1" w:styleId="QuoteChar">
    <w:name w:val="Quote Char"/>
    <w:basedOn w:val="DefaultParagraphFont"/>
    <w:link w:val="Quote"/>
    <w:uiPriority w:val="29"/>
    <w:rsid w:val="00EB7083"/>
    <w:rPr>
      <w:i/>
      <w:iCs/>
      <w:color w:val="404040" w:themeColor="text1" w:themeTint="BF"/>
    </w:rPr>
  </w:style>
  <w:style w:type="character" w:styleId="IntenseEmphasis">
    <w:name w:val="Intense Emphasis"/>
    <w:basedOn w:val="DefaultParagraphFont"/>
    <w:uiPriority w:val="21"/>
    <w:qFormat/>
    <w:rsid w:val="00EB7083"/>
    <w:rPr>
      <w:i/>
      <w:iCs/>
      <w:color w:val="365F91" w:themeColor="accent1" w:themeShade="BF"/>
    </w:rPr>
  </w:style>
  <w:style w:type="paragraph" w:styleId="IntenseQuote">
    <w:name w:val="Intense Quote"/>
    <w:basedOn w:val="Normal"/>
    <w:next w:val="Normal"/>
    <w:link w:val="IntenseQuoteChar"/>
    <w:uiPriority w:val="30"/>
    <w:qFormat/>
    <w:rsid w:val="00EB70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7083"/>
    <w:rPr>
      <w:i/>
      <w:iCs/>
      <w:color w:val="365F91" w:themeColor="accent1" w:themeShade="BF"/>
    </w:rPr>
  </w:style>
  <w:style w:type="character" w:styleId="IntenseReference">
    <w:name w:val="Intense Reference"/>
    <w:basedOn w:val="DefaultParagraphFont"/>
    <w:uiPriority w:val="32"/>
    <w:qFormat/>
    <w:rsid w:val="00EB7083"/>
    <w:rPr>
      <w:b/>
      <w:bCs/>
      <w:smallCaps/>
      <w:color w:val="365F91" w:themeColor="accent1" w:themeShade="BF"/>
      <w:spacing w:val="5"/>
    </w:rPr>
  </w:style>
  <w:style w:type="character" w:styleId="CommentReference">
    <w:name w:val="annotation reference"/>
    <w:basedOn w:val="DefaultParagraphFont"/>
    <w:uiPriority w:val="99"/>
    <w:semiHidden/>
    <w:unhideWhenUsed/>
    <w:rsid w:val="00EB7083"/>
    <w:rPr>
      <w:sz w:val="16"/>
      <w:szCs w:val="16"/>
    </w:rPr>
  </w:style>
  <w:style w:type="paragraph" w:styleId="CommentText">
    <w:name w:val="annotation text"/>
    <w:basedOn w:val="Normal"/>
    <w:link w:val="CommentTextChar"/>
    <w:uiPriority w:val="99"/>
    <w:unhideWhenUsed/>
    <w:rsid w:val="00EB7083"/>
    <w:pPr>
      <w:spacing w:line="240" w:lineRule="auto"/>
    </w:pPr>
    <w:rPr>
      <w:sz w:val="20"/>
      <w:szCs w:val="20"/>
    </w:rPr>
  </w:style>
  <w:style w:type="character" w:customStyle="1" w:styleId="CommentTextChar">
    <w:name w:val="Comment Text Char"/>
    <w:basedOn w:val="DefaultParagraphFont"/>
    <w:link w:val="CommentText"/>
    <w:uiPriority w:val="99"/>
    <w:rsid w:val="00EB7083"/>
    <w:rPr>
      <w:sz w:val="20"/>
      <w:szCs w:val="20"/>
    </w:rPr>
  </w:style>
  <w:style w:type="paragraph" w:styleId="CommentSubject">
    <w:name w:val="annotation subject"/>
    <w:basedOn w:val="CommentText"/>
    <w:next w:val="CommentText"/>
    <w:link w:val="CommentSubjectChar"/>
    <w:uiPriority w:val="99"/>
    <w:semiHidden/>
    <w:unhideWhenUsed/>
    <w:rsid w:val="00EB7083"/>
    <w:rPr>
      <w:b/>
      <w:bCs/>
    </w:rPr>
  </w:style>
  <w:style w:type="character" w:customStyle="1" w:styleId="CommentSubjectChar">
    <w:name w:val="Comment Subject Char"/>
    <w:basedOn w:val="CommentTextChar"/>
    <w:link w:val="CommentSubject"/>
    <w:uiPriority w:val="99"/>
    <w:semiHidden/>
    <w:rsid w:val="00EB7083"/>
    <w:rPr>
      <w:b/>
      <w:bCs/>
      <w:sz w:val="20"/>
      <w:szCs w:val="20"/>
    </w:rPr>
  </w:style>
  <w:style w:type="table" w:styleId="TableGrid">
    <w:name w:val="Table Grid"/>
    <w:basedOn w:val="TableNormal"/>
    <w:uiPriority w:val="39"/>
    <w:rsid w:val="00BD6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6F6C"/>
    <w:rPr>
      <w:color w:val="0000FF" w:themeColor="hyperlink"/>
      <w:u w:val="single"/>
    </w:rPr>
  </w:style>
  <w:style w:type="character" w:styleId="UnresolvedMention">
    <w:name w:val="Unresolved Mention"/>
    <w:basedOn w:val="DefaultParagraphFont"/>
    <w:uiPriority w:val="99"/>
    <w:semiHidden/>
    <w:unhideWhenUsed/>
    <w:rsid w:val="00BD6F6C"/>
    <w:rPr>
      <w:color w:val="605E5C"/>
      <w:shd w:val="clear" w:color="auto" w:fill="E1DFDD"/>
    </w:rPr>
  </w:style>
  <w:style w:type="paragraph" w:styleId="Header">
    <w:name w:val="header"/>
    <w:basedOn w:val="Normal"/>
    <w:link w:val="HeaderChar"/>
    <w:uiPriority w:val="99"/>
    <w:unhideWhenUsed/>
    <w:rsid w:val="003C2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FB"/>
  </w:style>
  <w:style w:type="paragraph" w:styleId="Footer">
    <w:name w:val="footer"/>
    <w:basedOn w:val="Normal"/>
    <w:link w:val="FooterChar"/>
    <w:uiPriority w:val="99"/>
    <w:unhideWhenUsed/>
    <w:rsid w:val="003C2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acj.org" TargetMode="External"/><Relationship Id="rId3" Type="http://schemas.openxmlformats.org/officeDocument/2006/relationships/settings" Target="settings.xml"/><Relationship Id="rId7" Type="http://schemas.openxmlformats.org/officeDocument/2006/relationships/hyperlink" Target="mailto:sheena@sheenachiang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Reller (OPD)</dc:creator>
  <cp:keywords/>
  <dc:description/>
  <cp:lastModifiedBy>Grace Guisewite (OLA)</cp:lastModifiedBy>
  <cp:revision>2</cp:revision>
  <dcterms:created xsi:type="dcterms:W3CDTF">2026-05-01T13:35:00Z</dcterms:created>
  <dcterms:modified xsi:type="dcterms:W3CDTF">2026-05-01T13:35:00Z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4b5606ff-6c13-4e9b-89fc-0c1ddfbcb913</vt:lpwstr>
  </property>
</Properties>
</file>