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9552"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Rosemarie Peña-Lynch</w:t>
      </w:r>
      <w:r>
        <w:rPr>
          <w:rFonts w:ascii="Times New Roman" w:hAnsi="Times New Roman" w:cs="Times New Roman"/>
          <w:sz w:val="26"/>
          <w:szCs w:val="26"/>
        </w:rPr>
        <w:tab/>
        <w:t>Lina G. Garcia</w:t>
      </w:r>
    </w:p>
    <w:p w14:paraId="64272468"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Bar No 023400</w:t>
      </w:r>
      <w:r>
        <w:rPr>
          <w:rFonts w:ascii="Times New Roman" w:hAnsi="Times New Roman" w:cs="Times New Roman"/>
          <w:sz w:val="26"/>
          <w:szCs w:val="26"/>
        </w:rPr>
        <w:tab/>
        <w:t>Bar No. 025997</w:t>
      </w:r>
    </w:p>
    <w:p w14:paraId="4CAC9DC5"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Mcpa. Cnty. Ofc. of Public Defense Svc.</w:t>
      </w:r>
      <w:r>
        <w:rPr>
          <w:rFonts w:ascii="Times New Roman" w:hAnsi="Times New Roman" w:cs="Times New Roman"/>
          <w:sz w:val="26"/>
          <w:szCs w:val="26"/>
        </w:rPr>
        <w:tab/>
        <w:t>Mcpa. Cnty. Public Defenders Ofc.</w:t>
      </w:r>
    </w:p>
    <w:p w14:paraId="152D6F4D"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620 W. Jackson, Suite 3076</w:t>
      </w:r>
      <w:r>
        <w:rPr>
          <w:rFonts w:ascii="Times New Roman" w:hAnsi="Times New Roman" w:cs="Times New Roman"/>
          <w:sz w:val="26"/>
          <w:szCs w:val="26"/>
        </w:rPr>
        <w:tab/>
        <w:t>620 W. Jackson, Suite 4015</w:t>
      </w:r>
    </w:p>
    <w:p w14:paraId="0B13A38F"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Phoenix, AZ 85003</w:t>
      </w:r>
      <w:r>
        <w:rPr>
          <w:rFonts w:ascii="Times New Roman" w:hAnsi="Times New Roman" w:cs="Times New Roman"/>
          <w:sz w:val="26"/>
          <w:szCs w:val="26"/>
        </w:rPr>
        <w:tab/>
        <w:t>Phoenix, AZ 85003</w:t>
      </w:r>
    </w:p>
    <w:p w14:paraId="0B765C7A"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(602) 506-7228</w:t>
      </w:r>
      <w:r>
        <w:rPr>
          <w:rFonts w:ascii="Times New Roman" w:hAnsi="Times New Roman" w:cs="Times New Roman"/>
          <w:sz w:val="26"/>
          <w:szCs w:val="26"/>
        </w:rPr>
        <w:tab/>
        <w:t>(602) 506-7711</w:t>
      </w:r>
    </w:p>
    <w:p w14:paraId="56C65849" w14:textId="77777777" w:rsidR="005171A1" w:rsidRDefault="005171A1" w:rsidP="005171A1">
      <w:pPr>
        <w:widowControl/>
        <w:tabs>
          <w:tab w:val="left" w:pos="5040"/>
        </w:tabs>
        <w:jc w:val="both"/>
        <w:rPr>
          <w:rFonts w:ascii="Times New Roman" w:hAnsi="Times New Roman" w:cs="Times New Roman"/>
          <w:sz w:val="26"/>
          <w:szCs w:val="26"/>
        </w:rPr>
      </w:pPr>
      <w:hyperlink r:id="rId7" w:history="1">
        <w:r>
          <w:rPr>
            <w:rStyle w:val="Hyperlink"/>
            <w:rFonts w:ascii="Times New Roman" w:hAnsi="Times New Roman" w:cs="Times New Roman"/>
            <w:sz w:val="26"/>
            <w:szCs w:val="26"/>
          </w:rPr>
          <w:t>Rosemarie.Pena-Lynch@maricopa.gov</w:t>
        </w:r>
      </w:hyperlink>
      <w:r>
        <w:rPr>
          <w:rFonts w:ascii="Times New Roman" w:hAnsi="Times New Roman" w:cs="Times New Roman"/>
          <w:sz w:val="26"/>
          <w:szCs w:val="26"/>
        </w:rPr>
        <w:tab/>
      </w:r>
      <w:hyperlink r:id="rId8" w:history="1">
        <w:r>
          <w:rPr>
            <w:rStyle w:val="Hyperlink"/>
            <w:rFonts w:ascii="Times New Roman" w:hAnsi="Times New Roman" w:cs="Times New Roman"/>
            <w:sz w:val="26"/>
            <w:szCs w:val="26"/>
          </w:rPr>
          <w:t>Lina.Garcia@maricopa.gov</w:t>
        </w:r>
      </w:hyperlink>
      <w:r>
        <w:rPr>
          <w:rFonts w:ascii="Times New Roman" w:hAnsi="Times New Roman" w:cs="Times New Roman"/>
          <w:sz w:val="26"/>
          <w:szCs w:val="26"/>
        </w:rPr>
        <w:t xml:space="preserve"> </w:t>
      </w:r>
    </w:p>
    <w:p w14:paraId="1235C98E" w14:textId="77777777" w:rsidR="005171A1" w:rsidRDefault="005171A1" w:rsidP="005171A1">
      <w:pPr>
        <w:widowControl/>
        <w:jc w:val="both"/>
        <w:rPr>
          <w:rFonts w:ascii="Times New Roman" w:hAnsi="Times New Roman" w:cs="Times New Roman"/>
          <w:sz w:val="26"/>
          <w:szCs w:val="26"/>
        </w:rPr>
      </w:pPr>
    </w:p>
    <w:p w14:paraId="348208AE"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Steve Koestner</w:t>
      </w:r>
      <w:r>
        <w:rPr>
          <w:rFonts w:ascii="Times New Roman" w:hAnsi="Times New Roman" w:cs="Times New Roman"/>
          <w:sz w:val="26"/>
          <w:szCs w:val="26"/>
        </w:rPr>
        <w:tab/>
        <w:t>Shannon Burns</w:t>
      </w:r>
    </w:p>
    <w:p w14:paraId="7B93C89C"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Bar No. 011566</w:t>
      </w:r>
      <w:r>
        <w:rPr>
          <w:rFonts w:ascii="Times New Roman" w:hAnsi="Times New Roman" w:cs="Times New Roman"/>
          <w:sz w:val="26"/>
          <w:szCs w:val="26"/>
        </w:rPr>
        <w:tab/>
        <w:t>Bar No. 015976</w:t>
      </w:r>
    </w:p>
    <w:p w14:paraId="6F83FADC"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Mcpa. Cnty. Ofc. of Legal Advocate</w:t>
      </w:r>
      <w:r>
        <w:rPr>
          <w:rFonts w:ascii="Times New Roman" w:hAnsi="Times New Roman" w:cs="Times New Roman"/>
          <w:sz w:val="26"/>
          <w:szCs w:val="26"/>
        </w:rPr>
        <w:tab/>
        <w:t>Mcpa. Cnty. Ofc. of Public Advocate</w:t>
      </w:r>
    </w:p>
    <w:p w14:paraId="353BC33B"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222 N. Central, Suite 154</w:t>
      </w:r>
      <w:r>
        <w:rPr>
          <w:rFonts w:ascii="Times New Roman" w:hAnsi="Times New Roman" w:cs="Times New Roman"/>
          <w:sz w:val="26"/>
          <w:szCs w:val="26"/>
        </w:rPr>
        <w:tab/>
        <w:t>106 E. Baseline Rd.</w:t>
      </w:r>
    </w:p>
    <w:p w14:paraId="50BD8B45"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Phoenix, AZ 85004</w:t>
      </w:r>
      <w:r>
        <w:rPr>
          <w:rFonts w:ascii="Times New Roman" w:hAnsi="Times New Roman" w:cs="Times New Roman"/>
          <w:sz w:val="26"/>
          <w:szCs w:val="26"/>
        </w:rPr>
        <w:tab/>
        <w:t>Mesa, AZ 85210</w:t>
      </w:r>
    </w:p>
    <w:p w14:paraId="1294B1EE"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(602) 506-4111</w:t>
      </w:r>
      <w:r>
        <w:rPr>
          <w:rFonts w:ascii="Times New Roman" w:hAnsi="Times New Roman" w:cs="Times New Roman"/>
          <w:sz w:val="26"/>
          <w:szCs w:val="26"/>
        </w:rPr>
        <w:tab/>
        <w:t>(602) 372-2815</w:t>
      </w:r>
    </w:p>
    <w:p w14:paraId="6D7AC575" w14:textId="77777777" w:rsidR="005171A1" w:rsidRDefault="005171A1" w:rsidP="005171A1">
      <w:pPr>
        <w:widowControl/>
        <w:tabs>
          <w:tab w:val="left" w:pos="5040"/>
        </w:tabs>
        <w:jc w:val="both"/>
        <w:rPr>
          <w:rFonts w:ascii="Times New Roman" w:hAnsi="Times New Roman" w:cs="Times New Roman"/>
          <w:sz w:val="26"/>
          <w:szCs w:val="26"/>
        </w:rPr>
      </w:pPr>
      <w:hyperlink r:id="rId9" w:history="1">
        <w:r>
          <w:rPr>
            <w:rStyle w:val="Hyperlink"/>
            <w:rFonts w:ascii="Times New Roman" w:hAnsi="Times New Roman" w:cs="Times New Roman"/>
            <w:sz w:val="26"/>
            <w:szCs w:val="26"/>
          </w:rPr>
          <w:t>Steve.Koestner@maricopa.gov</w:t>
        </w:r>
      </w:hyperlink>
      <w:r>
        <w:rPr>
          <w:rFonts w:ascii="Times New Roman" w:hAnsi="Times New Roman" w:cs="Times New Roman"/>
          <w:sz w:val="26"/>
          <w:szCs w:val="26"/>
        </w:rPr>
        <w:tab/>
      </w:r>
      <w:hyperlink r:id="rId10" w:history="1">
        <w:r>
          <w:rPr>
            <w:rStyle w:val="Hyperlink"/>
            <w:rFonts w:ascii="Times New Roman" w:hAnsi="Times New Roman" w:cs="Times New Roman"/>
            <w:sz w:val="26"/>
            <w:szCs w:val="26"/>
          </w:rPr>
          <w:t>Shannon.Burns@maricopa.gov</w:t>
        </w:r>
      </w:hyperlink>
      <w:r>
        <w:rPr>
          <w:rFonts w:ascii="Times New Roman" w:hAnsi="Times New Roman" w:cs="Times New Roman"/>
          <w:sz w:val="26"/>
          <w:szCs w:val="26"/>
        </w:rPr>
        <w:t xml:space="preserve"> </w:t>
      </w:r>
    </w:p>
    <w:p w14:paraId="19F61D15" w14:textId="77777777" w:rsidR="005171A1" w:rsidRDefault="005171A1" w:rsidP="005171A1">
      <w:pPr>
        <w:widowControl/>
        <w:jc w:val="both"/>
        <w:rPr>
          <w:rFonts w:ascii="Times New Roman" w:hAnsi="Times New Roman" w:cs="Times New Roman"/>
          <w:sz w:val="26"/>
          <w:szCs w:val="26"/>
        </w:rPr>
      </w:pPr>
    </w:p>
    <w:p w14:paraId="11C6609C"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Michael C. Jones</w:t>
      </w:r>
    </w:p>
    <w:p w14:paraId="0274FA12"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Bar No. 031736</w:t>
      </w:r>
    </w:p>
    <w:p w14:paraId="5CAA3D42"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Mcpa. Cnty. Ofc. of Legal Defender</w:t>
      </w:r>
    </w:p>
    <w:p w14:paraId="09FCFA14"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222 N. Central, Suite 8100</w:t>
      </w:r>
    </w:p>
    <w:p w14:paraId="4912875D"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Phoenix, AZ 85004</w:t>
      </w:r>
    </w:p>
    <w:p w14:paraId="66DFDA2B"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(602) 506-8800</w:t>
      </w:r>
    </w:p>
    <w:p w14:paraId="34C1863A" w14:textId="77777777" w:rsidR="005171A1" w:rsidRDefault="005171A1" w:rsidP="005171A1">
      <w:pPr>
        <w:widowControl/>
        <w:jc w:val="both"/>
        <w:rPr>
          <w:rFonts w:ascii="Times New Roman" w:hAnsi="Times New Roman" w:cs="Times New Roman"/>
          <w:sz w:val="26"/>
          <w:szCs w:val="26"/>
        </w:rPr>
      </w:pPr>
      <w:hyperlink r:id="rId11" w:history="1">
        <w:r>
          <w:rPr>
            <w:rStyle w:val="Hyperlink"/>
            <w:rFonts w:ascii="Times New Roman" w:hAnsi="Times New Roman" w:cs="Times New Roman"/>
            <w:sz w:val="26"/>
            <w:szCs w:val="26"/>
          </w:rPr>
          <w:t>Michael.Jones@maricopa.gov</w:t>
        </w:r>
      </w:hyperlink>
    </w:p>
    <w:p w14:paraId="7F473A68" w14:textId="77777777" w:rsidR="005171A1" w:rsidRDefault="005171A1" w:rsidP="005171A1">
      <w:pPr>
        <w:widowControl/>
        <w:jc w:val="both"/>
        <w:rPr>
          <w:rFonts w:ascii="Times New Roman" w:hAnsi="Times New Roman" w:cs="Times New Roman"/>
          <w:sz w:val="26"/>
          <w:szCs w:val="26"/>
        </w:rPr>
      </w:pPr>
    </w:p>
    <w:p w14:paraId="6A9891BA" w14:textId="77777777" w:rsidR="005171A1" w:rsidRDefault="005171A1" w:rsidP="005171A1">
      <w:pPr>
        <w:widowControl/>
        <w:jc w:val="center"/>
        <w:rPr>
          <w:rFonts w:ascii="Times New Roman" w:hAnsi="Times New Roman" w:cs="Times New Roman"/>
          <w:b/>
          <w:bCs/>
          <w:sz w:val="26"/>
          <w:szCs w:val="26"/>
        </w:rPr>
      </w:pPr>
      <w:r>
        <w:rPr>
          <w:rFonts w:ascii="Times New Roman" w:hAnsi="Times New Roman" w:cs="Times New Roman"/>
          <w:b/>
          <w:bCs/>
          <w:sz w:val="26"/>
          <w:szCs w:val="26"/>
        </w:rPr>
        <w:t>ARIZONA SUPREME COURT</w:t>
      </w:r>
    </w:p>
    <w:p w14:paraId="7A1B86C6" w14:textId="77777777" w:rsidR="005171A1" w:rsidRDefault="005171A1" w:rsidP="005171A1">
      <w:pPr>
        <w:widowControl/>
        <w:jc w:val="both"/>
        <w:rPr>
          <w:rFonts w:ascii="Times New Roman" w:hAnsi="Times New Roman" w:cs="Times New Roman"/>
          <w:sz w:val="26"/>
          <w:szCs w:val="26"/>
        </w:rPr>
      </w:pPr>
    </w:p>
    <w:tbl>
      <w:tblPr>
        <w:tblW w:w="9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9"/>
        <w:gridCol w:w="5056"/>
      </w:tblGrid>
      <w:tr w:rsidR="005171A1" w14:paraId="40AC04DF" w14:textId="77777777">
        <w:tc>
          <w:tcPr>
            <w:tcW w:w="4500" w:type="dxa"/>
            <w:tcBorders>
              <w:top w:val="nil"/>
              <w:left w:val="nil"/>
              <w:bottom w:val="nil"/>
              <w:right w:val="single" w:sz="4" w:space="0" w:color="auto"/>
            </w:tcBorders>
          </w:tcPr>
          <w:p w14:paraId="0D0E63F3" w14:textId="77777777" w:rsidR="005171A1" w:rsidRDefault="005171A1">
            <w:pPr>
              <w:widowControl/>
              <w:snapToGrid w:val="0"/>
              <w:spacing w:line="256" w:lineRule="auto"/>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In the Matter of:</w:t>
            </w:r>
          </w:p>
          <w:p w14:paraId="7C1D2B3A" w14:textId="77777777" w:rsidR="005171A1" w:rsidRDefault="005171A1">
            <w:pPr>
              <w:widowControl/>
              <w:snapToGrid w:val="0"/>
              <w:spacing w:line="256" w:lineRule="auto"/>
              <w:rPr>
                <w:rFonts w:ascii="Times New Roman" w:hAnsi="Times New Roman" w:cs="Times New Roman"/>
                <w:kern w:val="2"/>
                <w:sz w:val="26"/>
                <w:szCs w:val="26"/>
                <w14:ligatures w14:val="standardContextual"/>
              </w:rPr>
            </w:pPr>
          </w:p>
          <w:p w14:paraId="06105AFE" w14:textId="77777777" w:rsidR="005171A1" w:rsidRDefault="005171A1">
            <w:pPr>
              <w:widowControl/>
              <w:spacing w:line="256" w:lineRule="auto"/>
              <w:rPr>
                <w:rFonts w:ascii="Times New Roman" w:hAnsi="Times New Roman" w:cs="Times New Roman"/>
                <w:kern w:val="2"/>
                <w:sz w:val="26"/>
                <w:szCs w:val="26"/>
                <w14:ligatures w14:val="standardContextual"/>
              </w:rPr>
            </w:pPr>
          </w:p>
          <w:p w14:paraId="3C7F6CC2" w14:textId="405D77CF" w:rsidR="005171A1" w:rsidRDefault="005171A1">
            <w:pPr>
              <w:widowControl/>
              <w:spacing w:line="256" w:lineRule="auto"/>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Petition to Amend Arizona Rules of Criminal Procedure 1.9, 15.1, 32.6 and 33.6 </w:t>
            </w:r>
          </w:p>
        </w:tc>
        <w:tc>
          <w:tcPr>
            <w:tcW w:w="5058" w:type="dxa"/>
            <w:tcBorders>
              <w:top w:val="nil"/>
              <w:left w:val="single" w:sz="4" w:space="0" w:color="auto"/>
              <w:bottom w:val="nil"/>
              <w:right w:val="nil"/>
            </w:tcBorders>
          </w:tcPr>
          <w:p w14:paraId="7F7C27F0" w14:textId="4A369118" w:rsidR="005171A1" w:rsidRDefault="005171A1">
            <w:pPr>
              <w:widowControl/>
              <w:snapToGrid w:val="0"/>
              <w:spacing w:line="256" w:lineRule="auto"/>
              <w:ind w:left="137"/>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Supreme Court No. R-26-0024</w:t>
            </w:r>
          </w:p>
          <w:p w14:paraId="59151DBE" w14:textId="77777777" w:rsidR="005171A1" w:rsidRDefault="005171A1">
            <w:pPr>
              <w:widowControl/>
              <w:snapToGrid w:val="0"/>
              <w:spacing w:line="256" w:lineRule="auto"/>
              <w:ind w:left="137"/>
              <w:rPr>
                <w:rFonts w:ascii="Times New Roman" w:hAnsi="Times New Roman" w:cs="Times New Roman"/>
                <w:kern w:val="2"/>
                <w:sz w:val="26"/>
                <w:szCs w:val="26"/>
                <w14:ligatures w14:val="standardContextual"/>
              </w:rPr>
            </w:pPr>
          </w:p>
          <w:p w14:paraId="1A22F019" w14:textId="77777777" w:rsidR="005171A1" w:rsidRDefault="005171A1">
            <w:pPr>
              <w:widowControl/>
              <w:snapToGrid w:val="0"/>
              <w:spacing w:line="256" w:lineRule="auto"/>
              <w:ind w:left="137"/>
              <w:rPr>
                <w:rFonts w:ascii="Times New Roman" w:hAnsi="Times New Roman" w:cs="Times New Roman"/>
                <w:kern w:val="2"/>
                <w:sz w:val="26"/>
                <w:szCs w:val="26"/>
                <w14:ligatures w14:val="standardContextual"/>
              </w:rPr>
            </w:pPr>
          </w:p>
          <w:p w14:paraId="49619C0A" w14:textId="77777777" w:rsidR="005171A1" w:rsidRDefault="005171A1">
            <w:pPr>
              <w:widowControl/>
              <w:spacing w:line="256" w:lineRule="auto"/>
              <w:ind w:left="137"/>
              <w:rPr>
                <w:rFonts w:ascii="Times New Roman" w:hAnsi="Times New Roman" w:cs="Times New Roman"/>
                <w:spacing w:val="-3"/>
                <w:kern w:val="2"/>
                <w:sz w:val="26"/>
                <w:szCs w:val="26"/>
                <w:lang w:val="es-ES"/>
                <w14:ligatures w14:val="standardContextual"/>
              </w:rPr>
            </w:pPr>
            <w:r>
              <w:rPr>
                <w:rFonts w:ascii="Times New Roman" w:hAnsi="Times New Roman" w:cs="Times New Roman"/>
                <w:kern w:val="2"/>
                <w:sz w:val="26"/>
                <w:szCs w:val="26"/>
                <w14:ligatures w14:val="standardContextual"/>
              </w:rPr>
              <w:t xml:space="preserve">Joint Comment by the Directors of the Maricopa County Indigent Defense Agencies </w:t>
            </w:r>
          </w:p>
        </w:tc>
      </w:tr>
      <w:tr w:rsidR="005171A1" w14:paraId="12285D58" w14:textId="77777777">
        <w:tc>
          <w:tcPr>
            <w:tcW w:w="4500" w:type="dxa"/>
            <w:tcBorders>
              <w:top w:val="nil"/>
              <w:left w:val="nil"/>
              <w:bottom w:val="single" w:sz="4" w:space="0" w:color="auto"/>
              <w:right w:val="single" w:sz="4" w:space="0" w:color="auto"/>
            </w:tcBorders>
          </w:tcPr>
          <w:p w14:paraId="2243C5AA" w14:textId="77777777" w:rsidR="005171A1" w:rsidRDefault="005171A1">
            <w:pPr>
              <w:widowControl/>
              <w:spacing w:line="256" w:lineRule="auto"/>
              <w:rPr>
                <w:rFonts w:ascii="Times New Roman" w:hAnsi="Times New Roman" w:cs="Times New Roman"/>
                <w:kern w:val="2"/>
                <w:sz w:val="26"/>
                <w:szCs w:val="26"/>
                <w14:ligatures w14:val="standardContextual"/>
              </w:rPr>
            </w:pPr>
          </w:p>
        </w:tc>
        <w:tc>
          <w:tcPr>
            <w:tcW w:w="5058" w:type="dxa"/>
            <w:tcBorders>
              <w:top w:val="nil"/>
              <w:left w:val="single" w:sz="4" w:space="0" w:color="auto"/>
              <w:bottom w:val="nil"/>
              <w:right w:val="nil"/>
            </w:tcBorders>
          </w:tcPr>
          <w:p w14:paraId="1D02DEC1" w14:textId="77777777" w:rsidR="005171A1" w:rsidRDefault="005171A1">
            <w:pPr>
              <w:widowControl/>
              <w:spacing w:line="256" w:lineRule="auto"/>
              <w:ind w:left="137"/>
              <w:rPr>
                <w:rFonts w:ascii="Times New Roman" w:hAnsi="Times New Roman" w:cs="Times New Roman"/>
                <w:kern w:val="2"/>
                <w:sz w:val="26"/>
                <w:szCs w:val="26"/>
                <w14:ligatures w14:val="standardContextual"/>
              </w:rPr>
            </w:pPr>
          </w:p>
        </w:tc>
      </w:tr>
    </w:tbl>
    <w:p w14:paraId="3191BA88" w14:textId="77777777" w:rsidR="005171A1" w:rsidRDefault="005171A1" w:rsidP="005171A1">
      <w:pPr>
        <w:widowControl/>
        <w:jc w:val="both"/>
        <w:rPr>
          <w:rFonts w:ascii="Times New Roman" w:hAnsi="Times New Roman" w:cs="Times New Roman"/>
          <w:sz w:val="26"/>
          <w:szCs w:val="26"/>
        </w:rPr>
      </w:pPr>
    </w:p>
    <w:p w14:paraId="35CB0C05" w14:textId="77777777" w:rsidR="0092136F" w:rsidRDefault="0092136F"/>
    <w:p w14:paraId="45C80E89" w14:textId="77777777" w:rsidR="005171A1" w:rsidRPr="005171A1" w:rsidRDefault="005171A1" w:rsidP="005171A1">
      <w:pPr>
        <w:widowControl/>
        <w:spacing w:line="480" w:lineRule="auto"/>
        <w:ind w:firstLine="720"/>
        <w:jc w:val="both"/>
        <w:rPr>
          <w:rFonts w:ascii="Times New Roman" w:hAnsi="Times New Roman" w:cs="Times New Roman"/>
          <w:sz w:val="26"/>
          <w:szCs w:val="26"/>
        </w:rPr>
      </w:pPr>
      <w:r w:rsidRPr="005171A1">
        <w:rPr>
          <w:rFonts w:ascii="Times New Roman" w:hAnsi="Times New Roman" w:cs="Times New Roman"/>
          <w:sz w:val="26"/>
          <w:szCs w:val="26"/>
        </w:rPr>
        <w:t xml:space="preserve">The Maricopa County indigent representation (IR) offices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w:t>
      </w:r>
      <w:r w:rsidRPr="005171A1">
        <w:rPr>
          <w:rFonts w:ascii="Times New Roman" w:hAnsi="Times New Roman" w:cs="Times New Roman"/>
          <w:sz w:val="26"/>
          <w:szCs w:val="26"/>
        </w:rPr>
        <w:lastRenderedPageBreak/>
        <w:t xml:space="preserve">comprised of the Office of the Public Defender (OPD), the Office of the Legal Advocate (OLA), the Office of the Legal Defender (OLD), and the Office of the Public Advocate (OPA). We jointly submit this comment in support of the Petition to Amend Arizona Rules of Criminal Procedure 1.9, 15.1, 32.6 and 33.6. </w:t>
      </w:r>
    </w:p>
    <w:p w14:paraId="26E2713E" w14:textId="75CE979F" w:rsidR="005171A1" w:rsidRDefault="005171A1" w:rsidP="005171A1">
      <w:pPr>
        <w:pStyle w:val="paragraph"/>
        <w:spacing w:before="0" w:beforeAutospacing="0" w:after="0" w:afterAutospacing="0" w:line="480" w:lineRule="auto"/>
        <w:ind w:firstLine="720"/>
        <w:jc w:val="both"/>
        <w:textAlignment w:val="baseline"/>
        <w:rPr>
          <w:rStyle w:val="normaltextrun"/>
          <w:rFonts w:eastAsiaTheme="majorEastAsia"/>
          <w:color w:val="000000" w:themeColor="text1"/>
          <w:sz w:val="26"/>
          <w:szCs w:val="26"/>
        </w:rPr>
      </w:pPr>
      <w:r w:rsidRPr="005171A1">
        <w:rPr>
          <w:sz w:val="26"/>
          <w:szCs w:val="26"/>
        </w:rPr>
        <w:t>Given the critical role of ex parte practice in protecting the rights of criminal defendants at all stages of proceedings,</w:t>
      </w:r>
      <w:r w:rsidRPr="005171A1">
        <w:rPr>
          <w:rStyle w:val="normaltextrun"/>
          <w:rFonts w:eastAsiaTheme="majorEastAsia"/>
          <w:color w:val="000000" w:themeColor="text1"/>
          <w:sz w:val="26"/>
          <w:szCs w:val="26"/>
        </w:rPr>
        <w:t xml:space="preserve"> the Maricopa County indigent representation offices strongly support the adoption of these rule amendments which would expressly authorize ex parte discovery motions and hearings. Ex parte motions and hearings allow courts to address issues that are particularly sensitive and require confidentiality</w:t>
      </w:r>
      <w:r w:rsidR="00183309">
        <w:rPr>
          <w:rStyle w:val="normaltextrun"/>
          <w:rFonts w:eastAsiaTheme="majorEastAsia"/>
          <w:color w:val="000000" w:themeColor="text1"/>
          <w:sz w:val="26"/>
          <w:szCs w:val="26"/>
        </w:rPr>
        <w:t>.</w:t>
      </w:r>
      <w:r w:rsidRPr="005171A1">
        <w:rPr>
          <w:rStyle w:val="normaltextrun"/>
          <w:rFonts w:eastAsiaTheme="majorEastAsia"/>
          <w:color w:val="000000" w:themeColor="text1"/>
          <w:sz w:val="26"/>
          <w:szCs w:val="26"/>
        </w:rPr>
        <w:t xml:space="preserve"> </w:t>
      </w:r>
    </w:p>
    <w:p w14:paraId="4C09AB8E" w14:textId="3A993E39" w:rsidR="00352EED" w:rsidRDefault="005171A1" w:rsidP="005171A1">
      <w:pPr>
        <w:pStyle w:val="paragraph"/>
        <w:spacing w:before="0" w:beforeAutospacing="0" w:after="0" w:afterAutospacing="0" w:line="480" w:lineRule="auto"/>
        <w:ind w:firstLine="720"/>
        <w:jc w:val="both"/>
        <w:textAlignment w:val="baseline"/>
        <w:rPr>
          <w:rFonts w:eastAsiaTheme="majorEastAsia"/>
          <w:color w:val="000000" w:themeColor="text1"/>
          <w:sz w:val="26"/>
          <w:szCs w:val="26"/>
        </w:rPr>
      </w:pPr>
      <w:r w:rsidRPr="005171A1">
        <w:rPr>
          <w:rStyle w:val="normaltextrun"/>
          <w:rFonts w:eastAsiaTheme="majorEastAsia"/>
          <w:color w:val="000000" w:themeColor="text1"/>
          <w:sz w:val="26"/>
          <w:szCs w:val="26"/>
        </w:rPr>
        <w:t xml:space="preserve">The need for ex parte communications arises at </w:t>
      </w:r>
      <w:r w:rsidRPr="00EA485F">
        <w:rPr>
          <w:rStyle w:val="normaltextrun"/>
          <w:rFonts w:eastAsiaTheme="majorEastAsia"/>
          <w:color w:val="000000" w:themeColor="text1"/>
          <w:sz w:val="26"/>
          <w:szCs w:val="26"/>
        </w:rPr>
        <w:t xml:space="preserve">all stages of a criminal case, including in pre-trial litigation and in post-conviction proceedings. </w:t>
      </w:r>
      <w:r w:rsidR="000365E2" w:rsidRPr="00EA485F">
        <w:rPr>
          <w:rStyle w:val="normaltextrun"/>
          <w:rFonts w:eastAsiaTheme="majorEastAsia"/>
          <w:color w:val="000000" w:themeColor="text1"/>
          <w:sz w:val="26"/>
          <w:szCs w:val="26"/>
        </w:rPr>
        <w:t xml:space="preserve">There </w:t>
      </w:r>
      <w:r w:rsidRPr="00EA485F">
        <w:rPr>
          <w:rStyle w:val="normaltextrun"/>
          <w:rFonts w:eastAsiaTheme="majorEastAsia"/>
          <w:color w:val="000000" w:themeColor="text1"/>
          <w:sz w:val="26"/>
          <w:szCs w:val="26"/>
        </w:rPr>
        <w:t>are procedural safeguards to circumvent the risks that these ex parte motions may introduce</w:t>
      </w:r>
      <w:r w:rsidR="00EA485F" w:rsidRPr="00EA485F">
        <w:rPr>
          <w:rStyle w:val="normaltextrun"/>
          <w:rFonts w:eastAsiaTheme="majorEastAsia"/>
          <w:color w:val="000000" w:themeColor="text1"/>
          <w:sz w:val="26"/>
          <w:szCs w:val="26"/>
        </w:rPr>
        <w:t xml:space="preserve"> </w:t>
      </w:r>
      <w:r w:rsidR="00EA485F">
        <w:rPr>
          <w:rStyle w:val="normaltextrun"/>
          <w:rFonts w:eastAsiaTheme="majorEastAsia"/>
          <w:color w:val="000000" w:themeColor="text1"/>
          <w:sz w:val="26"/>
          <w:szCs w:val="26"/>
        </w:rPr>
        <w:t>as</w:t>
      </w:r>
      <w:r w:rsidR="00EA485F" w:rsidRPr="00EA485F">
        <w:rPr>
          <w:rStyle w:val="normaltextrun"/>
          <w:rFonts w:eastAsiaTheme="majorEastAsia"/>
          <w:color w:val="000000" w:themeColor="text1"/>
          <w:sz w:val="26"/>
          <w:szCs w:val="26"/>
        </w:rPr>
        <w:t xml:space="preserve"> </w:t>
      </w:r>
      <w:r w:rsidRPr="00EA485F">
        <w:rPr>
          <w:rStyle w:val="normaltextrun"/>
          <w:rFonts w:eastAsiaTheme="majorEastAsia"/>
          <w:color w:val="000000" w:themeColor="text1"/>
          <w:sz w:val="26"/>
          <w:szCs w:val="26"/>
        </w:rPr>
        <w:t>th</w:t>
      </w:r>
      <w:r w:rsidR="00633FD4" w:rsidRPr="00EA485F">
        <w:rPr>
          <w:rStyle w:val="normaltextrun"/>
          <w:rFonts w:eastAsiaTheme="majorEastAsia"/>
          <w:color w:val="000000" w:themeColor="text1"/>
          <w:sz w:val="26"/>
          <w:szCs w:val="26"/>
        </w:rPr>
        <w:t xml:space="preserve">ese motions </w:t>
      </w:r>
      <w:r w:rsidRPr="00EA485F">
        <w:rPr>
          <w:rStyle w:val="normaltextrun"/>
          <w:rFonts w:eastAsiaTheme="majorEastAsia"/>
          <w:color w:val="000000" w:themeColor="text1"/>
          <w:sz w:val="26"/>
          <w:szCs w:val="26"/>
        </w:rPr>
        <w:t>are necessary to protect confidentiality and exercise effective assistance of counsel.</w:t>
      </w:r>
      <w:r w:rsidRPr="005171A1">
        <w:rPr>
          <w:rStyle w:val="normaltextrun"/>
          <w:rFonts w:eastAsiaTheme="majorEastAsia"/>
          <w:color w:val="000000" w:themeColor="text1"/>
          <w:sz w:val="26"/>
          <w:szCs w:val="26"/>
        </w:rPr>
        <w:t xml:space="preserve"> The petition specifies these safeguards as well as the proposed amendments. </w:t>
      </w:r>
      <w:r w:rsidRPr="005171A1">
        <w:rPr>
          <w:rFonts w:eastAsiaTheme="majorEastAsia"/>
          <w:color w:val="000000" w:themeColor="text1"/>
          <w:sz w:val="26"/>
          <w:szCs w:val="26"/>
        </w:rPr>
        <w:t xml:space="preserve">Ex parte communications are an essential function in our criminal justice system, specifically at the inception of a case to conduct a thorough, detailed and effective investigation. This </w:t>
      </w:r>
    </w:p>
    <w:p w14:paraId="581F1856" w14:textId="3E9ACC81" w:rsidR="005171A1" w:rsidRPr="005171A1" w:rsidRDefault="005171A1" w:rsidP="00622136">
      <w:pPr>
        <w:pStyle w:val="paragraph"/>
        <w:spacing w:before="0" w:beforeAutospacing="0" w:after="0" w:afterAutospacing="0" w:line="480" w:lineRule="auto"/>
        <w:jc w:val="both"/>
        <w:textAlignment w:val="baseline"/>
        <w:rPr>
          <w:rFonts w:eastAsiaTheme="majorEastAsia"/>
          <w:color w:val="000000" w:themeColor="text1"/>
          <w:sz w:val="26"/>
          <w:szCs w:val="26"/>
        </w:rPr>
      </w:pPr>
      <w:r w:rsidRPr="005171A1">
        <w:rPr>
          <w:rFonts w:eastAsiaTheme="majorEastAsia"/>
          <w:color w:val="000000" w:themeColor="text1"/>
          <w:sz w:val="26"/>
          <w:szCs w:val="26"/>
        </w:rPr>
        <w:t xml:space="preserve">includes obtaining records, retaining and hiring experts, and strategically preparing a defense. </w:t>
      </w:r>
    </w:p>
    <w:p w14:paraId="3BF579A7" w14:textId="3CD25671" w:rsidR="005171A1" w:rsidRPr="005171A1" w:rsidRDefault="00CB5F38" w:rsidP="005171A1">
      <w:pPr>
        <w:pStyle w:val="paragraph"/>
        <w:spacing w:before="0" w:beforeAutospacing="0" w:after="0" w:afterAutospacing="0" w:line="480" w:lineRule="auto"/>
        <w:ind w:firstLine="720"/>
        <w:jc w:val="both"/>
        <w:textAlignment w:val="baseline"/>
        <w:rPr>
          <w:rFonts w:eastAsiaTheme="majorEastAsia"/>
          <w:color w:val="000000" w:themeColor="text1"/>
          <w:sz w:val="26"/>
          <w:szCs w:val="26"/>
        </w:rPr>
      </w:pPr>
      <w:r>
        <w:rPr>
          <w:rStyle w:val="normaltextrun"/>
          <w:rFonts w:eastAsiaTheme="majorEastAsia"/>
          <w:color w:val="000000" w:themeColor="text1"/>
          <w:sz w:val="26"/>
          <w:szCs w:val="26"/>
        </w:rPr>
        <w:t>T</w:t>
      </w:r>
      <w:r w:rsidR="00B219EE" w:rsidRPr="005171A1">
        <w:rPr>
          <w:rStyle w:val="normaltextrun"/>
          <w:rFonts w:eastAsiaTheme="majorEastAsia"/>
          <w:color w:val="000000" w:themeColor="text1"/>
          <w:sz w:val="26"/>
          <w:szCs w:val="26"/>
        </w:rPr>
        <w:t xml:space="preserve">he Arizona Court of Appeals Division </w:t>
      </w:r>
      <w:r w:rsidR="00B219EE" w:rsidRPr="005171A1">
        <w:rPr>
          <w:sz w:val="26"/>
          <w:szCs w:val="26"/>
        </w:rPr>
        <w:t>issued a</w:t>
      </w:r>
      <w:r w:rsidR="00B219EE">
        <w:rPr>
          <w:sz w:val="26"/>
          <w:szCs w:val="26"/>
        </w:rPr>
        <w:t xml:space="preserve">n </w:t>
      </w:r>
      <w:r>
        <w:rPr>
          <w:sz w:val="26"/>
          <w:szCs w:val="26"/>
        </w:rPr>
        <w:t>opinion</w:t>
      </w:r>
      <w:r w:rsidR="00B219EE" w:rsidRPr="005171A1">
        <w:rPr>
          <w:sz w:val="26"/>
          <w:szCs w:val="26"/>
        </w:rPr>
        <w:t xml:space="preserve"> </w:t>
      </w:r>
      <w:r w:rsidR="00B219EE">
        <w:rPr>
          <w:sz w:val="26"/>
          <w:szCs w:val="26"/>
        </w:rPr>
        <w:t xml:space="preserve">regarding </w:t>
      </w:r>
      <w:r w:rsidR="00B219EE" w:rsidRPr="005171A1">
        <w:rPr>
          <w:sz w:val="26"/>
          <w:szCs w:val="26"/>
        </w:rPr>
        <w:t xml:space="preserve">the use of ex parte motions in criminal </w:t>
      </w:r>
      <w:r>
        <w:rPr>
          <w:sz w:val="26"/>
          <w:szCs w:val="26"/>
        </w:rPr>
        <w:t xml:space="preserve">PCR </w:t>
      </w:r>
      <w:r w:rsidR="00B219EE" w:rsidRPr="005171A1">
        <w:rPr>
          <w:sz w:val="26"/>
          <w:szCs w:val="26"/>
        </w:rPr>
        <w:t>proceedings</w:t>
      </w:r>
      <w:r>
        <w:rPr>
          <w:sz w:val="26"/>
          <w:szCs w:val="26"/>
        </w:rPr>
        <w:t>.</w:t>
      </w:r>
      <w:r w:rsidR="00B219EE" w:rsidRPr="005171A1">
        <w:rPr>
          <w:sz w:val="26"/>
          <w:szCs w:val="26"/>
        </w:rPr>
        <w:t xml:space="preserve"> </w:t>
      </w:r>
      <w:r w:rsidR="00B219EE" w:rsidRPr="005171A1">
        <w:rPr>
          <w:i/>
          <w:iCs/>
          <w:sz w:val="26"/>
          <w:szCs w:val="26"/>
        </w:rPr>
        <w:t xml:space="preserve">State v. Smith, </w:t>
      </w:r>
      <w:r w:rsidR="00B219EE" w:rsidRPr="005171A1">
        <w:rPr>
          <w:sz w:val="26"/>
          <w:szCs w:val="26"/>
        </w:rPr>
        <w:t>585 P.3d 808 (Ariz. Ct. App. 2025)</w:t>
      </w:r>
      <w:r w:rsidR="00B219EE" w:rsidRPr="005171A1">
        <w:rPr>
          <w:rStyle w:val="normaltextrun"/>
          <w:rFonts w:eastAsiaTheme="majorEastAsia"/>
          <w:color w:val="000000" w:themeColor="text1"/>
          <w:sz w:val="26"/>
          <w:szCs w:val="26"/>
        </w:rPr>
        <w:t>. This ruling</w:t>
      </w:r>
      <w:r>
        <w:rPr>
          <w:rStyle w:val="normaltextrun"/>
          <w:rFonts w:eastAsiaTheme="majorEastAsia"/>
          <w:color w:val="000000" w:themeColor="text1"/>
          <w:sz w:val="26"/>
          <w:szCs w:val="26"/>
        </w:rPr>
        <w:t>, if interpreted incorrectly,</w:t>
      </w:r>
      <w:r w:rsidR="00B219EE" w:rsidRPr="005171A1">
        <w:rPr>
          <w:rStyle w:val="normaltextrun"/>
          <w:rFonts w:eastAsiaTheme="majorEastAsia"/>
          <w:color w:val="000000" w:themeColor="text1"/>
          <w:sz w:val="26"/>
          <w:szCs w:val="26"/>
        </w:rPr>
        <w:t xml:space="preserve"> </w:t>
      </w:r>
      <w:r w:rsidR="00B219EE">
        <w:rPr>
          <w:rStyle w:val="normaltextrun"/>
          <w:rFonts w:eastAsiaTheme="majorEastAsia"/>
          <w:color w:val="000000" w:themeColor="text1"/>
          <w:sz w:val="26"/>
          <w:szCs w:val="26"/>
        </w:rPr>
        <w:t xml:space="preserve">risks undermining </w:t>
      </w:r>
      <w:r w:rsidR="002D701D">
        <w:rPr>
          <w:rStyle w:val="normaltextrun"/>
          <w:rFonts w:eastAsiaTheme="majorEastAsia"/>
          <w:color w:val="000000" w:themeColor="text1"/>
          <w:sz w:val="26"/>
          <w:szCs w:val="26"/>
        </w:rPr>
        <w:t xml:space="preserve">the </w:t>
      </w:r>
      <w:r w:rsidR="00622136">
        <w:rPr>
          <w:rStyle w:val="normaltextrun"/>
          <w:rFonts w:eastAsiaTheme="majorEastAsia"/>
          <w:color w:val="000000" w:themeColor="text1"/>
          <w:sz w:val="26"/>
          <w:szCs w:val="26"/>
        </w:rPr>
        <w:t>long-standing</w:t>
      </w:r>
      <w:r w:rsidR="00B219EE">
        <w:rPr>
          <w:rStyle w:val="normaltextrun"/>
          <w:rFonts w:eastAsiaTheme="majorEastAsia"/>
          <w:color w:val="000000" w:themeColor="text1"/>
          <w:sz w:val="26"/>
          <w:szCs w:val="26"/>
        </w:rPr>
        <w:t xml:space="preserve"> practice in Arizona </w:t>
      </w:r>
      <w:r w:rsidR="002D701D">
        <w:rPr>
          <w:rStyle w:val="normaltextrun"/>
          <w:rFonts w:eastAsiaTheme="majorEastAsia"/>
          <w:color w:val="000000" w:themeColor="text1"/>
          <w:sz w:val="26"/>
          <w:szCs w:val="26"/>
        </w:rPr>
        <w:t>of ex parte discovery motions</w:t>
      </w:r>
      <w:r w:rsidR="00B219EE">
        <w:rPr>
          <w:rStyle w:val="normaltextrun"/>
          <w:rFonts w:eastAsiaTheme="majorEastAsia"/>
          <w:color w:val="000000" w:themeColor="text1"/>
          <w:sz w:val="26"/>
          <w:szCs w:val="26"/>
        </w:rPr>
        <w:t xml:space="preserve"> </w:t>
      </w:r>
      <w:r w:rsidR="002D701D">
        <w:rPr>
          <w:rStyle w:val="normaltextrun"/>
          <w:rFonts w:eastAsiaTheme="majorEastAsia"/>
          <w:color w:val="000000" w:themeColor="text1"/>
          <w:sz w:val="26"/>
          <w:szCs w:val="26"/>
        </w:rPr>
        <w:t xml:space="preserve">under </w:t>
      </w:r>
      <w:r w:rsidR="00B219EE">
        <w:rPr>
          <w:rStyle w:val="normaltextrun"/>
          <w:rFonts w:eastAsiaTheme="majorEastAsia"/>
          <w:color w:val="000000" w:themeColor="text1"/>
          <w:sz w:val="26"/>
          <w:szCs w:val="26"/>
        </w:rPr>
        <w:t>Rule</w:t>
      </w:r>
      <w:r w:rsidR="0020198E">
        <w:rPr>
          <w:rStyle w:val="normaltextrun"/>
          <w:rFonts w:eastAsiaTheme="majorEastAsia"/>
          <w:color w:val="000000" w:themeColor="text1"/>
          <w:sz w:val="26"/>
          <w:szCs w:val="26"/>
        </w:rPr>
        <w:t xml:space="preserve"> 6.7</w:t>
      </w:r>
      <w:r w:rsidR="00B219EE">
        <w:rPr>
          <w:rStyle w:val="normaltextrun"/>
          <w:rFonts w:eastAsiaTheme="majorEastAsia"/>
          <w:color w:val="000000" w:themeColor="text1"/>
          <w:sz w:val="26"/>
          <w:szCs w:val="26"/>
        </w:rPr>
        <w:t>.</w:t>
      </w:r>
      <w:r w:rsidR="005171A1" w:rsidRPr="005171A1">
        <w:rPr>
          <w:rFonts w:eastAsiaTheme="majorEastAsia"/>
          <w:color w:val="000000" w:themeColor="text1"/>
          <w:sz w:val="26"/>
          <w:szCs w:val="26"/>
        </w:rPr>
        <w:t xml:space="preserve"> </w:t>
      </w:r>
    </w:p>
    <w:p w14:paraId="50E8E0E8" w14:textId="5C47E0FB" w:rsidR="00975DA8" w:rsidRDefault="00B9328D" w:rsidP="009F3000">
      <w:pPr>
        <w:pStyle w:val="paragraph"/>
        <w:spacing w:before="0" w:beforeAutospacing="0" w:after="0" w:afterAutospacing="0" w:line="480" w:lineRule="auto"/>
        <w:ind w:firstLine="720"/>
        <w:jc w:val="both"/>
        <w:textAlignment w:val="baseline"/>
        <w:rPr>
          <w:rFonts w:eastAsiaTheme="majorEastAsia"/>
          <w:color w:val="000000" w:themeColor="text1"/>
          <w:sz w:val="26"/>
          <w:szCs w:val="26"/>
        </w:rPr>
      </w:pPr>
      <w:r>
        <w:rPr>
          <w:rFonts w:eastAsiaTheme="majorEastAsia"/>
          <w:color w:val="000000" w:themeColor="text1"/>
          <w:sz w:val="26"/>
          <w:szCs w:val="26"/>
        </w:rPr>
        <w:lastRenderedPageBreak/>
        <w:t xml:space="preserve">Because </w:t>
      </w:r>
      <w:r w:rsidR="00136FE7">
        <w:rPr>
          <w:rFonts w:eastAsiaTheme="majorEastAsia"/>
          <w:color w:val="000000" w:themeColor="text1"/>
          <w:sz w:val="26"/>
          <w:szCs w:val="26"/>
        </w:rPr>
        <w:t>ARS 13-4071</w:t>
      </w:r>
      <w:r w:rsidR="000B4C2D">
        <w:rPr>
          <w:rFonts w:eastAsiaTheme="majorEastAsia"/>
          <w:color w:val="000000" w:themeColor="text1"/>
          <w:sz w:val="26"/>
          <w:szCs w:val="26"/>
        </w:rPr>
        <w:t xml:space="preserve">(D) prohibits the use of </w:t>
      </w:r>
      <w:r>
        <w:rPr>
          <w:rFonts w:eastAsiaTheme="majorEastAsia"/>
          <w:color w:val="000000" w:themeColor="text1"/>
          <w:sz w:val="26"/>
          <w:szCs w:val="26"/>
        </w:rPr>
        <w:t xml:space="preserve">blank subpoenas </w:t>
      </w:r>
      <w:r w:rsidR="00320DA0">
        <w:rPr>
          <w:rFonts w:eastAsiaTheme="majorEastAsia"/>
          <w:color w:val="000000" w:themeColor="text1"/>
          <w:sz w:val="26"/>
          <w:szCs w:val="26"/>
        </w:rPr>
        <w:t>to proc</w:t>
      </w:r>
      <w:r w:rsidR="00136FE7">
        <w:rPr>
          <w:rFonts w:eastAsiaTheme="majorEastAsia"/>
          <w:color w:val="000000" w:themeColor="text1"/>
          <w:sz w:val="26"/>
          <w:szCs w:val="26"/>
        </w:rPr>
        <w:t>ure discovery</w:t>
      </w:r>
      <w:r>
        <w:rPr>
          <w:rFonts w:eastAsiaTheme="majorEastAsia"/>
          <w:color w:val="000000" w:themeColor="text1"/>
          <w:sz w:val="26"/>
          <w:szCs w:val="26"/>
        </w:rPr>
        <w:t xml:space="preserve"> in </w:t>
      </w:r>
      <w:r w:rsidR="00504D1D">
        <w:rPr>
          <w:rFonts w:eastAsiaTheme="majorEastAsia"/>
          <w:color w:val="000000" w:themeColor="text1"/>
          <w:sz w:val="26"/>
          <w:szCs w:val="26"/>
        </w:rPr>
        <w:t>criminal</w:t>
      </w:r>
      <w:r>
        <w:rPr>
          <w:rFonts w:eastAsiaTheme="majorEastAsia"/>
          <w:color w:val="000000" w:themeColor="text1"/>
          <w:sz w:val="26"/>
          <w:szCs w:val="26"/>
        </w:rPr>
        <w:t xml:space="preserve"> case</w:t>
      </w:r>
      <w:r w:rsidR="00504D1D">
        <w:rPr>
          <w:rFonts w:eastAsiaTheme="majorEastAsia"/>
          <w:color w:val="000000" w:themeColor="text1"/>
          <w:sz w:val="26"/>
          <w:szCs w:val="26"/>
        </w:rPr>
        <w:t>s</w:t>
      </w:r>
      <w:r>
        <w:rPr>
          <w:rFonts w:eastAsiaTheme="majorEastAsia"/>
          <w:color w:val="000000" w:themeColor="text1"/>
          <w:sz w:val="26"/>
          <w:szCs w:val="26"/>
        </w:rPr>
        <w:t xml:space="preserve">, </w:t>
      </w:r>
      <w:r w:rsidR="00C31EDA">
        <w:rPr>
          <w:rFonts w:eastAsiaTheme="majorEastAsia"/>
          <w:color w:val="000000" w:themeColor="text1"/>
          <w:sz w:val="26"/>
          <w:szCs w:val="26"/>
        </w:rPr>
        <w:t>motions</w:t>
      </w:r>
      <w:r w:rsidR="003913DD">
        <w:rPr>
          <w:rFonts w:eastAsiaTheme="majorEastAsia"/>
          <w:color w:val="000000" w:themeColor="text1"/>
          <w:sz w:val="26"/>
          <w:szCs w:val="26"/>
        </w:rPr>
        <w:t xml:space="preserve"> for 15.1(g) discovery orders</w:t>
      </w:r>
      <w:r w:rsidR="00D06468">
        <w:rPr>
          <w:rFonts w:eastAsiaTheme="majorEastAsia"/>
          <w:color w:val="000000" w:themeColor="text1"/>
          <w:sz w:val="26"/>
          <w:szCs w:val="26"/>
        </w:rPr>
        <w:t xml:space="preserve"> are necessary to obtain </w:t>
      </w:r>
      <w:r w:rsidR="00AF1857">
        <w:rPr>
          <w:rFonts w:eastAsiaTheme="majorEastAsia"/>
          <w:color w:val="000000" w:themeColor="text1"/>
          <w:sz w:val="26"/>
          <w:szCs w:val="26"/>
        </w:rPr>
        <w:t xml:space="preserve">documents held by third parties. This includes </w:t>
      </w:r>
      <w:r w:rsidR="00D06468">
        <w:rPr>
          <w:rFonts w:eastAsiaTheme="majorEastAsia"/>
          <w:color w:val="000000" w:themeColor="text1"/>
          <w:sz w:val="26"/>
          <w:szCs w:val="26"/>
        </w:rPr>
        <w:t xml:space="preserve">the </w:t>
      </w:r>
      <w:r w:rsidR="00EB2696">
        <w:rPr>
          <w:rFonts w:eastAsiaTheme="majorEastAsia"/>
          <w:color w:val="000000" w:themeColor="text1"/>
          <w:sz w:val="26"/>
          <w:szCs w:val="26"/>
        </w:rPr>
        <w:t>defendant’s</w:t>
      </w:r>
      <w:r w:rsidR="00D06468">
        <w:rPr>
          <w:rFonts w:eastAsiaTheme="majorEastAsia"/>
          <w:color w:val="000000" w:themeColor="text1"/>
          <w:sz w:val="26"/>
          <w:szCs w:val="26"/>
        </w:rPr>
        <w:t xml:space="preserve"> own records from schools, employers</w:t>
      </w:r>
      <w:r w:rsidR="00EB2696">
        <w:rPr>
          <w:rFonts w:eastAsiaTheme="majorEastAsia"/>
          <w:color w:val="000000" w:themeColor="text1"/>
          <w:sz w:val="26"/>
          <w:szCs w:val="26"/>
        </w:rPr>
        <w:t xml:space="preserve">, and </w:t>
      </w:r>
      <w:r w:rsidR="00125A0A">
        <w:rPr>
          <w:rFonts w:eastAsiaTheme="majorEastAsia"/>
          <w:color w:val="000000" w:themeColor="text1"/>
          <w:sz w:val="26"/>
          <w:szCs w:val="26"/>
        </w:rPr>
        <w:t xml:space="preserve">medical </w:t>
      </w:r>
      <w:r w:rsidR="004E1BCF">
        <w:rPr>
          <w:rFonts w:eastAsiaTheme="majorEastAsia"/>
          <w:color w:val="000000" w:themeColor="text1"/>
          <w:sz w:val="26"/>
          <w:szCs w:val="26"/>
        </w:rPr>
        <w:t>providers</w:t>
      </w:r>
      <w:r w:rsidR="00EB2696">
        <w:rPr>
          <w:rFonts w:eastAsiaTheme="majorEastAsia"/>
          <w:color w:val="000000" w:themeColor="text1"/>
          <w:sz w:val="26"/>
          <w:szCs w:val="26"/>
        </w:rPr>
        <w:t xml:space="preserve">. </w:t>
      </w:r>
      <w:r w:rsidR="002F0B46">
        <w:rPr>
          <w:rFonts w:eastAsiaTheme="majorEastAsia"/>
          <w:color w:val="000000" w:themeColor="text1"/>
          <w:sz w:val="26"/>
          <w:szCs w:val="26"/>
        </w:rPr>
        <w:t xml:space="preserve">Motions for 15.1(g) orders might also include, for example: </w:t>
      </w:r>
      <w:r w:rsidR="002F0B46" w:rsidRPr="005171A1">
        <w:rPr>
          <w:rFonts w:eastAsiaTheme="majorEastAsia"/>
          <w:color w:val="000000" w:themeColor="text1"/>
          <w:sz w:val="26"/>
          <w:szCs w:val="26"/>
        </w:rPr>
        <w:t xml:space="preserve">1) obtaining a client’s work records in order to establish an alibi defense, 2) obtaining an order to access prior competency proceedings from another agency or county, and 3) obtaining third party records/protected health information when a </w:t>
      </w:r>
      <w:r w:rsidR="00390471">
        <w:rPr>
          <w:rFonts w:eastAsiaTheme="majorEastAsia"/>
          <w:color w:val="000000" w:themeColor="text1"/>
          <w:sz w:val="26"/>
          <w:szCs w:val="26"/>
        </w:rPr>
        <w:t>person</w:t>
      </w:r>
      <w:r w:rsidR="009913BE" w:rsidRPr="005171A1">
        <w:rPr>
          <w:rFonts w:eastAsiaTheme="majorEastAsia"/>
          <w:color w:val="000000" w:themeColor="text1"/>
          <w:sz w:val="26"/>
          <w:szCs w:val="26"/>
        </w:rPr>
        <w:t xml:space="preserve"> </w:t>
      </w:r>
      <w:r w:rsidR="009913BE">
        <w:rPr>
          <w:rFonts w:eastAsiaTheme="majorEastAsia"/>
          <w:color w:val="000000" w:themeColor="text1"/>
          <w:sz w:val="26"/>
          <w:szCs w:val="26"/>
        </w:rPr>
        <w:t>is unable</w:t>
      </w:r>
      <w:r w:rsidR="00390471">
        <w:rPr>
          <w:rFonts w:eastAsiaTheme="majorEastAsia"/>
          <w:color w:val="000000" w:themeColor="text1"/>
          <w:sz w:val="26"/>
          <w:szCs w:val="26"/>
        </w:rPr>
        <w:t xml:space="preserve"> or unwilling</w:t>
      </w:r>
      <w:r w:rsidR="009913BE">
        <w:rPr>
          <w:rFonts w:eastAsiaTheme="majorEastAsia"/>
          <w:color w:val="000000" w:themeColor="text1"/>
          <w:sz w:val="26"/>
          <w:szCs w:val="26"/>
        </w:rPr>
        <w:t xml:space="preserve"> to</w:t>
      </w:r>
      <w:r w:rsidR="009913BE" w:rsidRPr="005171A1">
        <w:rPr>
          <w:rFonts w:eastAsiaTheme="majorEastAsia"/>
          <w:color w:val="000000" w:themeColor="text1"/>
          <w:sz w:val="26"/>
          <w:szCs w:val="26"/>
        </w:rPr>
        <w:t xml:space="preserve"> </w:t>
      </w:r>
      <w:r w:rsidR="002F0B46" w:rsidRPr="005171A1">
        <w:rPr>
          <w:rFonts w:eastAsiaTheme="majorEastAsia"/>
          <w:color w:val="000000" w:themeColor="text1"/>
          <w:sz w:val="26"/>
          <w:szCs w:val="26"/>
        </w:rPr>
        <w:t xml:space="preserve">sign a release of information. </w:t>
      </w:r>
    </w:p>
    <w:p w14:paraId="4AF9B11D" w14:textId="7CE0BC77" w:rsidR="003D62B4" w:rsidRDefault="002F0B46" w:rsidP="00DF0EF5">
      <w:pPr>
        <w:pStyle w:val="paragraph"/>
        <w:spacing w:before="0" w:beforeAutospacing="0" w:after="0" w:afterAutospacing="0" w:line="480" w:lineRule="auto"/>
        <w:ind w:firstLine="720"/>
        <w:jc w:val="both"/>
        <w:textAlignment w:val="baseline"/>
        <w:rPr>
          <w:rFonts w:eastAsiaTheme="majorEastAsia"/>
          <w:color w:val="000000" w:themeColor="text1"/>
          <w:sz w:val="26"/>
          <w:szCs w:val="26"/>
        </w:rPr>
      </w:pPr>
      <w:r>
        <w:rPr>
          <w:rFonts w:eastAsiaTheme="majorEastAsia"/>
          <w:color w:val="000000" w:themeColor="text1"/>
          <w:sz w:val="26"/>
          <w:szCs w:val="26"/>
        </w:rPr>
        <w:t xml:space="preserve"> </w:t>
      </w:r>
      <w:r w:rsidR="00787A85">
        <w:rPr>
          <w:rFonts w:eastAsiaTheme="majorEastAsia"/>
          <w:color w:val="000000" w:themeColor="text1"/>
          <w:sz w:val="26"/>
          <w:szCs w:val="26"/>
        </w:rPr>
        <w:t>I</w:t>
      </w:r>
      <w:r w:rsidR="006853C2">
        <w:rPr>
          <w:rFonts w:eastAsiaTheme="majorEastAsia"/>
          <w:color w:val="000000" w:themeColor="text1"/>
          <w:sz w:val="26"/>
          <w:szCs w:val="26"/>
        </w:rPr>
        <w:t xml:space="preserve">n </w:t>
      </w:r>
      <w:r w:rsidR="00975DA8">
        <w:rPr>
          <w:rFonts w:eastAsiaTheme="majorEastAsia"/>
          <w:color w:val="000000" w:themeColor="text1"/>
          <w:sz w:val="26"/>
          <w:szCs w:val="26"/>
        </w:rPr>
        <w:t xml:space="preserve">all </w:t>
      </w:r>
      <w:r w:rsidR="006853C2">
        <w:rPr>
          <w:rFonts w:eastAsiaTheme="majorEastAsia"/>
          <w:color w:val="000000" w:themeColor="text1"/>
          <w:sz w:val="26"/>
          <w:szCs w:val="26"/>
        </w:rPr>
        <w:t>15.1(g) motions</w:t>
      </w:r>
      <w:r w:rsidR="00787A85">
        <w:rPr>
          <w:rFonts w:eastAsiaTheme="majorEastAsia"/>
          <w:color w:val="000000" w:themeColor="text1"/>
          <w:sz w:val="26"/>
          <w:szCs w:val="26"/>
        </w:rPr>
        <w:t>, the defen</w:t>
      </w:r>
      <w:r w:rsidR="000617E2">
        <w:rPr>
          <w:rFonts w:eastAsiaTheme="majorEastAsia"/>
          <w:color w:val="000000" w:themeColor="text1"/>
          <w:sz w:val="26"/>
          <w:szCs w:val="26"/>
        </w:rPr>
        <w:t>dant</w:t>
      </w:r>
      <w:r w:rsidR="00787A85">
        <w:rPr>
          <w:rFonts w:eastAsiaTheme="majorEastAsia"/>
          <w:color w:val="000000" w:themeColor="text1"/>
          <w:sz w:val="26"/>
          <w:szCs w:val="26"/>
        </w:rPr>
        <w:t xml:space="preserve"> must </w:t>
      </w:r>
      <w:r w:rsidR="006853C2">
        <w:rPr>
          <w:rFonts w:eastAsiaTheme="majorEastAsia"/>
          <w:color w:val="000000" w:themeColor="text1"/>
          <w:sz w:val="26"/>
          <w:szCs w:val="26"/>
        </w:rPr>
        <w:t>not only</w:t>
      </w:r>
      <w:r w:rsidR="004B3E1A">
        <w:rPr>
          <w:rFonts w:eastAsiaTheme="majorEastAsia"/>
          <w:color w:val="000000" w:themeColor="text1"/>
          <w:sz w:val="26"/>
          <w:szCs w:val="26"/>
        </w:rPr>
        <w:t xml:space="preserve"> disclose</w:t>
      </w:r>
      <w:r w:rsidR="006853C2">
        <w:rPr>
          <w:rFonts w:eastAsiaTheme="majorEastAsia"/>
          <w:color w:val="000000" w:themeColor="text1"/>
          <w:sz w:val="26"/>
          <w:szCs w:val="26"/>
        </w:rPr>
        <w:t xml:space="preserve"> the names of the </w:t>
      </w:r>
      <w:r w:rsidR="004B3E1A">
        <w:rPr>
          <w:rFonts w:eastAsiaTheme="majorEastAsia"/>
          <w:color w:val="000000" w:themeColor="text1"/>
          <w:sz w:val="26"/>
          <w:szCs w:val="26"/>
        </w:rPr>
        <w:t>third</w:t>
      </w:r>
      <w:r w:rsidR="00F32759">
        <w:rPr>
          <w:rFonts w:eastAsiaTheme="majorEastAsia"/>
          <w:color w:val="000000" w:themeColor="text1"/>
          <w:sz w:val="26"/>
          <w:szCs w:val="26"/>
        </w:rPr>
        <w:t>-</w:t>
      </w:r>
      <w:r w:rsidR="004B3E1A">
        <w:rPr>
          <w:rFonts w:eastAsiaTheme="majorEastAsia"/>
          <w:color w:val="000000" w:themeColor="text1"/>
          <w:sz w:val="26"/>
          <w:szCs w:val="26"/>
        </w:rPr>
        <w:t xml:space="preserve">party </w:t>
      </w:r>
      <w:r w:rsidR="006853C2">
        <w:rPr>
          <w:rFonts w:eastAsiaTheme="majorEastAsia"/>
          <w:color w:val="000000" w:themeColor="text1"/>
          <w:sz w:val="26"/>
          <w:szCs w:val="26"/>
        </w:rPr>
        <w:t>record</w:t>
      </w:r>
      <w:r w:rsidR="00A7624F">
        <w:rPr>
          <w:rFonts w:eastAsiaTheme="majorEastAsia"/>
          <w:color w:val="000000" w:themeColor="text1"/>
          <w:sz w:val="26"/>
          <w:szCs w:val="26"/>
        </w:rPr>
        <w:t xml:space="preserve"> </w:t>
      </w:r>
      <w:r w:rsidR="006853C2">
        <w:rPr>
          <w:rFonts w:eastAsiaTheme="majorEastAsia"/>
          <w:color w:val="000000" w:themeColor="text1"/>
          <w:sz w:val="26"/>
          <w:szCs w:val="26"/>
        </w:rPr>
        <w:t xml:space="preserve">holders but also </w:t>
      </w:r>
      <w:r w:rsidR="00FE4B33">
        <w:rPr>
          <w:rFonts w:eastAsiaTheme="majorEastAsia"/>
          <w:color w:val="000000" w:themeColor="text1"/>
          <w:sz w:val="26"/>
          <w:szCs w:val="26"/>
        </w:rPr>
        <w:t xml:space="preserve">must </w:t>
      </w:r>
      <w:r w:rsidR="00F4057B">
        <w:rPr>
          <w:rFonts w:eastAsiaTheme="majorEastAsia"/>
          <w:color w:val="000000" w:themeColor="text1"/>
          <w:sz w:val="26"/>
          <w:szCs w:val="26"/>
        </w:rPr>
        <w:t>articulate</w:t>
      </w:r>
      <w:r w:rsidR="00FE4B33">
        <w:rPr>
          <w:rFonts w:eastAsiaTheme="majorEastAsia"/>
          <w:color w:val="000000" w:themeColor="text1"/>
          <w:sz w:val="26"/>
          <w:szCs w:val="26"/>
        </w:rPr>
        <w:t xml:space="preserve"> </w:t>
      </w:r>
      <w:r w:rsidR="00F32759">
        <w:rPr>
          <w:rFonts w:eastAsiaTheme="majorEastAsia"/>
          <w:color w:val="000000" w:themeColor="text1"/>
          <w:sz w:val="26"/>
          <w:szCs w:val="26"/>
        </w:rPr>
        <w:t>a “substantial need for the material or information to prepare the defendant’s case.”</w:t>
      </w:r>
      <w:r w:rsidR="006853C2">
        <w:rPr>
          <w:rFonts w:eastAsiaTheme="majorEastAsia"/>
          <w:color w:val="000000" w:themeColor="text1"/>
          <w:sz w:val="26"/>
          <w:szCs w:val="26"/>
        </w:rPr>
        <w:t xml:space="preserve"> </w:t>
      </w:r>
      <w:r w:rsidR="001D1E33">
        <w:rPr>
          <w:rFonts w:eastAsiaTheme="majorEastAsia"/>
          <w:color w:val="000000" w:themeColor="text1"/>
          <w:sz w:val="26"/>
          <w:szCs w:val="26"/>
        </w:rPr>
        <w:t>This information is</w:t>
      </w:r>
      <w:r w:rsidR="00F4057B">
        <w:rPr>
          <w:rFonts w:eastAsiaTheme="majorEastAsia"/>
          <w:color w:val="000000" w:themeColor="text1"/>
          <w:sz w:val="26"/>
          <w:szCs w:val="26"/>
        </w:rPr>
        <w:t xml:space="preserve"> </w:t>
      </w:r>
      <w:r w:rsidR="001D1E33">
        <w:rPr>
          <w:rFonts w:eastAsiaTheme="majorEastAsia"/>
          <w:color w:val="000000" w:themeColor="text1"/>
          <w:sz w:val="26"/>
          <w:szCs w:val="26"/>
        </w:rPr>
        <w:t>quintessential work product</w:t>
      </w:r>
      <w:r w:rsidR="000710DC">
        <w:rPr>
          <w:rFonts w:eastAsiaTheme="majorEastAsia"/>
          <w:color w:val="000000" w:themeColor="text1"/>
          <w:sz w:val="26"/>
          <w:szCs w:val="26"/>
        </w:rPr>
        <w:t xml:space="preserve"> that would not otherwise be subject to disclosure even if the </w:t>
      </w:r>
      <w:r w:rsidR="008E4583">
        <w:rPr>
          <w:rFonts w:eastAsiaTheme="majorEastAsia"/>
          <w:color w:val="000000" w:themeColor="text1"/>
          <w:sz w:val="26"/>
          <w:szCs w:val="26"/>
        </w:rPr>
        <w:t>underlying</w:t>
      </w:r>
      <w:r w:rsidR="000710DC">
        <w:rPr>
          <w:rFonts w:eastAsiaTheme="majorEastAsia"/>
          <w:color w:val="000000" w:themeColor="text1"/>
          <w:sz w:val="26"/>
          <w:szCs w:val="26"/>
        </w:rPr>
        <w:t xml:space="preserve"> documents are </w:t>
      </w:r>
      <w:r w:rsidR="008E4583">
        <w:rPr>
          <w:rFonts w:eastAsiaTheme="majorEastAsia"/>
          <w:color w:val="000000" w:themeColor="text1"/>
          <w:sz w:val="26"/>
          <w:szCs w:val="26"/>
        </w:rPr>
        <w:t xml:space="preserve">ultimately </w:t>
      </w:r>
      <w:r w:rsidR="000710DC">
        <w:rPr>
          <w:rFonts w:eastAsiaTheme="majorEastAsia"/>
          <w:color w:val="000000" w:themeColor="text1"/>
          <w:sz w:val="26"/>
          <w:szCs w:val="26"/>
        </w:rPr>
        <w:t>disclosed</w:t>
      </w:r>
      <w:r w:rsidR="00C1096C">
        <w:rPr>
          <w:rFonts w:eastAsiaTheme="majorEastAsia"/>
          <w:color w:val="000000" w:themeColor="text1"/>
          <w:sz w:val="26"/>
          <w:szCs w:val="26"/>
        </w:rPr>
        <w:t xml:space="preserve"> </w:t>
      </w:r>
      <w:r w:rsidR="000710DC">
        <w:rPr>
          <w:rFonts w:eastAsiaTheme="majorEastAsia"/>
          <w:color w:val="000000" w:themeColor="text1"/>
          <w:sz w:val="26"/>
          <w:szCs w:val="26"/>
        </w:rPr>
        <w:t xml:space="preserve">to the </w:t>
      </w:r>
      <w:r w:rsidR="00A7624F">
        <w:rPr>
          <w:rFonts w:eastAsiaTheme="majorEastAsia"/>
          <w:color w:val="000000" w:themeColor="text1"/>
          <w:sz w:val="26"/>
          <w:szCs w:val="26"/>
        </w:rPr>
        <w:t>S</w:t>
      </w:r>
      <w:r w:rsidR="000710DC">
        <w:rPr>
          <w:rFonts w:eastAsiaTheme="majorEastAsia"/>
          <w:color w:val="000000" w:themeColor="text1"/>
          <w:sz w:val="26"/>
          <w:szCs w:val="26"/>
        </w:rPr>
        <w:t xml:space="preserve">tate under </w:t>
      </w:r>
      <w:r w:rsidR="008E4583">
        <w:rPr>
          <w:rFonts w:eastAsiaTheme="majorEastAsia"/>
          <w:color w:val="000000" w:themeColor="text1"/>
          <w:sz w:val="26"/>
          <w:szCs w:val="26"/>
        </w:rPr>
        <w:t xml:space="preserve">the defense’s </w:t>
      </w:r>
      <w:r w:rsidR="00CB5F38">
        <w:rPr>
          <w:rFonts w:eastAsiaTheme="majorEastAsia"/>
          <w:color w:val="000000" w:themeColor="text1"/>
          <w:sz w:val="26"/>
          <w:szCs w:val="26"/>
        </w:rPr>
        <w:t xml:space="preserve">Rule </w:t>
      </w:r>
      <w:r w:rsidR="000710DC">
        <w:rPr>
          <w:rFonts w:eastAsiaTheme="majorEastAsia"/>
          <w:color w:val="000000" w:themeColor="text1"/>
          <w:sz w:val="26"/>
          <w:szCs w:val="26"/>
        </w:rPr>
        <w:t>15.2</w:t>
      </w:r>
      <w:r w:rsidR="008E4583">
        <w:rPr>
          <w:rFonts w:eastAsiaTheme="majorEastAsia"/>
          <w:color w:val="000000" w:themeColor="text1"/>
          <w:sz w:val="26"/>
          <w:szCs w:val="26"/>
        </w:rPr>
        <w:t xml:space="preserve"> </w:t>
      </w:r>
      <w:r w:rsidR="002958E7">
        <w:rPr>
          <w:rFonts w:eastAsiaTheme="majorEastAsia"/>
          <w:color w:val="000000" w:themeColor="text1"/>
          <w:sz w:val="26"/>
          <w:szCs w:val="26"/>
        </w:rPr>
        <w:t>obligations</w:t>
      </w:r>
      <w:r w:rsidR="008E4583">
        <w:rPr>
          <w:rFonts w:eastAsiaTheme="majorEastAsia"/>
          <w:color w:val="000000" w:themeColor="text1"/>
          <w:sz w:val="26"/>
          <w:szCs w:val="26"/>
        </w:rPr>
        <w:t>.</w:t>
      </w:r>
      <w:r w:rsidR="00A2306B">
        <w:rPr>
          <w:rFonts w:eastAsiaTheme="majorEastAsia"/>
          <w:color w:val="000000" w:themeColor="text1"/>
          <w:sz w:val="26"/>
          <w:szCs w:val="26"/>
        </w:rPr>
        <w:t xml:space="preserve"> </w:t>
      </w:r>
      <w:r w:rsidR="002958E7">
        <w:rPr>
          <w:rFonts w:eastAsiaTheme="majorEastAsia"/>
          <w:color w:val="000000" w:themeColor="text1"/>
          <w:sz w:val="26"/>
          <w:szCs w:val="26"/>
        </w:rPr>
        <w:t>Additionally, t</w:t>
      </w:r>
      <w:r w:rsidR="00EB2696">
        <w:rPr>
          <w:rFonts w:eastAsiaTheme="majorEastAsia"/>
          <w:color w:val="000000" w:themeColor="text1"/>
          <w:sz w:val="26"/>
          <w:szCs w:val="26"/>
        </w:rPr>
        <w:t xml:space="preserve">he State </w:t>
      </w:r>
      <w:r w:rsidR="00950202">
        <w:rPr>
          <w:rFonts w:eastAsiaTheme="majorEastAsia"/>
          <w:color w:val="000000" w:themeColor="text1"/>
          <w:sz w:val="26"/>
          <w:szCs w:val="26"/>
        </w:rPr>
        <w:t xml:space="preserve">generally </w:t>
      </w:r>
      <w:r w:rsidR="00A84DAB">
        <w:rPr>
          <w:rFonts w:eastAsiaTheme="majorEastAsia"/>
          <w:color w:val="000000" w:themeColor="text1"/>
          <w:sz w:val="26"/>
          <w:szCs w:val="26"/>
        </w:rPr>
        <w:t>does not have</w:t>
      </w:r>
      <w:r w:rsidR="00EB2696">
        <w:rPr>
          <w:rFonts w:eastAsiaTheme="majorEastAsia"/>
          <w:color w:val="000000" w:themeColor="text1"/>
          <w:sz w:val="26"/>
          <w:szCs w:val="26"/>
        </w:rPr>
        <w:t xml:space="preserve"> standing to object </w:t>
      </w:r>
      <w:r w:rsidR="006B13B1">
        <w:rPr>
          <w:rFonts w:eastAsiaTheme="majorEastAsia"/>
          <w:color w:val="000000" w:themeColor="text1"/>
          <w:sz w:val="26"/>
          <w:szCs w:val="26"/>
        </w:rPr>
        <w:t xml:space="preserve">to </w:t>
      </w:r>
      <w:r w:rsidR="00A2306B">
        <w:rPr>
          <w:rFonts w:eastAsiaTheme="majorEastAsia"/>
          <w:color w:val="000000" w:themeColor="text1"/>
          <w:sz w:val="26"/>
          <w:szCs w:val="26"/>
        </w:rPr>
        <w:t>15.1(g)</w:t>
      </w:r>
      <w:r w:rsidR="006B13B1">
        <w:rPr>
          <w:rFonts w:eastAsiaTheme="majorEastAsia"/>
          <w:color w:val="000000" w:themeColor="text1"/>
          <w:sz w:val="26"/>
          <w:szCs w:val="26"/>
        </w:rPr>
        <w:t xml:space="preserve"> orders on behalf of the </w:t>
      </w:r>
      <w:r w:rsidR="00371AEC">
        <w:rPr>
          <w:rFonts w:eastAsiaTheme="majorEastAsia"/>
          <w:color w:val="000000" w:themeColor="text1"/>
          <w:sz w:val="26"/>
          <w:szCs w:val="26"/>
        </w:rPr>
        <w:t>record holders</w:t>
      </w:r>
      <w:r w:rsidR="00A56F22">
        <w:rPr>
          <w:rFonts w:eastAsiaTheme="majorEastAsia"/>
          <w:color w:val="000000" w:themeColor="text1"/>
          <w:sz w:val="26"/>
          <w:szCs w:val="26"/>
        </w:rPr>
        <w:t>.</w:t>
      </w:r>
      <w:r w:rsidR="00841904" w:rsidRPr="00841904">
        <w:rPr>
          <w:rFonts w:asciiTheme="minorHAnsi" w:eastAsiaTheme="majorEastAsia" w:hAnsiTheme="minorHAnsi" w:cstheme="minorBidi"/>
          <w:color w:val="000000" w:themeColor="text1"/>
          <w:sz w:val="26"/>
          <w:szCs w:val="26"/>
          <w:vertAlign w:val="superscript"/>
        </w:rPr>
        <w:t xml:space="preserve"> </w:t>
      </w:r>
      <w:r w:rsidR="00841904" w:rsidRPr="00841904">
        <w:rPr>
          <w:rFonts w:eastAsiaTheme="majorEastAsia"/>
          <w:color w:val="000000" w:themeColor="text1"/>
          <w:sz w:val="26"/>
          <w:szCs w:val="26"/>
          <w:vertAlign w:val="superscript"/>
        </w:rPr>
        <w:footnoteReference w:id="1"/>
      </w:r>
      <w:r w:rsidR="00A56F22">
        <w:rPr>
          <w:rFonts w:eastAsiaTheme="majorEastAsia"/>
          <w:color w:val="000000" w:themeColor="text1"/>
          <w:sz w:val="26"/>
          <w:szCs w:val="26"/>
        </w:rPr>
        <w:t xml:space="preserve"> </w:t>
      </w:r>
      <w:r w:rsidR="00DF0EF5">
        <w:rPr>
          <w:rFonts w:eastAsiaTheme="majorEastAsia"/>
          <w:color w:val="000000" w:themeColor="text1"/>
          <w:sz w:val="26"/>
          <w:szCs w:val="26"/>
        </w:rPr>
        <w:t xml:space="preserve"> </w:t>
      </w:r>
      <w:r w:rsidR="00CC0CC2">
        <w:rPr>
          <w:rFonts w:eastAsiaTheme="majorEastAsia"/>
          <w:color w:val="000000" w:themeColor="text1"/>
          <w:sz w:val="26"/>
          <w:szCs w:val="26"/>
        </w:rPr>
        <w:t xml:space="preserve">See </w:t>
      </w:r>
      <w:r w:rsidR="00DF0EF5" w:rsidRPr="00AB3507">
        <w:rPr>
          <w:rFonts w:eastAsiaTheme="majorEastAsia"/>
          <w:i/>
          <w:iCs/>
          <w:color w:val="000000" w:themeColor="text1"/>
          <w:sz w:val="26"/>
          <w:szCs w:val="26"/>
        </w:rPr>
        <w:t>Lopez v. State</w:t>
      </w:r>
      <w:r w:rsidR="00DF0EF5" w:rsidRPr="00DF0EF5">
        <w:rPr>
          <w:rFonts w:eastAsiaTheme="majorEastAsia"/>
          <w:color w:val="000000" w:themeColor="text1"/>
          <w:sz w:val="26"/>
          <w:szCs w:val="26"/>
        </w:rPr>
        <w:t>, 581 P.3d 741, 746 (App. 2025)</w:t>
      </w:r>
      <w:r w:rsidR="00FA670D">
        <w:rPr>
          <w:rFonts w:eastAsiaTheme="majorEastAsia"/>
          <w:color w:val="000000" w:themeColor="text1"/>
          <w:sz w:val="26"/>
          <w:szCs w:val="26"/>
        </w:rPr>
        <w:t>.</w:t>
      </w:r>
      <w:r w:rsidR="00A56F22">
        <w:rPr>
          <w:rFonts w:eastAsiaTheme="majorEastAsia"/>
          <w:color w:val="000000" w:themeColor="text1"/>
          <w:sz w:val="26"/>
          <w:szCs w:val="26"/>
        </w:rPr>
        <w:t xml:space="preserve"> </w:t>
      </w:r>
      <w:r w:rsidR="00E20F06">
        <w:rPr>
          <w:rFonts w:eastAsiaTheme="majorEastAsia"/>
          <w:color w:val="000000" w:themeColor="text1"/>
          <w:sz w:val="26"/>
          <w:szCs w:val="26"/>
        </w:rPr>
        <w:t xml:space="preserve"> </w:t>
      </w:r>
      <w:r w:rsidR="00FA670D">
        <w:rPr>
          <w:rFonts w:eastAsiaTheme="majorEastAsia"/>
          <w:color w:val="000000" w:themeColor="text1"/>
          <w:sz w:val="26"/>
          <w:szCs w:val="26"/>
        </w:rPr>
        <w:t>A</w:t>
      </w:r>
      <w:r w:rsidR="00E20F06">
        <w:rPr>
          <w:rFonts w:eastAsiaTheme="majorEastAsia"/>
          <w:color w:val="000000" w:themeColor="text1"/>
          <w:sz w:val="26"/>
          <w:szCs w:val="26"/>
        </w:rPr>
        <w:t xml:space="preserve">nd </w:t>
      </w:r>
      <w:r w:rsidR="005259E9">
        <w:rPr>
          <w:rFonts w:eastAsiaTheme="majorEastAsia"/>
          <w:color w:val="000000" w:themeColor="text1"/>
          <w:sz w:val="26"/>
          <w:szCs w:val="26"/>
        </w:rPr>
        <w:t>Rule 15.2 does not require</w:t>
      </w:r>
      <w:r w:rsidR="001F0CCB">
        <w:rPr>
          <w:rFonts w:eastAsiaTheme="majorEastAsia"/>
          <w:color w:val="000000" w:themeColor="text1"/>
          <w:sz w:val="26"/>
          <w:szCs w:val="26"/>
        </w:rPr>
        <w:t xml:space="preserve"> </w:t>
      </w:r>
      <w:r w:rsidR="00955C96">
        <w:rPr>
          <w:rStyle w:val="normaltextrun"/>
          <w:rFonts w:eastAsiaTheme="majorEastAsia"/>
          <w:color w:val="000000" w:themeColor="text1"/>
          <w:sz w:val="26"/>
          <w:szCs w:val="26"/>
        </w:rPr>
        <w:t>disc</w:t>
      </w:r>
      <w:r w:rsidR="00347B9F">
        <w:rPr>
          <w:rStyle w:val="normaltextrun"/>
          <w:rFonts w:eastAsiaTheme="majorEastAsia"/>
          <w:color w:val="000000" w:themeColor="text1"/>
          <w:sz w:val="26"/>
          <w:szCs w:val="26"/>
        </w:rPr>
        <w:t>losure</w:t>
      </w:r>
      <w:r w:rsidR="00955C96">
        <w:rPr>
          <w:rStyle w:val="normaltextrun"/>
          <w:rFonts w:eastAsiaTheme="majorEastAsia"/>
          <w:color w:val="000000" w:themeColor="text1"/>
          <w:sz w:val="26"/>
          <w:szCs w:val="26"/>
        </w:rPr>
        <w:t xml:space="preserve"> of evidence </w:t>
      </w:r>
      <w:r w:rsidR="00955C96">
        <w:rPr>
          <w:rStyle w:val="eop"/>
          <w:rFonts w:eastAsiaTheme="majorEastAsia"/>
          <w:color w:val="000000" w:themeColor="text1"/>
          <w:sz w:val="26"/>
          <w:szCs w:val="26"/>
        </w:rPr>
        <w:t xml:space="preserve">unless </w:t>
      </w:r>
      <w:r w:rsidR="0058141B">
        <w:rPr>
          <w:rStyle w:val="eop"/>
          <w:rFonts w:eastAsiaTheme="majorEastAsia"/>
          <w:color w:val="000000" w:themeColor="text1"/>
          <w:sz w:val="26"/>
          <w:szCs w:val="26"/>
        </w:rPr>
        <w:t>the defendant intends to use it at trial</w:t>
      </w:r>
      <w:r w:rsidR="001F0CCB">
        <w:rPr>
          <w:rStyle w:val="eop"/>
          <w:rFonts w:eastAsiaTheme="majorEastAsia"/>
          <w:color w:val="000000" w:themeColor="text1"/>
          <w:sz w:val="26"/>
          <w:szCs w:val="26"/>
        </w:rPr>
        <w:t xml:space="preserve">.  </w:t>
      </w:r>
      <w:r w:rsidR="0007147F">
        <w:rPr>
          <w:rStyle w:val="eop"/>
          <w:rFonts w:eastAsiaTheme="majorEastAsia"/>
          <w:color w:val="000000" w:themeColor="text1"/>
          <w:sz w:val="26"/>
          <w:szCs w:val="26"/>
        </w:rPr>
        <w:t xml:space="preserve">A defendant who </w:t>
      </w:r>
      <w:r w:rsidR="00175DEB">
        <w:rPr>
          <w:rStyle w:val="eop"/>
          <w:rFonts w:eastAsiaTheme="majorEastAsia"/>
          <w:color w:val="000000" w:themeColor="text1"/>
          <w:sz w:val="26"/>
          <w:szCs w:val="26"/>
        </w:rPr>
        <w:t>participated in</w:t>
      </w:r>
      <w:r w:rsidR="0007147F">
        <w:rPr>
          <w:rStyle w:val="eop"/>
          <w:rFonts w:eastAsiaTheme="majorEastAsia"/>
          <w:color w:val="000000" w:themeColor="text1"/>
          <w:sz w:val="26"/>
          <w:szCs w:val="26"/>
        </w:rPr>
        <w:t xml:space="preserve"> </w:t>
      </w:r>
      <w:r w:rsidR="00E04F71">
        <w:rPr>
          <w:rStyle w:val="eop"/>
          <w:rFonts w:eastAsiaTheme="majorEastAsia"/>
          <w:color w:val="000000" w:themeColor="text1"/>
          <w:sz w:val="26"/>
          <w:szCs w:val="26"/>
        </w:rPr>
        <w:t xml:space="preserve">substance abuse treatment, </w:t>
      </w:r>
      <w:r w:rsidR="003A3616">
        <w:rPr>
          <w:rStyle w:val="eop"/>
          <w:rFonts w:eastAsiaTheme="majorEastAsia"/>
          <w:color w:val="000000" w:themeColor="text1"/>
          <w:sz w:val="26"/>
          <w:szCs w:val="26"/>
        </w:rPr>
        <w:t xml:space="preserve">underwent medical </w:t>
      </w:r>
      <w:r w:rsidR="00175DEB">
        <w:rPr>
          <w:rStyle w:val="eop"/>
          <w:rFonts w:eastAsiaTheme="majorEastAsia"/>
          <w:color w:val="000000" w:themeColor="text1"/>
          <w:sz w:val="26"/>
          <w:szCs w:val="26"/>
        </w:rPr>
        <w:t>procedures</w:t>
      </w:r>
      <w:r w:rsidR="00E04F71">
        <w:rPr>
          <w:rStyle w:val="eop"/>
          <w:rFonts w:eastAsiaTheme="majorEastAsia"/>
          <w:color w:val="000000" w:themeColor="text1"/>
          <w:sz w:val="26"/>
          <w:szCs w:val="26"/>
        </w:rPr>
        <w:t>, attended special education classes, etc</w:t>
      </w:r>
      <w:r w:rsidR="003A3616">
        <w:rPr>
          <w:rStyle w:val="eop"/>
          <w:rFonts w:eastAsiaTheme="majorEastAsia"/>
          <w:color w:val="000000" w:themeColor="text1"/>
          <w:sz w:val="26"/>
          <w:szCs w:val="26"/>
        </w:rPr>
        <w:t>,</w:t>
      </w:r>
      <w:r w:rsidR="00E04F71">
        <w:rPr>
          <w:rStyle w:val="eop"/>
          <w:rFonts w:eastAsiaTheme="majorEastAsia"/>
          <w:color w:val="000000" w:themeColor="text1"/>
          <w:sz w:val="26"/>
          <w:szCs w:val="26"/>
        </w:rPr>
        <w:t xml:space="preserve"> </w:t>
      </w:r>
      <w:r w:rsidR="00BD5986">
        <w:rPr>
          <w:rStyle w:val="eop"/>
          <w:rFonts w:eastAsiaTheme="majorEastAsia"/>
          <w:color w:val="000000" w:themeColor="text1"/>
          <w:sz w:val="26"/>
          <w:szCs w:val="26"/>
        </w:rPr>
        <w:t xml:space="preserve">should not be required to disclose this information to the </w:t>
      </w:r>
      <w:r w:rsidR="003A3616">
        <w:rPr>
          <w:rStyle w:val="eop"/>
          <w:rFonts w:eastAsiaTheme="majorEastAsia"/>
          <w:color w:val="000000" w:themeColor="text1"/>
          <w:sz w:val="26"/>
          <w:szCs w:val="26"/>
        </w:rPr>
        <w:t xml:space="preserve">State just because the record holder requires a court order to release documents to defense counsel. </w:t>
      </w:r>
      <w:r w:rsidR="00447BC8">
        <w:rPr>
          <w:rStyle w:val="eop"/>
          <w:rFonts w:eastAsiaTheme="majorEastAsia"/>
          <w:color w:val="000000" w:themeColor="text1"/>
          <w:sz w:val="26"/>
          <w:szCs w:val="26"/>
        </w:rPr>
        <w:t xml:space="preserve">Without allowance for ex parte </w:t>
      </w:r>
      <w:r w:rsidR="00331032">
        <w:rPr>
          <w:rStyle w:val="eop"/>
          <w:rFonts w:eastAsiaTheme="majorEastAsia"/>
          <w:color w:val="000000" w:themeColor="text1"/>
          <w:sz w:val="26"/>
          <w:szCs w:val="26"/>
        </w:rPr>
        <w:t>requests under 15.</w:t>
      </w:r>
      <w:r w:rsidR="00C1096C">
        <w:rPr>
          <w:rStyle w:val="eop"/>
          <w:rFonts w:eastAsiaTheme="majorEastAsia"/>
          <w:color w:val="000000" w:themeColor="text1"/>
          <w:sz w:val="26"/>
          <w:szCs w:val="26"/>
        </w:rPr>
        <w:t>1</w:t>
      </w:r>
      <w:r w:rsidR="00331032">
        <w:rPr>
          <w:rStyle w:val="eop"/>
          <w:rFonts w:eastAsiaTheme="majorEastAsia"/>
          <w:color w:val="000000" w:themeColor="text1"/>
          <w:sz w:val="26"/>
          <w:szCs w:val="26"/>
        </w:rPr>
        <w:t>(g)</w:t>
      </w:r>
      <w:r w:rsidR="00A35110">
        <w:rPr>
          <w:rStyle w:val="eop"/>
          <w:rFonts w:eastAsiaTheme="majorEastAsia"/>
          <w:color w:val="000000" w:themeColor="text1"/>
          <w:sz w:val="26"/>
          <w:szCs w:val="26"/>
        </w:rPr>
        <w:t xml:space="preserve">, </w:t>
      </w:r>
      <w:r w:rsidR="00C1096C">
        <w:rPr>
          <w:rStyle w:val="eop"/>
          <w:rFonts w:eastAsiaTheme="majorEastAsia"/>
          <w:color w:val="000000" w:themeColor="text1"/>
          <w:sz w:val="26"/>
          <w:szCs w:val="26"/>
        </w:rPr>
        <w:t>a</w:t>
      </w:r>
      <w:r w:rsidR="00A35110">
        <w:rPr>
          <w:rStyle w:val="eop"/>
          <w:rFonts w:eastAsiaTheme="majorEastAsia"/>
          <w:color w:val="000000" w:themeColor="text1"/>
          <w:sz w:val="26"/>
          <w:szCs w:val="26"/>
        </w:rPr>
        <w:t xml:space="preserve"> </w:t>
      </w:r>
      <w:r w:rsidR="00A35110">
        <w:rPr>
          <w:rStyle w:val="eop"/>
          <w:rFonts w:eastAsiaTheme="majorEastAsia"/>
          <w:color w:val="000000" w:themeColor="text1"/>
          <w:sz w:val="26"/>
          <w:szCs w:val="26"/>
        </w:rPr>
        <w:lastRenderedPageBreak/>
        <w:t xml:space="preserve">defendant </w:t>
      </w:r>
      <w:r w:rsidR="00C1096C">
        <w:rPr>
          <w:rStyle w:val="eop"/>
          <w:rFonts w:eastAsiaTheme="majorEastAsia"/>
          <w:color w:val="000000" w:themeColor="text1"/>
          <w:sz w:val="26"/>
          <w:szCs w:val="26"/>
        </w:rPr>
        <w:t>must</w:t>
      </w:r>
      <w:r w:rsidR="00A35110">
        <w:rPr>
          <w:rStyle w:val="eop"/>
          <w:rFonts w:eastAsiaTheme="majorEastAsia"/>
          <w:color w:val="000000" w:themeColor="text1"/>
          <w:sz w:val="26"/>
          <w:szCs w:val="26"/>
        </w:rPr>
        <w:t xml:space="preserve"> choose between </w:t>
      </w:r>
      <w:r w:rsidR="000F2C63">
        <w:rPr>
          <w:rStyle w:val="eop"/>
          <w:rFonts w:eastAsiaTheme="majorEastAsia"/>
          <w:color w:val="000000" w:themeColor="text1"/>
          <w:sz w:val="26"/>
          <w:szCs w:val="26"/>
        </w:rPr>
        <w:t xml:space="preserve">alerting the </w:t>
      </w:r>
      <w:r w:rsidR="00C1096C">
        <w:rPr>
          <w:rStyle w:val="eop"/>
          <w:rFonts w:eastAsiaTheme="majorEastAsia"/>
          <w:color w:val="000000" w:themeColor="text1"/>
          <w:sz w:val="26"/>
          <w:szCs w:val="26"/>
        </w:rPr>
        <w:t>S</w:t>
      </w:r>
      <w:r w:rsidR="000F2C63">
        <w:rPr>
          <w:rStyle w:val="eop"/>
          <w:rFonts w:eastAsiaTheme="majorEastAsia"/>
          <w:color w:val="000000" w:themeColor="text1"/>
          <w:sz w:val="26"/>
          <w:szCs w:val="26"/>
        </w:rPr>
        <w:t xml:space="preserve">tate to the names and locations of </w:t>
      </w:r>
      <w:r w:rsidR="00F0384A">
        <w:rPr>
          <w:rStyle w:val="eop"/>
          <w:rFonts w:eastAsiaTheme="majorEastAsia"/>
          <w:color w:val="000000" w:themeColor="text1"/>
          <w:sz w:val="26"/>
          <w:szCs w:val="26"/>
        </w:rPr>
        <w:t>potential record holders</w:t>
      </w:r>
      <w:r w:rsidR="000F2C63">
        <w:rPr>
          <w:rStyle w:val="eop"/>
          <w:rFonts w:eastAsiaTheme="majorEastAsia"/>
          <w:color w:val="000000" w:themeColor="text1"/>
          <w:sz w:val="26"/>
          <w:szCs w:val="26"/>
        </w:rPr>
        <w:t xml:space="preserve">, </w:t>
      </w:r>
      <w:r w:rsidR="00034D0D">
        <w:rPr>
          <w:rStyle w:val="eop"/>
          <w:rFonts w:eastAsiaTheme="majorEastAsia"/>
          <w:color w:val="000000" w:themeColor="text1"/>
          <w:sz w:val="26"/>
          <w:szCs w:val="26"/>
        </w:rPr>
        <w:t xml:space="preserve">as well as the reasons why the records are needed for his defense, </w:t>
      </w:r>
      <w:r w:rsidR="000F2C63">
        <w:rPr>
          <w:rStyle w:val="eop"/>
          <w:rFonts w:eastAsiaTheme="majorEastAsia"/>
          <w:color w:val="000000" w:themeColor="text1"/>
          <w:sz w:val="26"/>
          <w:szCs w:val="26"/>
        </w:rPr>
        <w:t>or fore</w:t>
      </w:r>
      <w:r w:rsidR="00447BC8">
        <w:rPr>
          <w:rStyle w:val="eop"/>
          <w:rFonts w:eastAsiaTheme="majorEastAsia"/>
          <w:color w:val="000000" w:themeColor="text1"/>
          <w:sz w:val="26"/>
          <w:szCs w:val="26"/>
        </w:rPr>
        <w:t>go</w:t>
      </w:r>
      <w:r w:rsidR="00EE1DC1">
        <w:rPr>
          <w:rStyle w:val="eop"/>
          <w:rFonts w:eastAsiaTheme="majorEastAsia"/>
          <w:color w:val="000000" w:themeColor="text1"/>
          <w:sz w:val="26"/>
          <w:szCs w:val="26"/>
        </w:rPr>
        <w:t>ing</w:t>
      </w:r>
      <w:r w:rsidR="00447BC8">
        <w:rPr>
          <w:rStyle w:val="eop"/>
          <w:rFonts w:eastAsiaTheme="majorEastAsia"/>
          <w:color w:val="000000" w:themeColor="text1"/>
          <w:sz w:val="26"/>
          <w:szCs w:val="26"/>
        </w:rPr>
        <w:t xml:space="preserve"> </w:t>
      </w:r>
      <w:r w:rsidR="00EE1DC1">
        <w:rPr>
          <w:rStyle w:val="eop"/>
          <w:rFonts w:eastAsiaTheme="majorEastAsia"/>
          <w:color w:val="000000" w:themeColor="text1"/>
          <w:sz w:val="26"/>
          <w:szCs w:val="26"/>
        </w:rPr>
        <w:t>t</w:t>
      </w:r>
      <w:r w:rsidR="00447BC8">
        <w:rPr>
          <w:rStyle w:val="eop"/>
          <w:rFonts w:eastAsiaTheme="majorEastAsia"/>
          <w:color w:val="000000" w:themeColor="text1"/>
          <w:sz w:val="26"/>
          <w:szCs w:val="26"/>
        </w:rPr>
        <w:t>he records held by the third parties.</w:t>
      </w:r>
      <w:r w:rsidR="003A3616">
        <w:rPr>
          <w:rStyle w:val="eop"/>
          <w:rFonts w:eastAsiaTheme="majorEastAsia"/>
          <w:color w:val="000000" w:themeColor="text1"/>
          <w:sz w:val="26"/>
          <w:szCs w:val="26"/>
        </w:rPr>
        <w:t xml:space="preserve"> </w:t>
      </w:r>
    </w:p>
    <w:p w14:paraId="7AD2035E" w14:textId="2E342049" w:rsidR="00D243B7" w:rsidRPr="005171A1" w:rsidRDefault="003D62B4" w:rsidP="00D243B7">
      <w:pPr>
        <w:pStyle w:val="paragraph"/>
        <w:spacing w:before="0" w:beforeAutospacing="0" w:after="0" w:afterAutospacing="0" w:line="480" w:lineRule="auto"/>
        <w:ind w:firstLine="720"/>
        <w:jc w:val="both"/>
        <w:textAlignment w:val="baseline"/>
        <w:rPr>
          <w:rFonts w:eastAsiaTheme="majorEastAsia"/>
          <w:color w:val="000000" w:themeColor="text1"/>
          <w:sz w:val="26"/>
          <w:szCs w:val="26"/>
        </w:rPr>
      </w:pPr>
      <w:r w:rsidRPr="005171A1">
        <w:rPr>
          <w:rFonts w:eastAsiaTheme="majorEastAsia"/>
          <w:color w:val="000000" w:themeColor="text1"/>
          <w:sz w:val="26"/>
          <w:szCs w:val="26"/>
        </w:rPr>
        <w:t>In capital litigation, the u</w:t>
      </w:r>
      <w:r>
        <w:rPr>
          <w:rFonts w:eastAsiaTheme="majorEastAsia"/>
          <w:color w:val="000000" w:themeColor="text1"/>
          <w:sz w:val="26"/>
          <w:szCs w:val="26"/>
        </w:rPr>
        <w:t>se</w:t>
      </w:r>
      <w:r w:rsidRPr="005171A1">
        <w:rPr>
          <w:rFonts w:eastAsiaTheme="majorEastAsia"/>
          <w:color w:val="000000" w:themeColor="text1"/>
          <w:sz w:val="26"/>
          <w:szCs w:val="26"/>
        </w:rPr>
        <w:t xml:space="preserve"> of ex parte motions and hearings is </w:t>
      </w:r>
      <w:r>
        <w:rPr>
          <w:rFonts w:eastAsiaTheme="majorEastAsia"/>
          <w:color w:val="000000" w:themeColor="text1"/>
          <w:sz w:val="26"/>
          <w:szCs w:val="26"/>
        </w:rPr>
        <w:t xml:space="preserve">particularly </w:t>
      </w:r>
      <w:r w:rsidRPr="005171A1">
        <w:rPr>
          <w:rFonts w:eastAsiaTheme="majorEastAsia"/>
          <w:color w:val="000000" w:themeColor="text1"/>
          <w:sz w:val="26"/>
          <w:szCs w:val="26"/>
        </w:rPr>
        <w:t xml:space="preserve">crucial </w:t>
      </w:r>
      <w:r>
        <w:rPr>
          <w:rFonts w:eastAsiaTheme="majorEastAsia"/>
          <w:color w:val="000000" w:themeColor="text1"/>
          <w:sz w:val="26"/>
          <w:szCs w:val="26"/>
        </w:rPr>
        <w:t>for a defendant’s mitigation investigation.</w:t>
      </w:r>
      <w:r w:rsidR="0035392E">
        <w:rPr>
          <w:rFonts w:eastAsiaTheme="majorEastAsia"/>
          <w:color w:val="000000" w:themeColor="text1"/>
          <w:sz w:val="26"/>
          <w:szCs w:val="26"/>
        </w:rPr>
        <w:t xml:space="preserve"> This is because the State has broad leeway in a penalty phase</w:t>
      </w:r>
      <w:r w:rsidR="006F2E51">
        <w:rPr>
          <w:rFonts w:eastAsiaTheme="majorEastAsia"/>
          <w:color w:val="000000" w:themeColor="text1"/>
          <w:sz w:val="26"/>
          <w:szCs w:val="26"/>
        </w:rPr>
        <w:t xml:space="preserve"> to present any information</w:t>
      </w:r>
      <w:r w:rsidR="00A021C9">
        <w:rPr>
          <w:rFonts w:eastAsiaTheme="majorEastAsia"/>
          <w:color w:val="000000" w:themeColor="text1"/>
          <w:sz w:val="26"/>
          <w:szCs w:val="26"/>
        </w:rPr>
        <w:t xml:space="preserve"> relevant to </w:t>
      </w:r>
      <w:r w:rsidR="005971FE">
        <w:rPr>
          <w:rFonts w:eastAsiaTheme="majorEastAsia"/>
          <w:color w:val="000000" w:themeColor="text1"/>
          <w:sz w:val="26"/>
          <w:szCs w:val="26"/>
        </w:rPr>
        <w:t>mitigation</w:t>
      </w:r>
      <w:r w:rsidR="00412853">
        <w:rPr>
          <w:rFonts w:eastAsiaTheme="majorEastAsia"/>
          <w:color w:val="000000" w:themeColor="text1"/>
          <w:sz w:val="26"/>
          <w:szCs w:val="26"/>
        </w:rPr>
        <w:t xml:space="preserve">, regardless of its admissibility under the Rules of Evidence </w:t>
      </w:r>
      <w:r w:rsidR="00FD3507">
        <w:rPr>
          <w:rFonts w:eastAsiaTheme="majorEastAsia"/>
          <w:color w:val="000000" w:themeColor="text1"/>
          <w:sz w:val="26"/>
          <w:szCs w:val="26"/>
        </w:rPr>
        <w:t>(</w:t>
      </w:r>
      <w:r w:rsidR="00412853">
        <w:rPr>
          <w:rFonts w:eastAsiaTheme="majorEastAsia"/>
          <w:color w:val="000000" w:themeColor="text1"/>
          <w:sz w:val="26"/>
          <w:szCs w:val="26"/>
        </w:rPr>
        <w:t>ARS 13-751(</w:t>
      </w:r>
      <w:r w:rsidR="008E7FD9">
        <w:rPr>
          <w:rFonts w:eastAsiaTheme="majorEastAsia"/>
          <w:color w:val="000000" w:themeColor="text1"/>
          <w:sz w:val="26"/>
          <w:szCs w:val="26"/>
        </w:rPr>
        <w:t>C)</w:t>
      </w:r>
      <w:r w:rsidR="00FD3507">
        <w:rPr>
          <w:rFonts w:eastAsiaTheme="majorEastAsia"/>
          <w:color w:val="000000" w:themeColor="text1"/>
          <w:sz w:val="26"/>
          <w:szCs w:val="26"/>
        </w:rPr>
        <w:t>) and may present any evidence that demonstrates that the defendant should not be shown leniency regardless of whether the defendant present</w:t>
      </w:r>
      <w:r w:rsidR="007A3DE1">
        <w:rPr>
          <w:rFonts w:eastAsiaTheme="majorEastAsia"/>
          <w:color w:val="000000" w:themeColor="text1"/>
          <w:sz w:val="26"/>
          <w:szCs w:val="26"/>
        </w:rPr>
        <w:t>s</w:t>
      </w:r>
      <w:r w:rsidR="00FD3507">
        <w:rPr>
          <w:rFonts w:eastAsiaTheme="majorEastAsia"/>
          <w:color w:val="000000" w:themeColor="text1"/>
          <w:sz w:val="26"/>
          <w:szCs w:val="26"/>
        </w:rPr>
        <w:t xml:space="preserve"> evidence of mitigation (ARS 13-752(G))</w:t>
      </w:r>
      <w:r w:rsidR="008E7FD9">
        <w:rPr>
          <w:rFonts w:eastAsiaTheme="majorEastAsia"/>
          <w:color w:val="000000" w:themeColor="text1"/>
          <w:sz w:val="26"/>
          <w:szCs w:val="26"/>
        </w:rPr>
        <w:t>.</w:t>
      </w:r>
      <w:r w:rsidR="0035392E">
        <w:rPr>
          <w:rFonts w:eastAsiaTheme="majorEastAsia"/>
          <w:color w:val="000000" w:themeColor="text1"/>
          <w:sz w:val="26"/>
          <w:szCs w:val="26"/>
        </w:rPr>
        <w:t xml:space="preserve"> </w:t>
      </w:r>
      <w:r w:rsidR="00ED3BE0">
        <w:rPr>
          <w:rFonts w:eastAsiaTheme="majorEastAsia"/>
          <w:color w:val="000000" w:themeColor="text1"/>
          <w:sz w:val="26"/>
          <w:szCs w:val="26"/>
        </w:rPr>
        <w:t xml:space="preserve"> Thus</w:t>
      </w:r>
      <w:r w:rsidR="008E7FD9">
        <w:rPr>
          <w:rFonts w:eastAsiaTheme="majorEastAsia"/>
          <w:color w:val="000000" w:themeColor="text1"/>
          <w:sz w:val="26"/>
          <w:szCs w:val="26"/>
        </w:rPr>
        <w:t>,</w:t>
      </w:r>
      <w:r w:rsidR="00ED3BE0">
        <w:rPr>
          <w:rFonts w:eastAsiaTheme="majorEastAsia"/>
          <w:color w:val="000000" w:themeColor="text1"/>
          <w:sz w:val="26"/>
          <w:szCs w:val="26"/>
        </w:rPr>
        <w:t xml:space="preserve"> information that would not be relevant during a non-capital trial </w:t>
      </w:r>
      <w:r w:rsidR="005F0D43">
        <w:rPr>
          <w:rFonts w:eastAsiaTheme="majorEastAsia"/>
          <w:color w:val="000000" w:themeColor="text1"/>
          <w:sz w:val="26"/>
          <w:szCs w:val="26"/>
        </w:rPr>
        <w:t>could be used against a defendant in a capital sentencing proceeding.</w:t>
      </w:r>
      <w:r w:rsidR="009F0B33">
        <w:rPr>
          <w:rFonts w:eastAsiaTheme="majorEastAsia"/>
          <w:color w:val="000000" w:themeColor="text1"/>
          <w:sz w:val="26"/>
          <w:szCs w:val="26"/>
        </w:rPr>
        <w:t xml:space="preserve">  </w:t>
      </w:r>
      <w:r w:rsidR="00D243B7" w:rsidRPr="005171A1">
        <w:rPr>
          <w:rStyle w:val="normaltextrun"/>
          <w:rFonts w:eastAsiaTheme="majorEastAsia"/>
          <w:color w:val="000000" w:themeColor="text1"/>
          <w:sz w:val="26"/>
          <w:szCs w:val="26"/>
        </w:rPr>
        <w:t>The Capital ABA guidelines, while not binding, have been widely relied upon in Arizona and require counsel to proceed ex parte when needed to protect confidentiality</w:t>
      </w:r>
      <w:r w:rsidR="008E7FD9">
        <w:rPr>
          <w:rStyle w:val="normaltextrun"/>
          <w:rFonts w:eastAsiaTheme="majorEastAsia"/>
          <w:color w:val="000000" w:themeColor="text1"/>
          <w:sz w:val="26"/>
          <w:szCs w:val="26"/>
        </w:rPr>
        <w:t xml:space="preserve"> and avoid potentially adverse information being prematurely disclosed to the government</w:t>
      </w:r>
      <w:r w:rsidR="00D243B7" w:rsidRPr="005171A1">
        <w:rPr>
          <w:rStyle w:val="normaltextrun"/>
          <w:rFonts w:eastAsiaTheme="majorEastAsia"/>
          <w:color w:val="000000" w:themeColor="text1"/>
          <w:sz w:val="26"/>
          <w:szCs w:val="26"/>
        </w:rPr>
        <w:t xml:space="preserve">. “Because the defense should not be required to disclose privileged communications or strategy ... it is counsel’s obligation to insist upon making such requests ex parte and in camera.” (Guideline 10.4). </w:t>
      </w:r>
    </w:p>
    <w:p w14:paraId="26C77662" w14:textId="0B9D4DB2" w:rsidR="003D62B4" w:rsidRDefault="002D26C6" w:rsidP="003A3616">
      <w:pPr>
        <w:pStyle w:val="paragraph"/>
        <w:spacing w:before="0" w:beforeAutospacing="0" w:after="0" w:afterAutospacing="0" w:line="480" w:lineRule="auto"/>
        <w:ind w:firstLine="720"/>
        <w:jc w:val="both"/>
        <w:textAlignment w:val="baseline"/>
        <w:rPr>
          <w:rFonts w:eastAsiaTheme="majorEastAsia"/>
          <w:color w:val="000000" w:themeColor="text1"/>
          <w:sz w:val="26"/>
          <w:szCs w:val="26"/>
        </w:rPr>
      </w:pPr>
      <w:r>
        <w:rPr>
          <w:rFonts w:eastAsiaTheme="majorEastAsia"/>
          <w:color w:val="000000" w:themeColor="text1"/>
          <w:sz w:val="26"/>
          <w:szCs w:val="26"/>
        </w:rPr>
        <w:t xml:space="preserve">This is why it is necessary for defense counsel to have a mechanism to obtain </w:t>
      </w:r>
      <w:r w:rsidR="00010537">
        <w:rPr>
          <w:rFonts w:eastAsiaTheme="majorEastAsia"/>
          <w:color w:val="000000" w:themeColor="text1"/>
          <w:sz w:val="26"/>
          <w:szCs w:val="26"/>
        </w:rPr>
        <w:t>documents held by third parties without alerting the State to the existence of those documents or the reasons the documents are being sought.</w:t>
      </w:r>
      <w:r w:rsidR="00040F57">
        <w:rPr>
          <w:rFonts w:eastAsiaTheme="majorEastAsia"/>
          <w:color w:val="000000" w:themeColor="text1"/>
          <w:sz w:val="26"/>
          <w:szCs w:val="26"/>
        </w:rPr>
        <w:t xml:space="preserve">  Once the documents have been obtained and reviewed by defense counsel, </w:t>
      </w:r>
      <w:r w:rsidR="007C6309">
        <w:rPr>
          <w:rFonts w:eastAsiaTheme="majorEastAsia"/>
          <w:color w:val="000000" w:themeColor="text1"/>
          <w:sz w:val="26"/>
          <w:szCs w:val="26"/>
        </w:rPr>
        <w:t>disclosure obligations under 15.2 apply just as any other evidence the defense intends to use at trial.</w:t>
      </w:r>
    </w:p>
    <w:p w14:paraId="539326B1" w14:textId="6FDD4DD8" w:rsidR="00901208" w:rsidRPr="00EA485F" w:rsidRDefault="00032DD8" w:rsidP="00EA485F">
      <w:pPr>
        <w:pStyle w:val="paragraph"/>
        <w:spacing w:line="480" w:lineRule="auto"/>
        <w:ind w:firstLine="720"/>
        <w:contextualSpacing/>
        <w:jc w:val="both"/>
        <w:textAlignment w:val="baseline"/>
        <w:rPr>
          <w:rFonts w:eastAsiaTheme="majorEastAsia"/>
          <w:color w:val="000000" w:themeColor="text1"/>
          <w:sz w:val="26"/>
          <w:szCs w:val="26"/>
        </w:rPr>
      </w:pPr>
      <w:r w:rsidRPr="005171A1">
        <w:rPr>
          <w:rStyle w:val="normaltextrun"/>
          <w:rFonts w:eastAsiaTheme="majorEastAsia"/>
          <w:color w:val="000000" w:themeColor="text1"/>
          <w:sz w:val="26"/>
          <w:szCs w:val="26"/>
        </w:rPr>
        <w:lastRenderedPageBreak/>
        <w:t xml:space="preserve"> </w:t>
      </w:r>
      <w:r w:rsidR="00336B0F">
        <w:rPr>
          <w:rStyle w:val="normaltextrun"/>
          <w:rFonts w:eastAsiaTheme="majorEastAsia"/>
          <w:color w:val="000000" w:themeColor="text1"/>
          <w:sz w:val="26"/>
          <w:szCs w:val="26"/>
        </w:rPr>
        <w:t>I</w:t>
      </w:r>
      <w:r w:rsidR="005171A1" w:rsidRPr="005171A1">
        <w:rPr>
          <w:rStyle w:val="normaltextrun"/>
          <w:rFonts w:eastAsiaTheme="majorEastAsia"/>
          <w:color w:val="000000" w:themeColor="text1"/>
          <w:sz w:val="26"/>
          <w:szCs w:val="26"/>
        </w:rPr>
        <w:t xml:space="preserve">t is vital that this right </w:t>
      </w:r>
      <w:r w:rsidR="008443F7">
        <w:rPr>
          <w:rStyle w:val="normaltextrun"/>
          <w:rFonts w:eastAsiaTheme="majorEastAsia"/>
          <w:color w:val="000000" w:themeColor="text1"/>
          <w:sz w:val="26"/>
          <w:szCs w:val="26"/>
        </w:rPr>
        <w:t xml:space="preserve">to ex parte motions and hearings </w:t>
      </w:r>
      <w:r w:rsidR="005171A1" w:rsidRPr="005171A1">
        <w:rPr>
          <w:rStyle w:val="normaltextrun"/>
          <w:rFonts w:eastAsiaTheme="majorEastAsia"/>
          <w:color w:val="000000" w:themeColor="text1"/>
          <w:sz w:val="26"/>
          <w:szCs w:val="26"/>
        </w:rPr>
        <w:t xml:space="preserve">be solidified </w:t>
      </w:r>
      <w:r w:rsidR="004B5985">
        <w:rPr>
          <w:rStyle w:val="normaltextrun"/>
          <w:rFonts w:eastAsiaTheme="majorEastAsia"/>
          <w:color w:val="000000" w:themeColor="text1"/>
          <w:sz w:val="26"/>
          <w:szCs w:val="26"/>
        </w:rPr>
        <w:t xml:space="preserve">by this Court’s </w:t>
      </w:r>
      <w:r w:rsidR="007002A5">
        <w:rPr>
          <w:rStyle w:val="normaltextrun"/>
          <w:rFonts w:eastAsiaTheme="majorEastAsia"/>
          <w:color w:val="000000" w:themeColor="text1"/>
          <w:sz w:val="26"/>
          <w:szCs w:val="26"/>
        </w:rPr>
        <w:t>rules.</w:t>
      </w:r>
      <w:r w:rsidR="005171A1" w:rsidRPr="005171A1">
        <w:rPr>
          <w:rStyle w:val="normaltextrun"/>
          <w:rFonts w:eastAsiaTheme="majorEastAsia"/>
          <w:color w:val="000000" w:themeColor="text1"/>
          <w:sz w:val="26"/>
          <w:szCs w:val="26"/>
        </w:rPr>
        <w:t xml:space="preserve"> </w:t>
      </w:r>
      <w:r w:rsidR="0095247B" w:rsidRPr="0095247B">
        <w:rPr>
          <w:rStyle w:val="normaltextrun"/>
          <w:rFonts w:eastAsiaTheme="majorEastAsia"/>
          <w:color w:val="000000" w:themeColor="text1"/>
          <w:sz w:val="26"/>
          <w:szCs w:val="26"/>
        </w:rPr>
        <w:t xml:space="preserve">Following </w:t>
      </w:r>
      <w:r w:rsidR="0095247B" w:rsidRPr="00EA485F">
        <w:rPr>
          <w:rStyle w:val="normaltextrun"/>
          <w:rFonts w:eastAsiaTheme="majorEastAsia"/>
          <w:i/>
          <w:iCs/>
          <w:color w:val="000000" w:themeColor="text1"/>
          <w:sz w:val="26"/>
          <w:szCs w:val="26"/>
        </w:rPr>
        <w:t>State v. Apelt</w:t>
      </w:r>
      <w:r w:rsidR="0095247B" w:rsidRPr="0095247B">
        <w:rPr>
          <w:rStyle w:val="normaltextrun"/>
          <w:rFonts w:eastAsiaTheme="majorEastAsia"/>
          <w:color w:val="000000" w:themeColor="text1"/>
          <w:sz w:val="26"/>
          <w:szCs w:val="26"/>
        </w:rPr>
        <w:t>, 176 Ariz. 349 (1993), it became apparent that the defense required a procedural mechanism to investigate independently, free from unnecessary intrusion by the State and opposing counsel. Since 2002, that mechanism has existed in former Rule 15.9, now Rule 6.7.  Rule 6.7(b) expressly authorizes this Court to entertain and grant an application for an ex parte proceeding. In Morehart v. Barton, the court recognized that Rule 15.9 was modified in response to “[c]oncerns that defense counsel might improperly be required to disclose privileged or work product material in seeking to obtain mitigation evidence.” 226 Ariz. 510, 513 ¶ 11. To address those concerns, “the rule was changed to expressly allow ex parte proceedings upon a ‘proper showing … [of a] need for confidentiality.’” Id.</w:t>
      </w:r>
      <w:r w:rsidR="00CA1E62">
        <w:rPr>
          <w:color w:val="000000" w:themeColor="text1"/>
          <w:sz w:val="26"/>
          <w:szCs w:val="26"/>
        </w:rPr>
        <w:t xml:space="preserve"> </w:t>
      </w:r>
      <w:r w:rsidR="00901208">
        <w:rPr>
          <w:color w:val="000000" w:themeColor="text1"/>
          <w:sz w:val="26"/>
          <w:szCs w:val="26"/>
        </w:rPr>
        <w:t xml:space="preserve">This court recognized that “certain requests may be made by </w:t>
      </w:r>
      <w:r w:rsidR="00901208" w:rsidRPr="00901208">
        <w:rPr>
          <w:color w:val="000000" w:themeColor="text1"/>
          <w:sz w:val="26"/>
          <w:szCs w:val="26"/>
        </w:rPr>
        <w:t>ex parte</w:t>
      </w:r>
      <w:r w:rsidR="00901208">
        <w:rPr>
          <w:color w:val="000000" w:themeColor="text1"/>
          <w:sz w:val="26"/>
          <w:szCs w:val="26"/>
        </w:rPr>
        <w:t xml:space="preserve"> motions . . . and courts often resolve such matters without a hearing.” </w:t>
      </w:r>
      <w:r w:rsidR="00901208" w:rsidRPr="00B55F58">
        <w:rPr>
          <w:i/>
          <w:iCs/>
          <w:color w:val="000000" w:themeColor="text1"/>
          <w:sz w:val="26"/>
          <w:szCs w:val="26"/>
        </w:rPr>
        <w:t>Id.</w:t>
      </w:r>
      <w:r w:rsidR="00901208">
        <w:rPr>
          <w:color w:val="000000" w:themeColor="text1"/>
          <w:sz w:val="26"/>
          <w:szCs w:val="26"/>
        </w:rPr>
        <w:t xml:space="preserve"> at ¶ 12. </w:t>
      </w:r>
      <w:r w:rsidR="00C87C17">
        <w:rPr>
          <w:color w:val="000000" w:themeColor="text1"/>
          <w:sz w:val="26"/>
          <w:szCs w:val="26"/>
        </w:rPr>
        <w:t xml:space="preserve">To eliminate any confusion or misinterpretation of </w:t>
      </w:r>
      <w:r w:rsidR="00C87C17" w:rsidRPr="00B55F58">
        <w:rPr>
          <w:i/>
          <w:iCs/>
          <w:color w:val="000000" w:themeColor="text1"/>
          <w:sz w:val="26"/>
          <w:szCs w:val="26"/>
        </w:rPr>
        <w:t>Smith</w:t>
      </w:r>
      <w:r w:rsidR="00C87C17">
        <w:rPr>
          <w:color w:val="000000" w:themeColor="text1"/>
          <w:sz w:val="26"/>
          <w:szCs w:val="26"/>
        </w:rPr>
        <w:t>, and to ac</w:t>
      </w:r>
      <w:r w:rsidR="007B7E4E">
        <w:rPr>
          <w:color w:val="000000" w:themeColor="text1"/>
          <w:sz w:val="26"/>
          <w:szCs w:val="26"/>
        </w:rPr>
        <w:t>knowledge</w:t>
      </w:r>
      <w:r w:rsidR="00C87C17">
        <w:rPr>
          <w:color w:val="000000" w:themeColor="text1"/>
          <w:sz w:val="26"/>
          <w:szCs w:val="26"/>
        </w:rPr>
        <w:t xml:space="preserve"> </w:t>
      </w:r>
      <w:r w:rsidR="00C87C17" w:rsidRPr="00B55F58">
        <w:rPr>
          <w:i/>
          <w:iCs/>
          <w:color w:val="000000" w:themeColor="text1"/>
          <w:sz w:val="26"/>
          <w:szCs w:val="26"/>
        </w:rPr>
        <w:t>Morehart</w:t>
      </w:r>
      <w:r w:rsidR="00C87C17">
        <w:rPr>
          <w:color w:val="000000" w:themeColor="text1"/>
          <w:sz w:val="26"/>
          <w:szCs w:val="26"/>
        </w:rPr>
        <w:t xml:space="preserve">’s support for ex parte proceedings, an express criminal rule authorizing ex parte discovery motions and hearings is necessary to protect defendants’ constitutional rights. </w:t>
      </w:r>
    </w:p>
    <w:p w14:paraId="0AEF0962" w14:textId="58F37874" w:rsidR="005171A1" w:rsidRPr="0040159E" w:rsidRDefault="007A3DE1" w:rsidP="00A94745">
      <w:pPr>
        <w:pStyle w:val="paragraph"/>
        <w:spacing w:before="0" w:beforeAutospacing="0" w:after="0" w:afterAutospacing="0" w:line="480" w:lineRule="auto"/>
        <w:ind w:firstLine="720"/>
        <w:jc w:val="both"/>
        <w:textAlignment w:val="baseline"/>
        <w:rPr>
          <w:rStyle w:val="eop"/>
          <w:color w:val="FF0000"/>
          <w:sz w:val="26"/>
          <w:szCs w:val="26"/>
        </w:rPr>
      </w:pPr>
      <w:r>
        <w:rPr>
          <w:color w:val="000000" w:themeColor="text1"/>
          <w:sz w:val="26"/>
          <w:szCs w:val="26"/>
        </w:rPr>
        <w:t>T</w:t>
      </w:r>
      <w:r w:rsidRPr="005171A1">
        <w:rPr>
          <w:color w:val="000000" w:themeColor="text1"/>
          <w:sz w:val="26"/>
          <w:szCs w:val="26"/>
        </w:rPr>
        <w:t xml:space="preserve">here </w:t>
      </w:r>
      <w:r w:rsidR="005171A1" w:rsidRPr="005171A1">
        <w:rPr>
          <w:color w:val="000000" w:themeColor="text1"/>
          <w:sz w:val="26"/>
          <w:szCs w:val="26"/>
        </w:rPr>
        <w:t xml:space="preserve">are safeguards written into the rule and through other authorities. </w:t>
      </w:r>
      <w:r w:rsidR="005171A1" w:rsidRPr="005171A1">
        <w:rPr>
          <w:rStyle w:val="normaltextrun"/>
          <w:rFonts w:eastAsiaTheme="majorEastAsia"/>
          <w:color w:val="000000" w:themeColor="text1"/>
          <w:sz w:val="26"/>
          <w:szCs w:val="26"/>
        </w:rPr>
        <w:t xml:space="preserve">The Arizona Rules of Professional Conduct provide that counsel must inform the Court of all material facts in ex parte proceedings, </w:t>
      </w:r>
      <w:proofErr w:type="gramStart"/>
      <w:r w:rsidR="005171A1" w:rsidRPr="005171A1">
        <w:rPr>
          <w:rStyle w:val="normaltextrun"/>
          <w:rFonts w:eastAsiaTheme="majorEastAsia"/>
          <w:color w:val="000000" w:themeColor="text1"/>
          <w:sz w:val="26"/>
          <w:szCs w:val="26"/>
        </w:rPr>
        <w:t>whether or not</w:t>
      </w:r>
      <w:proofErr w:type="gramEnd"/>
      <w:r w:rsidR="005171A1" w:rsidRPr="005171A1">
        <w:rPr>
          <w:rStyle w:val="normaltextrun"/>
          <w:rFonts w:eastAsiaTheme="majorEastAsia"/>
          <w:color w:val="000000" w:themeColor="text1"/>
          <w:sz w:val="26"/>
          <w:szCs w:val="26"/>
        </w:rPr>
        <w:t xml:space="preserve"> the facts are adverse. (ER 3.3(d))</w:t>
      </w:r>
      <w:r w:rsidR="005171A1" w:rsidRPr="005171A1">
        <w:rPr>
          <w:rStyle w:val="eop"/>
          <w:rFonts w:eastAsiaTheme="majorEastAsia"/>
          <w:color w:val="000000" w:themeColor="text1"/>
          <w:sz w:val="26"/>
          <w:szCs w:val="26"/>
        </w:rPr>
        <w:t>.</w:t>
      </w:r>
      <w:r w:rsidR="00A94745">
        <w:rPr>
          <w:rStyle w:val="eop"/>
          <w:rFonts w:eastAsiaTheme="majorEastAsia"/>
          <w:color w:val="000000" w:themeColor="text1"/>
          <w:sz w:val="26"/>
          <w:szCs w:val="26"/>
        </w:rPr>
        <w:t xml:space="preserve"> </w:t>
      </w:r>
      <w:r w:rsidR="00A94745" w:rsidRPr="0040159E">
        <w:rPr>
          <w:rStyle w:val="eop"/>
          <w:color w:val="000000" w:themeColor="text1"/>
          <w:sz w:val="26"/>
          <w:szCs w:val="26"/>
        </w:rPr>
        <w:t>Additionally, the trial court must determine whether there is a need for confidentiality before proceeding with an ex parte request.   The trial court must also</w:t>
      </w:r>
      <w:r w:rsidR="00A94745" w:rsidRPr="0040159E">
        <w:rPr>
          <w:color w:val="000000" w:themeColor="text1"/>
          <w:sz w:val="26"/>
          <w:szCs w:val="26"/>
        </w:rPr>
        <w:t xml:space="preserve"> consider whether victims' rights are implicated and, if so, must enforce those rights unless doing so would deprive the defendant of a fair trial.  </w:t>
      </w:r>
      <w:r w:rsidR="00A94745" w:rsidRPr="0040159E">
        <w:rPr>
          <w:i/>
          <w:iCs/>
          <w:color w:val="000000" w:themeColor="text1"/>
          <w:sz w:val="26"/>
          <w:szCs w:val="26"/>
        </w:rPr>
        <w:t>Morehart</w:t>
      </w:r>
      <w:r w:rsidR="00A94745" w:rsidRPr="0040159E">
        <w:rPr>
          <w:color w:val="000000" w:themeColor="text1"/>
          <w:sz w:val="26"/>
          <w:szCs w:val="26"/>
        </w:rPr>
        <w:t xml:space="preserve"> at 516.</w:t>
      </w:r>
    </w:p>
    <w:p w14:paraId="0F47A95B" w14:textId="0B00B8CB" w:rsidR="005171A1" w:rsidRPr="005171A1" w:rsidRDefault="005171A1" w:rsidP="005171A1">
      <w:pPr>
        <w:pStyle w:val="paragraph"/>
        <w:spacing w:before="0" w:beforeAutospacing="0" w:after="0" w:afterAutospacing="0" w:line="480" w:lineRule="auto"/>
        <w:ind w:firstLine="720"/>
        <w:jc w:val="both"/>
        <w:textAlignment w:val="baseline"/>
        <w:rPr>
          <w:color w:val="000000" w:themeColor="text1"/>
          <w:sz w:val="26"/>
          <w:szCs w:val="26"/>
        </w:rPr>
      </w:pPr>
      <w:r w:rsidRPr="005171A1">
        <w:rPr>
          <w:rStyle w:val="normaltextrun"/>
          <w:rFonts w:eastAsiaTheme="majorEastAsia"/>
          <w:color w:val="000000" w:themeColor="text1"/>
          <w:sz w:val="26"/>
          <w:szCs w:val="26"/>
        </w:rPr>
        <w:lastRenderedPageBreak/>
        <w:t>This petition aligns with court precedent</w:t>
      </w:r>
      <w:r w:rsidR="00CA1E62">
        <w:rPr>
          <w:rStyle w:val="normaltextrun"/>
          <w:rFonts w:eastAsiaTheme="majorEastAsia"/>
          <w:color w:val="000000" w:themeColor="text1"/>
          <w:sz w:val="26"/>
          <w:szCs w:val="26"/>
        </w:rPr>
        <w:t xml:space="preserve"> and </w:t>
      </w:r>
      <w:r w:rsidR="00CA1E62" w:rsidRPr="00B55F58">
        <w:rPr>
          <w:rStyle w:val="normaltextrun"/>
          <w:rFonts w:eastAsiaTheme="majorEastAsia"/>
          <w:i/>
          <w:iCs/>
          <w:color w:val="000000" w:themeColor="text1"/>
          <w:sz w:val="26"/>
          <w:szCs w:val="26"/>
        </w:rPr>
        <w:t>Morehart</w:t>
      </w:r>
      <w:r w:rsidRPr="005171A1">
        <w:rPr>
          <w:rStyle w:val="normaltextrun"/>
          <w:rFonts w:eastAsiaTheme="majorEastAsia"/>
          <w:color w:val="000000" w:themeColor="text1"/>
          <w:sz w:val="26"/>
          <w:szCs w:val="26"/>
        </w:rPr>
        <w:t xml:space="preserve">. The use of ex parte motions and hearings for discovery requests protect client confidentiality and due process. </w:t>
      </w:r>
      <w:r w:rsidRPr="005171A1">
        <w:rPr>
          <w:rFonts w:eastAsia="Calibri"/>
          <w:color w:val="000000" w:themeColor="text1"/>
          <w:sz w:val="26"/>
          <w:szCs w:val="26"/>
        </w:rPr>
        <w:t xml:space="preserve">For the reasons stated above, the directors of the indigent defense agencies of Maricopa County support the Petition to Amend Arizona Rules of Criminal Procedure 1.9, 15.1, 32.6 and 33.6. </w:t>
      </w:r>
    </w:p>
    <w:p w14:paraId="59F1D23D" w14:textId="77777777" w:rsidR="005171A1" w:rsidRDefault="005171A1" w:rsidP="00B55F58">
      <w:pPr>
        <w:spacing w:line="480" w:lineRule="auto"/>
        <w:jc w:val="both"/>
        <w:rPr>
          <w:rFonts w:ascii="Times New Roman" w:eastAsia="Calibri" w:hAnsi="Times New Roman" w:cs="Times New Roman"/>
          <w:sz w:val="26"/>
          <w:szCs w:val="26"/>
        </w:rPr>
      </w:pPr>
    </w:p>
    <w:p w14:paraId="2D1B6419" w14:textId="77777777" w:rsidR="005171A1" w:rsidRDefault="005171A1" w:rsidP="005171A1">
      <w:pPr>
        <w:widowControl/>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Respectfully submitted this day of April 30, 2026.</w:t>
      </w:r>
    </w:p>
    <w:p w14:paraId="0EDBE92E" w14:textId="77777777" w:rsidR="005171A1" w:rsidRDefault="005171A1" w:rsidP="005171A1">
      <w:pPr>
        <w:widowControl/>
        <w:jc w:val="both"/>
        <w:rPr>
          <w:rFonts w:ascii="Times New Roman" w:hAnsi="Times New Roman" w:cs="Times New Roman"/>
          <w:sz w:val="26"/>
          <w:szCs w:val="26"/>
        </w:rPr>
      </w:pPr>
    </w:p>
    <w:p w14:paraId="258D31E0" w14:textId="77777777" w:rsidR="005171A1" w:rsidRDefault="005171A1" w:rsidP="005171A1">
      <w:pPr>
        <w:widowControl/>
        <w:jc w:val="both"/>
        <w:rPr>
          <w:rFonts w:ascii="Times New Roman" w:hAnsi="Times New Roman" w:cs="Times New Roman"/>
          <w:sz w:val="26"/>
          <w:szCs w:val="26"/>
        </w:rPr>
      </w:pPr>
    </w:p>
    <w:p w14:paraId="34BF1FA3" w14:textId="54E2119D" w:rsidR="005171A1" w:rsidRDefault="005171A1" w:rsidP="005171A1">
      <w:pPr>
        <w:widowControl/>
        <w:jc w:val="both"/>
        <w:rPr>
          <w:rFonts w:ascii="Times New Roman" w:hAnsi="Times New Roman" w:cs="Times New Roman"/>
          <w:sz w:val="26"/>
          <w:szCs w:val="26"/>
          <w:u w:val="single"/>
        </w:rPr>
      </w:pPr>
      <w:r>
        <w:rPr>
          <w:rFonts w:ascii="Times New Roman" w:hAnsi="Times New Roman" w:cs="Times New Roman"/>
          <w:sz w:val="26"/>
          <w:szCs w:val="26"/>
        </w:rPr>
        <w:t>By</w:t>
      </w:r>
      <w:r>
        <w:rPr>
          <w:rFonts w:ascii="Times New Roman" w:hAnsi="Times New Roman" w:cs="Times New Roman"/>
          <w:sz w:val="26"/>
          <w:szCs w:val="26"/>
          <w:u w:val="single"/>
        </w:rPr>
        <w:tab/>
        <w:t xml:space="preserve">/s/ </w:t>
      </w:r>
      <w:r>
        <w:rPr>
          <w:rFonts w:ascii="Times New Roman" w:hAnsi="Times New Roman" w:cs="Times New Roman"/>
          <w:i/>
          <w:iCs/>
          <w:sz w:val="26"/>
          <w:szCs w:val="26"/>
          <w:u w:val="single"/>
        </w:rPr>
        <w:t>Rosemarie Peña-Lynch</w:t>
      </w:r>
      <w:r w:rsidR="0040159E">
        <w:rPr>
          <w:rFonts w:ascii="Times New Roman" w:hAnsi="Times New Roman" w:cs="Times New Roman"/>
          <w:i/>
          <w:iCs/>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rPr>
        <w:tab/>
        <w:t>By</w:t>
      </w:r>
      <w:r>
        <w:rPr>
          <w:rFonts w:ascii="Times New Roman" w:hAnsi="Times New Roman" w:cs="Times New Roman"/>
          <w:sz w:val="26"/>
          <w:szCs w:val="26"/>
          <w:u w:val="single"/>
        </w:rPr>
        <w:tab/>
        <w:t xml:space="preserve">/s/ </w:t>
      </w:r>
      <w:r>
        <w:rPr>
          <w:rFonts w:ascii="Times New Roman" w:hAnsi="Times New Roman" w:cs="Times New Roman"/>
          <w:i/>
          <w:iCs/>
          <w:sz w:val="26"/>
          <w:szCs w:val="26"/>
          <w:u w:val="single"/>
        </w:rPr>
        <w:t>Lina G. Garcia</w:t>
      </w:r>
      <w:r>
        <w:rPr>
          <w:rFonts w:ascii="Times New Roman" w:hAnsi="Times New Roman" w:cs="Times New Roman"/>
          <w:sz w:val="26"/>
          <w:szCs w:val="26"/>
          <w:u w:val="single"/>
        </w:rPr>
        <w:tab/>
      </w:r>
      <w:r>
        <w:rPr>
          <w:rFonts w:ascii="Times New Roman" w:hAnsi="Times New Roman" w:cs="Times New Roman"/>
          <w:sz w:val="26"/>
          <w:szCs w:val="26"/>
          <w:u w:val="single"/>
        </w:rPr>
        <w:tab/>
      </w:r>
    </w:p>
    <w:p w14:paraId="232D9213" w14:textId="77777777" w:rsidR="005171A1" w:rsidRDefault="005171A1" w:rsidP="005171A1">
      <w:pPr>
        <w:widowControl/>
        <w:tabs>
          <w:tab w:val="left" w:pos="5400"/>
        </w:tabs>
        <w:ind w:firstLine="360"/>
        <w:jc w:val="both"/>
        <w:rPr>
          <w:rFonts w:ascii="Times New Roman" w:hAnsi="Times New Roman" w:cs="Times New Roman"/>
          <w:b/>
          <w:bCs/>
          <w:sz w:val="26"/>
          <w:szCs w:val="26"/>
        </w:rPr>
      </w:pPr>
      <w:r>
        <w:rPr>
          <w:rFonts w:ascii="Times New Roman" w:hAnsi="Times New Roman" w:cs="Times New Roman"/>
          <w:sz w:val="26"/>
          <w:szCs w:val="26"/>
        </w:rPr>
        <w:t>Rosemarie Peña-Lynch, Director</w:t>
      </w:r>
      <w:r>
        <w:rPr>
          <w:rFonts w:ascii="Times New Roman" w:hAnsi="Times New Roman" w:cs="Times New Roman"/>
          <w:sz w:val="26"/>
          <w:szCs w:val="26"/>
        </w:rPr>
        <w:tab/>
        <w:t>Lina G. Garcia, Director</w:t>
      </w:r>
    </w:p>
    <w:p w14:paraId="26499EEC" w14:textId="77777777" w:rsidR="005171A1" w:rsidRDefault="005171A1" w:rsidP="005171A1">
      <w:pPr>
        <w:widowControl/>
        <w:tabs>
          <w:tab w:val="left" w:pos="5400"/>
        </w:tabs>
        <w:ind w:firstLine="360"/>
        <w:jc w:val="both"/>
        <w:rPr>
          <w:rFonts w:ascii="Times New Roman" w:hAnsi="Times New Roman" w:cs="Times New Roman"/>
          <w:sz w:val="26"/>
          <w:szCs w:val="26"/>
        </w:rPr>
      </w:pPr>
      <w:r>
        <w:rPr>
          <w:rFonts w:ascii="Times New Roman" w:hAnsi="Times New Roman" w:cs="Times New Roman"/>
          <w:sz w:val="26"/>
          <w:szCs w:val="26"/>
        </w:rPr>
        <w:t>Mcpa. Cnty. Ofc. of Public Defense Svc.</w:t>
      </w:r>
      <w:r>
        <w:rPr>
          <w:rFonts w:ascii="Times New Roman" w:hAnsi="Times New Roman" w:cs="Times New Roman"/>
          <w:sz w:val="26"/>
          <w:szCs w:val="26"/>
        </w:rPr>
        <w:tab/>
        <w:t>Mcpa. Cnty. Public Defenders Ofc.</w:t>
      </w:r>
    </w:p>
    <w:p w14:paraId="71628A2A" w14:textId="77777777" w:rsidR="005171A1" w:rsidRDefault="005171A1" w:rsidP="005171A1">
      <w:pPr>
        <w:widowControl/>
        <w:jc w:val="both"/>
        <w:rPr>
          <w:rFonts w:ascii="Times New Roman" w:hAnsi="Times New Roman" w:cs="Times New Roman"/>
          <w:sz w:val="26"/>
          <w:szCs w:val="26"/>
        </w:rPr>
      </w:pPr>
    </w:p>
    <w:p w14:paraId="6C5B6391" w14:textId="77777777" w:rsidR="005171A1" w:rsidRDefault="005171A1" w:rsidP="005171A1">
      <w:pPr>
        <w:widowControl/>
        <w:jc w:val="both"/>
        <w:rPr>
          <w:rFonts w:ascii="Times New Roman" w:hAnsi="Times New Roman" w:cs="Times New Roman"/>
          <w:sz w:val="26"/>
          <w:szCs w:val="26"/>
        </w:rPr>
      </w:pPr>
    </w:p>
    <w:p w14:paraId="0907AAB0" w14:textId="77777777" w:rsidR="005171A1" w:rsidRDefault="005171A1" w:rsidP="005171A1">
      <w:pPr>
        <w:widowControl/>
        <w:jc w:val="both"/>
        <w:rPr>
          <w:rFonts w:ascii="Times New Roman" w:hAnsi="Times New Roman" w:cs="Times New Roman"/>
          <w:sz w:val="26"/>
          <w:szCs w:val="26"/>
          <w:u w:val="single"/>
        </w:rPr>
      </w:pPr>
      <w:r>
        <w:rPr>
          <w:rFonts w:ascii="Times New Roman" w:hAnsi="Times New Roman" w:cs="Times New Roman"/>
          <w:sz w:val="26"/>
          <w:szCs w:val="26"/>
        </w:rPr>
        <w:t>By</w:t>
      </w:r>
      <w:r>
        <w:rPr>
          <w:rFonts w:ascii="Times New Roman" w:hAnsi="Times New Roman" w:cs="Times New Roman"/>
          <w:sz w:val="26"/>
          <w:szCs w:val="26"/>
          <w:u w:val="single"/>
        </w:rPr>
        <w:tab/>
        <w:t xml:space="preserve">/s/ </w:t>
      </w:r>
      <w:r>
        <w:rPr>
          <w:rFonts w:ascii="Times New Roman" w:hAnsi="Times New Roman" w:cs="Times New Roman"/>
          <w:i/>
          <w:iCs/>
          <w:sz w:val="26"/>
          <w:szCs w:val="26"/>
          <w:u w:val="single"/>
        </w:rPr>
        <w:t>Steve Koestner</w:t>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rPr>
        <w:tab/>
        <w:t>By</w:t>
      </w:r>
      <w:r>
        <w:rPr>
          <w:rFonts w:ascii="Times New Roman" w:hAnsi="Times New Roman" w:cs="Times New Roman"/>
          <w:sz w:val="26"/>
          <w:szCs w:val="26"/>
          <w:u w:val="single"/>
        </w:rPr>
        <w:tab/>
        <w:t xml:space="preserve">/s/ </w:t>
      </w:r>
      <w:r>
        <w:rPr>
          <w:rFonts w:ascii="Times New Roman" w:hAnsi="Times New Roman" w:cs="Times New Roman"/>
          <w:i/>
          <w:iCs/>
          <w:sz w:val="26"/>
          <w:szCs w:val="26"/>
          <w:u w:val="single"/>
        </w:rPr>
        <w:t>Shannon Burns</w:t>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p>
    <w:p w14:paraId="062BE2E7" w14:textId="77777777" w:rsidR="005171A1" w:rsidRDefault="005171A1" w:rsidP="005171A1">
      <w:pPr>
        <w:widowControl/>
        <w:tabs>
          <w:tab w:val="left" w:pos="5400"/>
        </w:tabs>
        <w:ind w:firstLine="360"/>
        <w:jc w:val="both"/>
        <w:rPr>
          <w:rFonts w:ascii="Times New Roman" w:hAnsi="Times New Roman" w:cs="Times New Roman"/>
          <w:b/>
          <w:bCs/>
          <w:sz w:val="26"/>
          <w:szCs w:val="26"/>
        </w:rPr>
      </w:pPr>
      <w:r>
        <w:rPr>
          <w:rFonts w:ascii="Times New Roman" w:hAnsi="Times New Roman" w:cs="Times New Roman"/>
          <w:sz w:val="26"/>
          <w:szCs w:val="26"/>
        </w:rPr>
        <w:t>Steve Koestner, Director</w:t>
      </w:r>
      <w:r>
        <w:rPr>
          <w:rFonts w:ascii="Times New Roman" w:hAnsi="Times New Roman" w:cs="Times New Roman"/>
          <w:sz w:val="26"/>
          <w:szCs w:val="26"/>
        </w:rPr>
        <w:tab/>
        <w:t>Shannon Burns, Director</w:t>
      </w:r>
    </w:p>
    <w:p w14:paraId="5CAC7DE6" w14:textId="77777777" w:rsidR="005171A1" w:rsidRDefault="005171A1" w:rsidP="005171A1">
      <w:pPr>
        <w:widowControl/>
        <w:tabs>
          <w:tab w:val="left" w:pos="5400"/>
        </w:tabs>
        <w:ind w:left="4320" w:right="-1350" w:hanging="3960"/>
        <w:jc w:val="both"/>
        <w:rPr>
          <w:rFonts w:ascii="Times New Roman" w:hAnsi="Times New Roman" w:cs="Times New Roman"/>
          <w:sz w:val="26"/>
          <w:szCs w:val="26"/>
        </w:rPr>
      </w:pPr>
      <w:r>
        <w:rPr>
          <w:rFonts w:ascii="Times New Roman" w:hAnsi="Times New Roman" w:cs="Times New Roman"/>
          <w:sz w:val="26"/>
          <w:szCs w:val="26"/>
        </w:rPr>
        <w:t>Mcpa. Cnty. Ofc. of Legal Advocate</w:t>
      </w:r>
      <w:r>
        <w:rPr>
          <w:rFonts w:ascii="Times New Roman" w:hAnsi="Times New Roman" w:cs="Times New Roman"/>
          <w:sz w:val="26"/>
          <w:szCs w:val="26"/>
        </w:rPr>
        <w:tab/>
      </w:r>
      <w:r>
        <w:rPr>
          <w:rFonts w:ascii="Times New Roman" w:hAnsi="Times New Roman" w:cs="Times New Roman"/>
          <w:sz w:val="26"/>
          <w:szCs w:val="26"/>
        </w:rPr>
        <w:tab/>
        <w:t xml:space="preserve">Mcpa. Cnty. Ofc. of Public Advocate </w:t>
      </w:r>
    </w:p>
    <w:p w14:paraId="6066D36B" w14:textId="77777777" w:rsidR="005171A1" w:rsidRDefault="005171A1" w:rsidP="005171A1">
      <w:pPr>
        <w:widowControl/>
        <w:jc w:val="both"/>
        <w:rPr>
          <w:rFonts w:ascii="Times New Roman" w:hAnsi="Times New Roman" w:cs="Times New Roman"/>
          <w:sz w:val="26"/>
          <w:szCs w:val="26"/>
        </w:rPr>
      </w:pPr>
    </w:p>
    <w:p w14:paraId="63C99B2B" w14:textId="77777777" w:rsidR="005171A1" w:rsidRDefault="005171A1" w:rsidP="005171A1">
      <w:pPr>
        <w:widowControl/>
        <w:jc w:val="both"/>
        <w:rPr>
          <w:rFonts w:ascii="Times New Roman" w:hAnsi="Times New Roman" w:cs="Times New Roman"/>
          <w:sz w:val="26"/>
          <w:szCs w:val="26"/>
        </w:rPr>
      </w:pPr>
    </w:p>
    <w:p w14:paraId="48529EA8" w14:textId="59734E40" w:rsidR="005171A1" w:rsidRDefault="005171A1" w:rsidP="005171A1">
      <w:pPr>
        <w:widowControl/>
        <w:jc w:val="both"/>
        <w:rPr>
          <w:rFonts w:ascii="Times New Roman" w:hAnsi="Times New Roman" w:cs="Times New Roman"/>
          <w:sz w:val="26"/>
          <w:szCs w:val="26"/>
          <w:u w:val="single"/>
        </w:rPr>
      </w:pPr>
      <w:r>
        <w:rPr>
          <w:rFonts w:ascii="Times New Roman" w:hAnsi="Times New Roman" w:cs="Times New Roman"/>
          <w:sz w:val="26"/>
          <w:szCs w:val="26"/>
        </w:rPr>
        <w:t>By</w:t>
      </w:r>
      <w:r>
        <w:rPr>
          <w:rFonts w:ascii="Times New Roman" w:hAnsi="Times New Roman" w:cs="Times New Roman"/>
          <w:sz w:val="26"/>
          <w:szCs w:val="26"/>
          <w:u w:val="single"/>
        </w:rPr>
        <w:tab/>
        <w:t xml:space="preserve">/s/ </w:t>
      </w:r>
      <w:r>
        <w:rPr>
          <w:rFonts w:ascii="Times New Roman" w:hAnsi="Times New Roman" w:cs="Times New Roman"/>
          <w:i/>
          <w:iCs/>
          <w:sz w:val="26"/>
          <w:szCs w:val="26"/>
          <w:u w:val="single"/>
        </w:rPr>
        <w:t>Michael C. Jones</w:t>
      </w:r>
      <w:r w:rsidR="0040159E">
        <w:rPr>
          <w:rFonts w:ascii="Times New Roman" w:hAnsi="Times New Roman" w:cs="Times New Roman"/>
          <w:i/>
          <w:iCs/>
          <w:sz w:val="26"/>
          <w:szCs w:val="26"/>
          <w:u w:val="single"/>
        </w:rPr>
        <w:tab/>
      </w:r>
      <w:r w:rsidR="0040159E">
        <w:rPr>
          <w:rFonts w:ascii="Times New Roman" w:hAnsi="Times New Roman" w:cs="Times New Roman"/>
          <w:i/>
          <w:iCs/>
          <w:sz w:val="26"/>
          <w:szCs w:val="26"/>
          <w:u w:val="single"/>
        </w:rPr>
        <w:tab/>
      </w:r>
      <w:r>
        <w:rPr>
          <w:rFonts w:ascii="Times New Roman" w:hAnsi="Times New Roman" w:cs="Times New Roman"/>
          <w:sz w:val="26"/>
          <w:szCs w:val="26"/>
          <w:u w:val="single"/>
        </w:rPr>
        <w:tab/>
      </w:r>
    </w:p>
    <w:p w14:paraId="249D6B4C" w14:textId="77777777" w:rsidR="005171A1" w:rsidRDefault="005171A1" w:rsidP="005171A1">
      <w:pPr>
        <w:widowControl/>
        <w:ind w:firstLine="360"/>
        <w:jc w:val="both"/>
        <w:rPr>
          <w:rFonts w:ascii="Times New Roman" w:hAnsi="Times New Roman" w:cs="Times New Roman"/>
          <w:sz w:val="26"/>
          <w:szCs w:val="26"/>
        </w:rPr>
      </w:pPr>
      <w:r>
        <w:rPr>
          <w:rFonts w:ascii="Times New Roman" w:hAnsi="Times New Roman" w:cs="Times New Roman"/>
          <w:sz w:val="26"/>
          <w:szCs w:val="26"/>
        </w:rPr>
        <w:t>Michael C. Jones, Director</w:t>
      </w:r>
    </w:p>
    <w:p w14:paraId="462A1B66" w14:textId="77777777" w:rsidR="005171A1" w:rsidRDefault="005171A1" w:rsidP="005171A1">
      <w:pPr>
        <w:widowControl/>
        <w:ind w:firstLine="360"/>
        <w:jc w:val="both"/>
        <w:rPr>
          <w:rFonts w:ascii="Times New Roman" w:hAnsi="Times New Roman" w:cs="Times New Roman"/>
          <w:sz w:val="26"/>
          <w:szCs w:val="26"/>
        </w:rPr>
      </w:pPr>
      <w:r>
        <w:rPr>
          <w:rFonts w:ascii="Times New Roman" w:hAnsi="Times New Roman" w:cs="Times New Roman"/>
          <w:sz w:val="26"/>
          <w:szCs w:val="26"/>
        </w:rPr>
        <w:t>Mcpa. Cnty. Ofc. of Legal Defender</w:t>
      </w:r>
    </w:p>
    <w:p w14:paraId="36DA51A7" w14:textId="77777777" w:rsidR="005171A1" w:rsidRDefault="005171A1"/>
    <w:sectPr w:rsidR="005171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A334" w14:textId="77777777" w:rsidR="00ED2D9E" w:rsidRDefault="00ED2D9E" w:rsidP="00950202">
      <w:r>
        <w:separator/>
      </w:r>
    </w:p>
  </w:endnote>
  <w:endnote w:type="continuationSeparator" w:id="0">
    <w:p w14:paraId="217EA5E3" w14:textId="77777777" w:rsidR="00ED2D9E" w:rsidRDefault="00ED2D9E" w:rsidP="0095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D426" w14:textId="77777777" w:rsidR="00ED2D9E" w:rsidRDefault="00ED2D9E" w:rsidP="00950202">
      <w:r>
        <w:separator/>
      </w:r>
    </w:p>
  </w:footnote>
  <w:footnote w:type="continuationSeparator" w:id="0">
    <w:p w14:paraId="206D7225" w14:textId="77777777" w:rsidR="00ED2D9E" w:rsidRDefault="00ED2D9E" w:rsidP="00950202">
      <w:r>
        <w:continuationSeparator/>
      </w:r>
    </w:p>
  </w:footnote>
  <w:footnote w:id="1">
    <w:p w14:paraId="27E4C924" w14:textId="77777777" w:rsidR="00841904" w:rsidRDefault="00841904" w:rsidP="00841904">
      <w:pPr>
        <w:pStyle w:val="FootnoteText"/>
      </w:pPr>
      <w:r>
        <w:rPr>
          <w:rStyle w:val="FootnoteReference"/>
        </w:rPr>
        <w:footnoteRef/>
      </w:r>
      <w:r>
        <w:t xml:space="preserve"> Exceptions include requests for victim records and requests for records held by certain state agencies for which the prosecuting agency also serves as civil counsel for the record-holding agency.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A1"/>
    <w:rsid w:val="00010537"/>
    <w:rsid w:val="00032DD8"/>
    <w:rsid w:val="00032FD1"/>
    <w:rsid w:val="0003301D"/>
    <w:rsid w:val="00034D0D"/>
    <w:rsid w:val="000365E2"/>
    <w:rsid w:val="00040F57"/>
    <w:rsid w:val="000419AF"/>
    <w:rsid w:val="000617E2"/>
    <w:rsid w:val="000710DC"/>
    <w:rsid w:val="0007147F"/>
    <w:rsid w:val="00093726"/>
    <w:rsid w:val="000B4C2D"/>
    <w:rsid w:val="000E7910"/>
    <w:rsid w:val="000F2C63"/>
    <w:rsid w:val="000F6288"/>
    <w:rsid w:val="00105100"/>
    <w:rsid w:val="001065C7"/>
    <w:rsid w:val="001127F5"/>
    <w:rsid w:val="00125A0A"/>
    <w:rsid w:val="00132739"/>
    <w:rsid w:val="00136FE7"/>
    <w:rsid w:val="00154150"/>
    <w:rsid w:val="001720A3"/>
    <w:rsid w:val="00175DEB"/>
    <w:rsid w:val="00183309"/>
    <w:rsid w:val="00185897"/>
    <w:rsid w:val="001B1E3D"/>
    <w:rsid w:val="001B6525"/>
    <w:rsid w:val="001D1E33"/>
    <w:rsid w:val="001F0CCB"/>
    <w:rsid w:val="0020198E"/>
    <w:rsid w:val="00203CA5"/>
    <w:rsid w:val="0021324E"/>
    <w:rsid w:val="00230C38"/>
    <w:rsid w:val="0023131F"/>
    <w:rsid w:val="002341D7"/>
    <w:rsid w:val="002341F1"/>
    <w:rsid w:val="00260819"/>
    <w:rsid w:val="00265910"/>
    <w:rsid w:val="00270426"/>
    <w:rsid w:val="0027369E"/>
    <w:rsid w:val="002958E7"/>
    <w:rsid w:val="002A2EE4"/>
    <w:rsid w:val="002D26C6"/>
    <w:rsid w:val="002D5FA1"/>
    <w:rsid w:val="002D701D"/>
    <w:rsid w:val="002F0B46"/>
    <w:rsid w:val="00320DA0"/>
    <w:rsid w:val="00324E0B"/>
    <w:rsid w:val="00331032"/>
    <w:rsid w:val="00336B0F"/>
    <w:rsid w:val="00347B9F"/>
    <w:rsid w:val="00352EED"/>
    <w:rsid w:val="0035392E"/>
    <w:rsid w:val="00371AEC"/>
    <w:rsid w:val="003813AC"/>
    <w:rsid w:val="00390471"/>
    <w:rsid w:val="003913DD"/>
    <w:rsid w:val="00396566"/>
    <w:rsid w:val="003A3616"/>
    <w:rsid w:val="003A620E"/>
    <w:rsid w:val="003B5460"/>
    <w:rsid w:val="003D0FE9"/>
    <w:rsid w:val="003D62B4"/>
    <w:rsid w:val="0040159E"/>
    <w:rsid w:val="00412853"/>
    <w:rsid w:val="0042443E"/>
    <w:rsid w:val="00447BC8"/>
    <w:rsid w:val="00450A55"/>
    <w:rsid w:val="00477E91"/>
    <w:rsid w:val="004B312F"/>
    <w:rsid w:val="004B3E1A"/>
    <w:rsid w:val="004B5985"/>
    <w:rsid w:val="004C2245"/>
    <w:rsid w:val="004C2D72"/>
    <w:rsid w:val="004E1BCF"/>
    <w:rsid w:val="004F2C60"/>
    <w:rsid w:val="00504D1D"/>
    <w:rsid w:val="005171A1"/>
    <w:rsid w:val="005259E9"/>
    <w:rsid w:val="00574A69"/>
    <w:rsid w:val="0058141B"/>
    <w:rsid w:val="005971FE"/>
    <w:rsid w:val="005A4382"/>
    <w:rsid w:val="005C4C86"/>
    <w:rsid w:val="005F0D43"/>
    <w:rsid w:val="00612093"/>
    <w:rsid w:val="00622136"/>
    <w:rsid w:val="00633FD4"/>
    <w:rsid w:val="0064081C"/>
    <w:rsid w:val="006820B0"/>
    <w:rsid w:val="006853C2"/>
    <w:rsid w:val="0069226E"/>
    <w:rsid w:val="006B13B1"/>
    <w:rsid w:val="006F054E"/>
    <w:rsid w:val="006F2E51"/>
    <w:rsid w:val="007002A5"/>
    <w:rsid w:val="00751791"/>
    <w:rsid w:val="007632A2"/>
    <w:rsid w:val="00781000"/>
    <w:rsid w:val="00787938"/>
    <w:rsid w:val="00787A85"/>
    <w:rsid w:val="007A3DE1"/>
    <w:rsid w:val="007B7E4E"/>
    <w:rsid w:val="007C234E"/>
    <w:rsid w:val="007C6309"/>
    <w:rsid w:val="008006EE"/>
    <w:rsid w:val="0080210B"/>
    <w:rsid w:val="008039B7"/>
    <w:rsid w:val="008061F5"/>
    <w:rsid w:val="00841904"/>
    <w:rsid w:val="008443F7"/>
    <w:rsid w:val="00860DE7"/>
    <w:rsid w:val="008827BC"/>
    <w:rsid w:val="008B1F7C"/>
    <w:rsid w:val="008B57F5"/>
    <w:rsid w:val="008C72B9"/>
    <w:rsid w:val="008C7B11"/>
    <w:rsid w:val="008E4583"/>
    <w:rsid w:val="008E7FD9"/>
    <w:rsid w:val="00901208"/>
    <w:rsid w:val="0091547D"/>
    <w:rsid w:val="00917B1C"/>
    <w:rsid w:val="0092136F"/>
    <w:rsid w:val="00950202"/>
    <w:rsid w:val="0095247B"/>
    <w:rsid w:val="00955C96"/>
    <w:rsid w:val="00975DA8"/>
    <w:rsid w:val="009913BE"/>
    <w:rsid w:val="009951E0"/>
    <w:rsid w:val="009B0B03"/>
    <w:rsid w:val="009E2250"/>
    <w:rsid w:val="009E5796"/>
    <w:rsid w:val="009E7319"/>
    <w:rsid w:val="009F0B33"/>
    <w:rsid w:val="009F3000"/>
    <w:rsid w:val="00A021C9"/>
    <w:rsid w:val="00A04945"/>
    <w:rsid w:val="00A179AA"/>
    <w:rsid w:val="00A2306B"/>
    <w:rsid w:val="00A30923"/>
    <w:rsid w:val="00A35110"/>
    <w:rsid w:val="00A56F22"/>
    <w:rsid w:val="00A7624F"/>
    <w:rsid w:val="00A7798C"/>
    <w:rsid w:val="00A84DAB"/>
    <w:rsid w:val="00A94745"/>
    <w:rsid w:val="00A95BB4"/>
    <w:rsid w:val="00A95C45"/>
    <w:rsid w:val="00AB3507"/>
    <w:rsid w:val="00AB723D"/>
    <w:rsid w:val="00AF1857"/>
    <w:rsid w:val="00B05F6C"/>
    <w:rsid w:val="00B1197D"/>
    <w:rsid w:val="00B219EE"/>
    <w:rsid w:val="00B24B97"/>
    <w:rsid w:val="00B31951"/>
    <w:rsid w:val="00B52EBA"/>
    <w:rsid w:val="00B55F58"/>
    <w:rsid w:val="00B82442"/>
    <w:rsid w:val="00B9328D"/>
    <w:rsid w:val="00BD0BC0"/>
    <w:rsid w:val="00BD1294"/>
    <w:rsid w:val="00BD5016"/>
    <w:rsid w:val="00BD5986"/>
    <w:rsid w:val="00C1096C"/>
    <w:rsid w:val="00C306F8"/>
    <w:rsid w:val="00C31EDA"/>
    <w:rsid w:val="00C62260"/>
    <w:rsid w:val="00C87C17"/>
    <w:rsid w:val="00C952D0"/>
    <w:rsid w:val="00CA1E62"/>
    <w:rsid w:val="00CB5F38"/>
    <w:rsid w:val="00CC0CC2"/>
    <w:rsid w:val="00CC4212"/>
    <w:rsid w:val="00D06468"/>
    <w:rsid w:val="00D243B7"/>
    <w:rsid w:val="00D35A2F"/>
    <w:rsid w:val="00D46EBC"/>
    <w:rsid w:val="00D802FC"/>
    <w:rsid w:val="00D8708F"/>
    <w:rsid w:val="00DA2662"/>
    <w:rsid w:val="00DC26CC"/>
    <w:rsid w:val="00DF0EF5"/>
    <w:rsid w:val="00E04F71"/>
    <w:rsid w:val="00E11CB3"/>
    <w:rsid w:val="00E20F06"/>
    <w:rsid w:val="00E57404"/>
    <w:rsid w:val="00E65049"/>
    <w:rsid w:val="00EA485F"/>
    <w:rsid w:val="00EB1145"/>
    <w:rsid w:val="00EB2696"/>
    <w:rsid w:val="00EB3507"/>
    <w:rsid w:val="00EC425C"/>
    <w:rsid w:val="00ED2D9E"/>
    <w:rsid w:val="00ED3BE0"/>
    <w:rsid w:val="00EE1DC1"/>
    <w:rsid w:val="00EF25F1"/>
    <w:rsid w:val="00F02BDD"/>
    <w:rsid w:val="00F0384A"/>
    <w:rsid w:val="00F32759"/>
    <w:rsid w:val="00F4057B"/>
    <w:rsid w:val="00F40675"/>
    <w:rsid w:val="00F55521"/>
    <w:rsid w:val="00F7304C"/>
    <w:rsid w:val="00F85B33"/>
    <w:rsid w:val="00FA670D"/>
    <w:rsid w:val="00FD1577"/>
    <w:rsid w:val="00FD3507"/>
    <w:rsid w:val="00FE4B33"/>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90C5"/>
  <w15:chartTrackingRefBased/>
  <w15:docId w15:val="{8686C580-3364-46BC-B5AA-CCC266F2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1A1"/>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5171A1"/>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71A1"/>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71A1"/>
    <w:pPr>
      <w:keepNext/>
      <w:keepLines/>
      <w:widowControl/>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71A1"/>
    <w:pPr>
      <w:keepNext/>
      <w:keepLines/>
      <w:widowControl/>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171A1"/>
    <w:pPr>
      <w:keepNext/>
      <w:keepLines/>
      <w:widowControl/>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171A1"/>
    <w:pPr>
      <w:keepNext/>
      <w:keepLines/>
      <w:widowControl/>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171A1"/>
    <w:pPr>
      <w:keepNext/>
      <w:keepLines/>
      <w:widowControl/>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171A1"/>
    <w:pPr>
      <w:keepNext/>
      <w:keepLines/>
      <w:widowControl/>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171A1"/>
    <w:pPr>
      <w:keepNext/>
      <w:keepLines/>
      <w:widowControl/>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1A1"/>
    <w:rPr>
      <w:rFonts w:eastAsiaTheme="majorEastAsia" w:cstheme="majorBidi"/>
      <w:color w:val="272727" w:themeColor="text1" w:themeTint="D8"/>
    </w:rPr>
  </w:style>
  <w:style w:type="paragraph" w:styleId="Title">
    <w:name w:val="Title"/>
    <w:basedOn w:val="Normal"/>
    <w:next w:val="Normal"/>
    <w:link w:val="TitleChar"/>
    <w:uiPriority w:val="10"/>
    <w:qFormat/>
    <w:rsid w:val="005171A1"/>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1A1"/>
    <w:pPr>
      <w:widowControl/>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1A1"/>
    <w:pPr>
      <w:widowControl/>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171A1"/>
    <w:rPr>
      <w:i/>
      <w:iCs/>
      <w:color w:val="404040" w:themeColor="text1" w:themeTint="BF"/>
    </w:rPr>
  </w:style>
  <w:style w:type="paragraph" w:styleId="ListParagraph">
    <w:name w:val="List Paragraph"/>
    <w:basedOn w:val="Normal"/>
    <w:uiPriority w:val="34"/>
    <w:qFormat/>
    <w:rsid w:val="005171A1"/>
    <w:pPr>
      <w:widowControl/>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171A1"/>
    <w:rPr>
      <w:i/>
      <w:iCs/>
      <w:color w:val="0F4761" w:themeColor="accent1" w:themeShade="BF"/>
    </w:rPr>
  </w:style>
  <w:style w:type="paragraph" w:styleId="IntenseQuote">
    <w:name w:val="Intense Quote"/>
    <w:basedOn w:val="Normal"/>
    <w:next w:val="Normal"/>
    <w:link w:val="IntenseQuoteChar"/>
    <w:uiPriority w:val="30"/>
    <w:qFormat/>
    <w:rsid w:val="005171A1"/>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171A1"/>
    <w:rPr>
      <w:i/>
      <w:iCs/>
      <w:color w:val="0F4761" w:themeColor="accent1" w:themeShade="BF"/>
    </w:rPr>
  </w:style>
  <w:style w:type="character" w:styleId="IntenseReference">
    <w:name w:val="Intense Reference"/>
    <w:basedOn w:val="DefaultParagraphFont"/>
    <w:uiPriority w:val="32"/>
    <w:qFormat/>
    <w:rsid w:val="005171A1"/>
    <w:rPr>
      <w:b/>
      <w:bCs/>
      <w:smallCaps/>
      <w:color w:val="0F4761" w:themeColor="accent1" w:themeShade="BF"/>
      <w:spacing w:val="5"/>
    </w:rPr>
  </w:style>
  <w:style w:type="character" w:styleId="Hyperlink">
    <w:name w:val="Hyperlink"/>
    <w:semiHidden/>
    <w:unhideWhenUsed/>
    <w:rsid w:val="005171A1"/>
    <w:rPr>
      <w:color w:val="0000FF"/>
      <w:u w:val="single"/>
    </w:rPr>
  </w:style>
  <w:style w:type="paragraph" w:customStyle="1" w:styleId="paragraph">
    <w:name w:val="paragraph"/>
    <w:basedOn w:val="Normal"/>
    <w:rsid w:val="005171A1"/>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171A1"/>
  </w:style>
  <w:style w:type="character" w:customStyle="1" w:styleId="eop">
    <w:name w:val="eop"/>
    <w:basedOn w:val="DefaultParagraphFont"/>
    <w:rsid w:val="005171A1"/>
  </w:style>
  <w:style w:type="paragraph" w:styleId="Revision">
    <w:name w:val="Revision"/>
    <w:hidden/>
    <w:uiPriority w:val="99"/>
    <w:semiHidden/>
    <w:rsid w:val="003B546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3813AC"/>
    <w:rPr>
      <w:sz w:val="16"/>
      <w:szCs w:val="16"/>
    </w:rPr>
  </w:style>
  <w:style w:type="paragraph" w:styleId="CommentText">
    <w:name w:val="annotation text"/>
    <w:basedOn w:val="Normal"/>
    <w:link w:val="CommentTextChar"/>
    <w:uiPriority w:val="99"/>
    <w:unhideWhenUsed/>
    <w:rsid w:val="003813AC"/>
    <w:rPr>
      <w:sz w:val="20"/>
      <w:szCs w:val="20"/>
    </w:rPr>
  </w:style>
  <w:style w:type="character" w:customStyle="1" w:styleId="CommentTextChar">
    <w:name w:val="Comment Text Char"/>
    <w:basedOn w:val="DefaultParagraphFont"/>
    <w:link w:val="CommentText"/>
    <w:uiPriority w:val="99"/>
    <w:rsid w:val="003813A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13AC"/>
    <w:rPr>
      <w:b/>
      <w:bCs/>
    </w:rPr>
  </w:style>
  <w:style w:type="character" w:customStyle="1" w:styleId="CommentSubjectChar">
    <w:name w:val="Comment Subject Char"/>
    <w:basedOn w:val="CommentTextChar"/>
    <w:link w:val="CommentSubject"/>
    <w:uiPriority w:val="99"/>
    <w:semiHidden/>
    <w:rsid w:val="003813AC"/>
    <w:rPr>
      <w:b/>
      <w:bCs/>
      <w:kern w:val="0"/>
      <w:sz w:val="20"/>
      <w:szCs w:val="20"/>
      <w14:ligatures w14:val="none"/>
    </w:rPr>
  </w:style>
  <w:style w:type="paragraph" w:styleId="FootnoteText">
    <w:name w:val="footnote text"/>
    <w:basedOn w:val="Normal"/>
    <w:link w:val="FootnoteTextChar"/>
    <w:uiPriority w:val="99"/>
    <w:semiHidden/>
    <w:unhideWhenUsed/>
    <w:rsid w:val="00950202"/>
    <w:rPr>
      <w:sz w:val="20"/>
      <w:szCs w:val="20"/>
    </w:rPr>
  </w:style>
  <w:style w:type="character" w:customStyle="1" w:styleId="FootnoteTextChar">
    <w:name w:val="Footnote Text Char"/>
    <w:basedOn w:val="DefaultParagraphFont"/>
    <w:link w:val="FootnoteText"/>
    <w:uiPriority w:val="99"/>
    <w:semiHidden/>
    <w:rsid w:val="00950202"/>
    <w:rPr>
      <w:kern w:val="0"/>
      <w:sz w:val="20"/>
      <w:szCs w:val="20"/>
      <w14:ligatures w14:val="none"/>
    </w:rPr>
  </w:style>
  <w:style w:type="character" w:styleId="FootnoteReference">
    <w:name w:val="footnote reference"/>
    <w:basedOn w:val="DefaultParagraphFont"/>
    <w:uiPriority w:val="99"/>
    <w:semiHidden/>
    <w:unhideWhenUsed/>
    <w:rsid w:val="00950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Garcia@marico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emarie.Pena-Lynch@marico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ichael.Jones@maricopa.gov" TargetMode="External"/><Relationship Id="rId5" Type="http://schemas.openxmlformats.org/officeDocument/2006/relationships/footnotes" Target="footnotes.xml"/><Relationship Id="rId10" Type="http://schemas.openxmlformats.org/officeDocument/2006/relationships/hyperlink" Target="mailto:Shannon.Burns@maricopa.gov" TargetMode="External"/><Relationship Id="rId4" Type="http://schemas.openxmlformats.org/officeDocument/2006/relationships/webSettings" Target="webSettings.xml"/><Relationship Id="rId9" Type="http://schemas.openxmlformats.org/officeDocument/2006/relationships/hyperlink" Target="mailto:Steve.Koestner@maric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12D1-BE92-4814-894A-F024CA23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2</cp:revision>
  <dcterms:created xsi:type="dcterms:W3CDTF">2026-05-01T05:14:00Z</dcterms:created>
  <dcterms:modified xsi:type="dcterms:W3CDTF">2026-05-01T05:14:00Z</dcterms:modified>
</cp:coreProperties>
</file>