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60A60" w14:textId="3C80FEC4" w:rsidR="001912E3" w:rsidRPr="001912E3" w:rsidRDefault="00EF6312" w:rsidP="001912E3">
      <w:pPr>
        <w:spacing w:after="0" w:line="240" w:lineRule="auto"/>
        <w:contextualSpacing/>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Hon. Ronald Reinstein (ret.)</w:t>
      </w:r>
      <w:r w:rsidR="001912E3" w:rsidRPr="001912E3">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Chair</w:t>
      </w:r>
    </w:p>
    <w:p w14:paraId="1058DAAC" w14:textId="4CB34688" w:rsidR="001912E3" w:rsidRPr="001912E3" w:rsidRDefault="001912E3" w:rsidP="001912E3">
      <w:pPr>
        <w:spacing w:after="0" w:line="240" w:lineRule="auto"/>
        <w:contextualSpacing/>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Capital Case Oversight Committee</w:t>
      </w:r>
    </w:p>
    <w:p w14:paraId="3BC9AB23" w14:textId="77777777" w:rsidR="001912E3" w:rsidRPr="001912E3" w:rsidRDefault="001912E3" w:rsidP="001912E3">
      <w:pPr>
        <w:spacing w:after="0" w:line="240" w:lineRule="auto"/>
        <w:contextualSpacing/>
        <w:rPr>
          <w:rFonts w:ascii="Times New Roman" w:eastAsia="Calibri" w:hAnsi="Times New Roman" w:cs="Times New Roman"/>
          <w:kern w:val="0"/>
          <w:sz w:val="28"/>
          <w:szCs w:val="28"/>
          <w14:ligatures w14:val="none"/>
        </w:rPr>
      </w:pPr>
      <w:r w:rsidRPr="001912E3">
        <w:rPr>
          <w:rFonts w:ascii="Times New Roman" w:eastAsia="Calibri" w:hAnsi="Times New Roman" w:cs="Times New Roman"/>
          <w:kern w:val="0"/>
          <w:sz w:val="28"/>
          <w:szCs w:val="28"/>
          <w14:ligatures w14:val="none"/>
        </w:rPr>
        <w:t>1501 W. Washington St.</w:t>
      </w:r>
    </w:p>
    <w:p w14:paraId="42B72F76" w14:textId="77777777" w:rsidR="001912E3" w:rsidRPr="001912E3" w:rsidRDefault="001912E3" w:rsidP="001912E3">
      <w:pPr>
        <w:spacing w:after="0" w:line="240" w:lineRule="auto"/>
        <w:contextualSpacing/>
        <w:rPr>
          <w:rFonts w:ascii="Times New Roman" w:eastAsia="Calibri" w:hAnsi="Times New Roman" w:cs="Times New Roman"/>
          <w:kern w:val="0"/>
          <w:sz w:val="28"/>
          <w:szCs w:val="28"/>
          <w14:ligatures w14:val="none"/>
        </w:rPr>
      </w:pPr>
      <w:r w:rsidRPr="001912E3">
        <w:rPr>
          <w:rFonts w:ascii="Times New Roman" w:eastAsia="Calibri" w:hAnsi="Times New Roman" w:cs="Times New Roman"/>
          <w:kern w:val="0"/>
          <w:sz w:val="28"/>
          <w:szCs w:val="28"/>
          <w14:ligatures w14:val="none"/>
        </w:rPr>
        <w:t>Phoenix, AZ 85007</w:t>
      </w:r>
    </w:p>
    <w:p w14:paraId="08A4A23B" w14:textId="77777777" w:rsidR="001912E3" w:rsidRPr="001912E3" w:rsidRDefault="001912E3" w:rsidP="001912E3">
      <w:pPr>
        <w:spacing w:after="0" w:line="240" w:lineRule="auto"/>
        <w:contextualSpacing/>
        <w:rPr>
          <w:rFonts w:ascii="Times New Roman" w:eastAsia="Calibri" w:hAnsi="Times New Roman" w:cs="Times New Roman"/>
          <w:kern w:val="0"/>
          <w:sz w:val="28"/>
          <w:szCs w:val="28"/>
          <w14:ligatures w14:val="none"/>
        </w:rPr>
      </w:pPr>
    </w:p>
    <w:p w14:paraId="2EF0552D" w14:textId="77777777" w:rsidR="001912E3" w:rsidRPr="001912E3" w:rsidRDefault="001912E3" w:rsidP="001912E3">
      <w:pPr>
        <w:spacing w:after="0" w:line="480" w:lineRule="auto"/>
        <w:contextualSpacing/>
        <w:jc w:val="center"/>
        <w:rPr>
          <w:rFonts w:ascii="Times New Roman" w:eastAsia="Calibri" w:hAnsi="Times New Roman" w:cs="Times New Roman"/>
          <w:kern w:val="0"/>
          <w:sz w:val="28"/>
          <w:szCs w:val="28"/>
          <w14:ligatures w14:val="none"/>
        </w:rPr>
      </w:pPr>
    </w:p>
    <w:p w14:paraId="55006B79" w14:textId="77777777" w:rsidR="001912E3" w:rsidRPr="001912E3" w:rsidRDefault="001912E3" w:rsidP="001912E3">
      <w:pPr>
        <w:spacing w:after="0" w:line="480" w:lineRule="auto"/>
        <w:contextualSpacing/>
        <w:jc w:val="center"/>
        <w:rPr>
          <w:rFonts w:ascii="Times New Roman" w:eastAsia="Calibri" w:hAnsi="Times New Roman" w:cs="Times New Roman"/>
          <w:kern w:val="0"/>
          <w:sz w:val="28"/>
          <w:szCs w:val="28"/>
          <w:u w:val="single"/>
          <w14:ligatures w14:val="none"/>
        </w:rPr>
      </w:pPr>
    </w:p>
    <w:p w14:paraId="0C27EFC8" w14:textId="77777777" w:rsidR="001912E3" w:rsidRPr="001912E3" w:rsidRDefault="001912E3" w:rsidP="001912E3">
      <w:pPr>
        <w:tabs>
          <w:tab w:val="left" w:pos="708"/>
          <w:tab w:val="center" w:pos="4680"/>
        </w:tabs>
        <w:spacing w:after="0" w:line="240" w:lineRule="auto"/>
        <w:contextualSpacing/>
        <w:rPr>
          <w:rFonts w:ascii="Times New Roman" w:eastAsia="Calibri" w:hAnsi="Times New Roman" w:cs="Times New Roman"/>
          <w:kern w:val="0"/>
          <w:sz w:val="28"/>
          <w:szCs w:val="28"/>
          <w14:ligatures w14:val="none"/>
        </w:rPr>
      </w:pPr>
      <w:r w:rsidRPr="001912E3">
        <w:rPr>
          <w:rFonts w:ascii="Times New Roman" w:eastAsia="Calibri" w:hAnsi="Times New Roman" w:cs="Times New Roman"/>
          <w:kern w:val="0"/>
          <w:sz w:val="28"/>
          <w:szCs w:val="28"/>
          <w14:ligatures w14:val="none"/>
        </w:rPr>
        <w:tab/>
      </w:r>
      <w:r w:rsidRPr="001912E3">
        <w:rPr>
          <w:rFonts w:ascii="Times New Roman" w:eastAsia="Calibri" w:hAnsi="Times New Roman" w:cs="Times New Roman"/>
          <w:kern w:val="0"/>
          <w:sz w:val="28"/>
          <w:szCs w:val="28"/>
          <w14:ligatures w14:val="none"/>
        </w:rPr>
        <w:tab/>
        <w:t>SUPREME COURT OF ARIZONA</w:t>
      </w:r>
    </w:p>
    <w:p w14:paraId="73267191" w14:textId="77777777" w:rsidR="001912E3" w:rsidRPr="001912E3" w:rsidRDefault="001912E3" w:rsidP="001912E3">
      <w:pPr>
        <w:spacing w:after="0" w:line="240" w:lineRule="auto"/>
        <w:contextualSpacing/>
        <w:jc w:val="center"/>
        <w:rPr>
          <w:rFonts w:ascii="Times New Roman" w:eastAsia="Calibri" w:hAnsi="Times New Roman" w:cs="Times New Roman"/>
          <w:kern w:val="0"/>
          <w:sz w:val="28"/>
          <w:szCs w:val="28"/>
          <w14:ligatures w14:val="none"/>
        </w:rPr>
      </w:pPr>
    </w:p>
    <w:p w14:paraId="24DFC46F" w14:textId="77777777" w:rsidR="001912E3" w:rsidRPr="001912E3" w:rsidRDefault="001912E3" w:rsidP="001912E3">
      <w:pPr>
        <w:spacing w:after="0" w:line="240" w:lineRule="auto"/>
        <w:contextualSpacing/>
        <w:rPr>
          <w:rFonts w:ascii="Times New Roman" w:eastAsia="Calibri" w:hAnsi="Times New Roman" w:cs="Times New Roman"/>
          <w:kern w:val="0"/>
          <w:sz w:val="28"/>
          <w:szCs w:val="28"/>
          <w14:ligatures w14:val="none"/>
        </w:rPr>
      </w:pPr>
    </w:p>
    <w:p w14:paraId="377F9A6F" w14:textId="377BC081" w:rsidR="001912E3" w:rsidRPr="008D0B57" w:rsidRDefault="001912E3" w:rsidP="001912E3">
      <w:pPr>
        <w:spacing w:after="0" w:line="240" w:lineRule="auto"/>
        <w:contextualSpacing/>
        <w:rPr>
          <w:rFonts w:ascii="Times New Roman" w:eastAsia="Calibri" w:hAnsi="Times New Roman" w:cs="Times New Roman"/>
          <w:kern w:val="0"/>
          <w:sz w:val="28"/>
          <w:szCs w:val="28"/>
          <w14:ligatures w14:val="none"/>
        </w:rPr>
      </w:pPr>
      <w:r w:rsidRPr="001912E3">
        <w:rPr>
          <w:rFonts w:ascii="Times New Roman" w:eastAsia="Calibri" w:hAnsi="Times New Roman" w:cs="Times New Roman"/>
          <w:kern w:val="0"/>
          <w:sz w:val="28"/>
          <w:szCs w:val="28"/>
          <w14:ligatures w14:val="none"/>
        </w:rPr>
        <w:t xml:space="preserve">PETITION </w:t>
      </w:r>
      <w:r w:rsidRPr="008D0B57">
        <w:rPr>
          <w:rFonts w:ascii="Times New Roman" w:eastAsia="Calibri" w:hAnsi="Times New Roman" w:cs="Times New Roman"/>
          <w:kern w:val="0"/>
          <w:sz w:val="28"/>
          <w:szCs w:val="28"/>
          <w14:ligatures w14:val="none"/>
        </w:rPr>
        <w:t xml:space="preserve">TO AMEND </w:t>
      </w:r>
      <w:r w:rsidR="00E93094">
        <w:rPr>
          <w:rFonts w:ascii="Times New Roman" w:eastAsia="Calibri" w:hAnsi="Times New Roman" w:cs="Times New Roman"/>
          <w:kern w:val="0"/>
          <w:sz w:val="28"/>
          <w:szCs w:val="28"/>
          <w14:ligatures w14:val="none"/>
        </w:rPr>
        <w:t>RULE</w:t>
      </w:r>
      <w:r w:rsidRPr="008D0B57">
        <w:rPr>
          <w:rFonts w:ascii="Times New Roman" w:eastAsia="Calibri" w:hAnsi="Times New Roman" w:cs="Times New Roman"/>
          <w:kern w:val="0"/>
          <w:sz w:val="28"/>
          <w:szCs w:val="28"/>
          <w14:ligatures w14:val="none"/>
        </w:rPr>
        <w:tab/>
        <w:t>)   Supreme Court No. R-25-0016</w:t>
      </w:r>
    </w:p>
    <w:p w14:paraId="3554726F" w14:textId="381D6E3A" w:rsidR="001912E3" w:rsidRPr="008D0B57" w:rsidRDefault="00E93094" w:rsidP="001912E3">
      <w:pPr>
        <w:spacing w:after="0" w:line="240" w:lineRule="auto"/>
        <w:contextualSpacing/>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31.23</w:t>
      </w:r>
      <w:r w:rsidR="00555067">
        <w:rPr>
          <w:rFonts w:ascii="Times New Roman" w:eastAsia="Calibri" w:hAnsi="Times New Roman" w:cs="Times New Roman"/>
          <w:kern w:val="0"/>
          <w:sz w:val="28"/>
          <w:szCs w:val="28"/>
          <w14:ligatures w14:val="none"/>
        </w:rPr>
        <w:t>,</w:t>
      </w:r>
      <w:r w:rsidR="001912E3" w:rsidRPr="008D0B57">
        <w:rPr>
          <w:rFonts w:ascii="Times New Roman" w:eastAsia="Calibri" w:hAnsi="Times New Roman" w:cs="Times New Roman"/>
          <w:kern w:val="0"/>
          <w:sz w:val="28"/>
          <w:szCs w:val="28"/>
          <w14:ligatures w14:val="none"/>
        </w:rPr>
        <w:t xml:space="preserve"> </w:t>
      </w:r>
      <w:r w:rsidR="001E0288">
        <w:rPr>
          <w:rFonts w:ascii="Times New Roman" w:eastAsia="Calibri" w:hAnsi="Times New Roman" w:cs="Times New Roman"/>
          <w:kern w:val="0"/>
          <w:sz w:val="28"/>
          <w:szCs w:val="28"/>
          <w14:ligatures w14:val="none"/>
        </w:rPr>
        <w:t>ARIZONA RULES OF</w:t>
      </w:r>
      <w:r w:rsidR="001912E3" w:rsidRPr="008D0B57">
        <w:rPr>
          <w:rFonts w:ascii="Times New Roman" w:eastAsia="Calibri" w:hAnsi="Times New Roman" w:cs="Times New Roman"/>
          <w:kern w:val="0"/>
          <w:sz w:val="28"/>
          <w:szCs w:val="28"/>
          <w14:ligatures w14:val="none"/>
        </w:rPr>
        <w:tab/>
      </w:r>
      <w:r w:rsidR="000B7534">
        <w:rPr>
          <w:rFonts w:ascii="Times New Roman" w:eastAsia="Calibri" w:hAnsi="Times New Roman" w:cs="Times New Roman"/>
          <w:kern w:val="0"/>
          <w:sz w:val="28"/>
          <w:szCs w:val="28"/>
          <w14:ligatures w14:val="none"/>
        </w:rPr>
        <w:tab/>
      </w:r>
      <w:r w:rsidR="001912E3" w:rsidRPr="008D0B57">
        <w:rPr>
          <w:rFonts w:ascii="Times New Roman" w:eastAsia="Calibri" w:hAnsi="Times New Roman" w:cs="Times New Roman"/>
          <w:kern w:val="0"/>
          <w:sz w:val="28"/>
          <w:szCs w:val="28"/>
          <w14:ligatures w14:val="none"/>
        </w:rPr>
        <w:t>)</w:t>
      </w:r>
      <w:r w:rsidR="001912E3" w:rsidRPr="008D0B57">
        <w:rPr>
          <w:rFonts w:ascii="Times New Roman" w:eastAsia="Calibri" w:hAnsi="Times New Roman" w:cs="Times New Roman"/>
          <w:kern w:val="0"/>
          <w:sz w:val="28"/>
          <w:szCs w:val="28"/>
          <w14:ligatures w14:val="none"/>
        </w:rPr>
        <w:tab/>
      </w:r>
    </w:p>
    <w:p w14:paraId="03B6EB90" w14:textId="269A1730" w:rsidR="001912E3" w:rsidRPr="001912E3" w:rsidRDefault="001E0288" w:rsidP="001912E3">
      <w:pPr>
        <w:spacing w:after="0" w:line="240" w:lineRule="auto"/>
        <w:ind w:left="4320" w:hanging="4320"/>
        <w:contextualSpacing/>
        <w:rPr>
          <w:rFonts w:ascii="Times New Roman" w:eastAsia="Calibri" w:hAnsi="Times New Roman" w:cs="Times New Roman"/>
          <w:b/>
          <w:bCs/>
          <w:kern w:val="0"/>
          <w:sz w:val="28"/>
          <w:szCs w:val="28"/>
          <w14:ligatures w14:val="none"/>
        </w:rPr>
      </w:pPr>
      <w:r>
        <w:rPr>
          <w:rFonts w:ascii="Times New Roman" w:eastAsia="Calibri" w:hAnsi="Times New Roman" w:cs="Times New Roman"/>
          <w:kern w:val="0"/>
          <w:sz w:val="28"/>
          <w:szCs w:val="28"/>
          <w14:ligatures w14:val="none"/>
        </w:rPr>
        <w:t>CRIMINAL</w:t>
      </w:r>
      <w:r w:rsidR="001912E3" w:rsidRPr="008D0B57">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PROCEDURE</w:t>
      </w:r>
      <w:r w:rsidR="001912E3" w:rsidRPr="008D0B57">
        <w:rPr>
          <w:rFonts w:ascii="Times New Roman" w:eastAsia="Calibri" w:hAnsi="Times New Roman" w:cs="Times New Roman"/>
          <w:kern w:val="0"/>
          <w:sz w:val="28"/>
          <w:szCs w:val="28"/>
          <w14:ligatures w14:val="none"/>
        </w:rPr>
        <w:tab/>
        <w:t xml:space="preserve">)   </w:t>
      </w:r>
      <w:r w:rsidR="001912E3" w:rsidRPr="008D0B57">
        <w:rPr>
          <w:rFonts w:ascii="Times New Roman" w:eastAsia="Calibri" w:hAnsi="Times New Roman" w:cs="Times New Roman"/>
          <w:b/>
          <w:bCs/>
          <w:kern w:val="0"/>
          <w:sz w:val="28"/>
          <w:szCs w:val="28"/>
          <w14:ligatures w14:val="none"/>
        </w:rPr>
        <w:t>COMMENT</w:t>
      </w:r>
      <w:r w:rsidR="000B7534">
        <w:rPr>
          <w:rFonts w:ascii="Times New Roman" w:eastAsia="Calibri" w:hAnsi="Times New Roman" w:cs="Times New Roman"/>
          <w:b/>
          <w:bCs/>
          <w:kern w:val="0"/>
          <w:sz w:val="28"/>
          <w:szCs w:val="28"/>
          <w14:ligatures w14:val="none"/>
        </w:rPr>
        <w:t xml:space="preserve"> FROM THE CAPITAL</w:t>
      </w:r>
    </w:p>
    <w:p w14:paraId="1B77A19F" w14:textId="59D36C06" w:rsidR="001912E3" w:rsidRPr="000B7534" w:rsidRDefault="001912E3" w:rsidP="001912E3">
      <w:pPr>
        <w:spacing w:after="0" w:line="240" w:lineRule="auto"/>
        <w:ind w:left="3600" w:firstLine="720"/>
        <w:contextualSpacing/>
        <w:rPr>
          <w:rFonts w:ascii="Times New Roman" w:eastAsia="Calibri" w:hAnsi="Times New Roman" w:cs="Times New Roman"/>
          <w:b/>
          <w:bCs/>
          <w:kern w:val="0"/>
          <w:sz w:val="28"/>
          <w:szCs w:val="28"/>
          <w14:ligatures w14:val="none"/>
        </w:rPr>
      </w:pPr>
      <w:r w:rsidRPr="001912E3">
        <w:rPr>
          <w:rFonts w:ascii="Times New Roman" w:eastAsia="Calibri" w:hAnsi="Times New Roman" w:cs="Times New Roman"/>
          <w:kern w:val="0"/>
          <w:sz w:val="28"/>
          <w:szCs w:val="28"/>
          <w14:ligatures w14:val="none"/>
        </w:rPr>
        <w:t xml:space="preserve">)   </w:t>
      </w:r>
      <w:r w:rsidR="000B7534">
        <w:rPr>
          <w:rFonts w:ascii="Times New Roman" w:eastAsia="Calibri" w:hAnsi="Times New Roman" w:cs="Times New Roman"/>
          <w:b/>
          <w:bCs/>
          <w:kern w:val="0"/>
          <w:sz w:val="28"/>
          <w:szCs w:val="28"/>
          <w14:ligatures w14:val="none"/>
        </w:rPr>
        <w:t>CASE OVERSIGHT COMMITTEE</w:t>
      </w:r>
    </w:p>
    <w:p w14:paraId="57800DFA" w14:textId="12CDACDE" w:rsidR="001912E3" w:rsidRPr="001912E3" w:rsidRDefault="001912E3" w:rsidP="001912E3">
      <w:pPr>
        <w:spacing w:after="0" w:line="240" w:lineRule="auto"/>
        <w:ind w:left="4320"/>
        <w:contextualSpacing/>
        <w:rPr>
          <w:rFonts w:ascii="Times New Roman" w:eastAsia="Calibri" w:hAnsi="Times New Roman" w:cs="Times New Roman"/>
          <w:kern w:val="0"/>
          <w:sz w:val="28"/>
          <w:szCs w:val="28"/>
          <w14:ligatures w14:val="none"/>
        </w:rPr>
      </w:pPr>
      <w:r>
        <w:rPr>
          <w:rFonts w:ascii="Times New Roman" w:eastAsia="Calibri" w:hAnsi="Times New Roman" w:cs="Times New Roman"/>
          <w:noProof/>
          <w:kern w:val="0"/>
          <w:sz w:val="28"/>
          <w:szCs w:val="28"/>
        </w:rPr>
        <mc:AlternateContent>
          <mc:Choice Requires="wps">
            <w:drawing>
              <wp:anchor distT="0" distB="0" distL="114300" distR="114300" simplePos="0" relativeHeight="251658240" behindDoc="0" locked="0" layoutInCell="1" allowOverlap="1" wp14:anchorId="474B922B" wp14:editId="436A9B9B">
                <wp:simplePos x="0" y="0"/>
                <wp:positionH relativeFrom="column">
                  <wp:posOffset>-9525</wp:posOffset>
                </wp:positionH>
                <wp:positionV relativeFrom="paragraph">
                  <wp:posOffset>205105</wp:posOffset>
                </wp:positionV>
                <wp:extent cx="2743200" cy="0"/>
                <wp:effectExtent l="0" t="0" r="0" b="0"/>
                <wp:wrapNone/>
                <wp:docPr id="1061353278" name="Straight Connector 1"/>
                <wp:cNvGraphicFramePr/>
                <a:graphic xmlns:a="http://schemas.openxmlformats.org/drawingml/2006/main">
                  <a:graphicData uri="http://schemas.microsoft.com/office/word/2010/wordprocessingShape">
                    <wps:wsp>
                      <wps:cNvCnPr/>
                      <wps:spPr>
                        <a:xfrm>
                          <a:off x="0" y="0"/>
                          <a:ext cx="274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0E669A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6.15pt" to="215.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" strokecolor="black [3213]" strokeweight=".5pt">
                <v:stroke joinstyle="miter"/>
              </v:line>
            </w:pict>
          </mc:Fallback>
        </mc:AlternateContent>
      </w:r>
      <w:r w:rsidRPr="001912E3">
        <w:rPr>
          <w:rFonts w:ascii="Times New Roman" w:eastAsia="Calibri" w:hAnsi="Times New Roman" w:cs="Times New Roman"/>
          <w:kern w:val="0"/>
          <w:sz w:val="28"/>
          <w:szCs w:val="28"/>
          <w14:ligatures w14:val="none"/>
        </w:rPr>
        <w:t>)</w:t>
      </w:r>
    </w:p>
    <w:p w14:paraId="15EA8A60" w14:textId="77777777" w:rsidR="001912E3" w:rsidRPr="001912E3" w:rsidRDefault="001912E3" w:rsidP="001912E3">
      <w:pPr>
        <w:spacing w:after="0" w:line="240" w:lineRule="auto"/>
        <w:contextualSpacing/>
        <w:rPr>
          <w:rFonts w:ascii="Times New Roman" w:eastAsia="Calibri" w:hAnsi="Times New Roman" w:cs="Times New Roman"/>
          <w:kern w:val="0"/>
          <w:sz w:val="28"/>
          <w:szCs w:val="28"/>
          <w14:ligatures w14:val="none"/>
        </w:rPr>
      </w:pPr>
    </w:p>
    <w:p w14:paraId="280174C5" w14:textId="6F431E96" w:rsidR="001912E3" w:rsidRDefault="001912E3" w:rsidP="001912E3">
      <w:pPr>
        <w:autoSpaceDE w:val="0"/>
        <w:autoSpaceDN w:val="0"/>
        <w:adjustRightInd w:val="0"/>
        <w:spacing w:after="0" w:line="480" w:lineRule="auto"/>
        <w:ind w:firstLine="720"/>
        <w:jc w:val="both"/>
        <w:rPr>
          <w:rFonts w:ascii="Times New Roman" w:eastAsia="Calibri" w:hAnsi="Times New Roman" w:cs="Times New Roman"/>
          <w:kern w:val="0"/>
          <w:sz w:val="28"/>
          <w:szCs w:val="28"/>
          <w14:ligatures w14:val="none"/>
        </w:rPr>
      </w:pPr>
      <w:r w:rsidRPr="001912E3">
        <w:rPr>
          <w:rFonts w:ascii="Times New Roman" w:eastAsia="Calibri" w:hAnsi="Times New Roman" w:cs="Times New Roman"/>
          <w:kern w:val="0"/>
          <w:sz w:val="28"/>
          <w:szCs w:val="28"/>
          <w14:ligatures w14:val="none"/>
        </w:rPr>
        <w:t xml:space="preserve">The Capital Case Oversight Committee (CCOC) submits the following comment to the above-cited rule-change petition. The petition seeks to amend Rule 31.23 of the Arizona Rules of Criminal Procedure, which establishes the procedures by which this Court issues execution warrants. The Chief Justice of this Court referred the matter to the CCOC for examination and recommendation. The CCOC thereafter assembled a workgroup to study the issue. The workgroup, in turn, formulated proposed amendments, which the CCOC discussed and </w:t>
      </w:r>
      <w:r w:rsidR="00B2651E">
        <w:rPr>
          <w:rFonts w:ascii="Times New Roman" w:eastAsia="Calibri" w:hAnsi="Times New Roman" w:cs="Times New Roman"/>
          <w:kern w:val="0"/>
          <w:sz w:val="28"/>
          <w:szCs w:val="28"/>
          <w14:ligatures w14:val="none"/>
        </w:rPr>
        <w:t xml:space="preserve">unanimously </w:t>
      </w:r>
      <w:r w:rsidRPr="001912E3">
        <w:rPr>
          <w:rFonts w:ascii="Times New Roman" w:eastAsia="Calibri" w:hAnsi="Times New Roman" w:cs="Times New Roman"/>
          <w:kern w:val="0"/>
          <w:sz w:val="28"/>
          <w:szCs w:val="28"/>
          <w14:ligatures w14:val="none"/>
        </w:rPr>
        <w:t>approved at a public meeting on April 22, 2026. The proposed amendments are attached hereto as Exhibits A (</w:t>
      </w:r>
      <w:r w:rsidR="00ED01CB">
        <w:rPr>
          <w:rFonts w:ascii="Times New Roman" w:eastAsia="Calibri" w:hAnsi="Times New Roman" w:cs="Times New Roman"/>
          <w:kern w:val="0"/>
          <w:sz w:val="28"/>
          <w:szCs w:val="28"/>
          <w14:ligatures w14:val="none"/>
        </w:rPr>
        <w:t>mark</w:t>
      </w:r>
      <w:r w:rsidR="00D81148">
        <w:rPr>
          <w:rFonts w:ascii="Times New Roman" w:eastAsia="Calibri" w:hAnsi="Times New Roman" w:cs="Times New Roman"/>
          <w:kern w:val="0"/>
          <w:sz w:val="28"/>
          <w:szCs w:val="28"/>
          <w14:ligatures w14:val="none"/>
        </w:rPr>
        <w:t>-up</w:t>
      </w:r>
      <w:r w:rsidRPr="001912E3">
        <w:rPr>
          <w:rFonts w:ascii="Times New Roman" w:eastAsia="Calibri" w:hAnsi="Times New Roman" w:cs="Times New Roman"/>
          <w:kern w:val="0"/>
          <w:sz w:val="28"/>
          <w:szCs w:val="28"/>
          <w14:ligatures w14:val="none"/>
        </w:rPr>
        <w:t xml:space="preserve"> version) and B (clean version).</w:t>
      </w:r>
    </w:p>
    <w:p w14:paraId="4004D1C4" w14:textId="77777777" w:rsidR="00D07774" w:rsidRDefault="00D07774" w:rsidP="001912E3">
      <w:pPr>
        <w:autoSpaceDE w:val="0"/>
        <w:autoSpaceDN w:val="0"/>
        <w:adjustRightInd w:val="0"/>
        <w:spacing w:after="0" w:line="480" w:lineRule="auto"/>
        <w:ind w:firstLine="720"/>
        <w:jc w:val="both"/>
        <w:rPr>
          <w:rFonts w:ascii="Times New Roman" w:eastAsia="Calibri" w:hAnsi="Times New Roman" w:cs="Times New Roman"/>
          <w:kern w:val="0"/>
          <w:sz w:val="28"/>
          <w:szCs w:val="28"/>
          <w14:ligatures w14:val="none"/>
        </w:rPr>
      </w:pPr>
    </w:p>
    <w:p w14:paraId="003DB6AC" w14:textId="77777777" w:rsidR="00D07774" w:rsidRPr="001912E3" w:rsidRDefault="00D07774" w:rsidP="001912E3">
      <w:pPr>
        <w:autoSpaceDE w:val="0"/>
        <w:autoSpaceDN w:val="0"/>
        <w:adjustRightInd w:val="0"/>
        <w:spacing w:after="0" w:line="480" w:lineRule="auto"/>
        <w:ind w:firstLine="720"/>
        <w:jc w:val="both"/>
        <w:rPr>
          <w:rFonts w:ascii="Times New Roman" w:eastAsia="Calibri" w:hAnsi="Times New Roman" w:cs="Times New Roman"/>
          <w:kern w:val="0"/>
          <w:sz w:val="28"/>
          <w:szCs w:val="28"/>
          <w14:ligatures w14:val="none"/>
        </w:rPr>
      </w:pPr>
    </w:p>
    <w:p w14:paraId="3E09230A" w14:textId="77777777" w:rsidR="001912E3" w:rsidRPr="001912E3" w:rsidRDefault="001912E3" w:rsidP="001912E3">
      <w:pPr>
        <w:numPr>
          <w:ilvl w:val="0"/>
          <w:numId w:val="29"/>
        </w:numPr>
        <w:autoSpaceDE w:val="0"/>
        <w:autoSpaceDN w:val="0"/>
        <w:adjustRightInd w:val="0"/>
        <w:spacing w:after="0" w:line="480" w:lineRule="auto"/>
        <w:jc w:val="both"/>
        <w:rPr>
          <w:rFonts w:ascii="Times New Roman" w:eastAsia="Calibri" w:hAnsi="Times New Roman" w:cs="Times New Roman"/>
          <w:b/>
          <w:bCs/>
          <w:kern w:val="0"/>
          <w:sz w:val="28"/>
          <w:szCs w:val="28"/>
          <w14:ligatures w14:val="none"/>
        </w:rPr>
      </w:pPr>
      <w:r w:rsidRPr="001912E3">
        <w:rPr>
          <w:rFonts w:ascii="Times New Roman" w:eastAsia="Calibri" w:hAnsi="Times New Roman" w:cs="Times New Roman"/>
          <w:b/>
          <w:bCs/>
          <w:kern w:val="0"/>
          <w:sz w:val="28"/>
          <w:szCs w:val="28"/>
          <w14:ligatures w14:val="none"/>
        </w:rPr>
        <w:t>Background</w:t>
      </w:r>
    </w:p>
    <w:p w14:paraId="7F921B42" w14:textId="766CFCD3" w:rsidR="001912E3" w:rsidRPr="001912E3" w:rsidRDefault="001912E3" w:rsidP="001912E3">
      <w:pPr>
        <w:autoSpaceDE w:val="0"/>
        <w:autoSpaceDN w:val="0"/>
        <w:adjustRightInd w:val="0"/>
        <w:spacing w:after="0" w:line="480" w:lineRule="auto"/>
        <w:ind w:firstLine="720"/>
        <w:jc w:val="both"/>
        <w:rPr>
          <w:rFonts w:ascii="Times New Roman" w:eastAsia="Calibri" w:hAnsi="Times New Roman" w:cs="Times New Roman"/>
          <w:kern w:val="0"/>
          <w:sz w:val="28"/>
          <w:szCs w:val="28"/>
          <w14:ligatures w14:val="none"/>
        </w:rPr>
      </w:pPr>
      <w:r w:rsidRPr="001912E3">
        <w:rPr>
          <w:rFonts w:ascii="Times New Roman" w:eastAsia="Calibri" w:hAnsi="Times New Roman" w:cs="Times New Roman"/>
          <w:kern w:val="0"/>
          <w:sz w:val="28"/>
          <w:szCs w:val="28"/>
          <w14:ligatures w14:val="none"/>
        </w:rPr>
        <w:t xml:space="preserve">Rule 31.23(b) provides, in relevant part: “On the State’s motion, the Supreme Court must issue a warrant of execution when federal habeas corpus proceedings and habeas appellate review conclude.” Rule 31.23(c) requires this Court to specify in an execution warrant an execution date that is thirty-five days after the warrant’s issuance. If, however, it is “impracticable” to conduct the execution on the thirty-fifth day, this Court may extend the execution date up to sixty days from the warrant’s issuance. This rule generally aligns with statutory requirements. </w:t>
      </w:r>
      <w:r w:rsidRPr="001912E3">
        <w:rPr>
          <w:rFonts w:ascii="Times New Roman" w:eastAsia="Calibri" w:hAnsi="Times New Roman" w:cs="Times New Roman"/>
          <w:i/>
          <w:iCs/>
          <w:kern w:val="0"/>
          <w:sz w:val="28"/>
          <w:szCs w:val="28"/>
          <w14:ligatures w14:val="none"/>
        </w:rPr>
        <w:t xml:space="preserve">See </w:t>
      </w:r>
      <w:r w:rsidRPr="001912E3">
        <w:rPr>
          <w:rFonts w:ascii="Times New Roman" w:eastAsia="Calibri" w:hAnsi="Times New Roman" w:cs="Times New Roman"/>
          <w:kern w:val="0"/>
          <w:sz w:val="28"/>
          <w:szCs w:val="28"/>
          <w14:ligatures w14:val="none"/>
        </w:rPr>
        <w:t xml:space="preserve">A.R.S. § 13-759(A) (“The time for execution shall be fixed for thirty-five days after the state’s motion is granted.”).  </w:t>
      </w:r>
    </w:p>
    <w:p w14:paraId="232CB102" w14:textId="33BFAE94" w:rsidR="001912E3" w:rsidRPr="001912E3" w:rsidRDefault="001912E3" w:rsidP="001912E3">
      <w:pPr>
        <w:autoSpaceDE w:val="0"/>
        <w:autoSpaceDN w:val="0"/>
        <w:adjustRightInd w:val="0"/>
        <w:spacing w:after="0" w:line="480" w:lineRule="auto"/>
        <w:ind w:firstLine="720"/>
        <w:jc w:val="both"/>
        <w:rPr>
          <w:rFonts w:ascii="Times New Roman" w:eastAsia="Calibri" w:hAnsi="Times New Roman" w:cs="Times New Roman"/>
          <w:kern w:val="0"/>
          <w:sz w:val="28"/>
          <w:szCs w:val="28"/>
          <w14:ligatures w14:val="none"/>
        </w:rPr>
      </w:pPr>
      <w:r w:rsidRPr="001912E3">
        <w:rPr>
          <w:rFonts w:ascii="Times New Roman" w:eastAsia="Calibri" w:hAnsi="Times New Roman" w:cs="Times New Roman"/>
          <w:kern w:val="0"/>
          <w:sz w:val="28"/>
          <w:szCs w:val="28"/>
          <w14:ligatures w14:val="none"/>
        </w:rPr>
        <w:t xml:space="preserve">Since Rule 31.23’s last substantive amendment, </w:t>
      </w:r>
      <w:r w:rsidRPr="001912E3">
        <w:rPr>
          <w:rFonts w:ascii="Times New Roman" w:eastAsia="Calibri" w:hAnsi="Times New Roman" w:cs="Times New Roman"/>
          <w:i/>
          <w:iCs/>
          <w:kern w:val="0"/>
          <w:sz w:val="28"/>
          <w:szCs w:val="28"/>
          <w14:ligatures w14:val="none"/>
        </w:rPr>
        <w:t>see In the Matter of Rule 31.17(c)(1), Rules of Criminal Procedure</w:t>
      </w:r>
      <w:r w:rsidRPr="001912E3">
        <w:rPr>
          <w:rFonts w:ascii="Times New Roman" w:eastAsia="Calibri" w:hAnsi="Times New Roman" w:cs="Times New Roman"/>
          <w:kern w:val="0"/>
          <w:sz w:val="28"/>
          <w:szCs w:val="28"/>
          <w14:ligatures w14:val="none"/>
        </w:rPr>
        <w:t>, No. R-13-0050 (Sept. 2, 2014), the landscape surrounding lethal-injection executions in Arizona has changed. As the petition explained in detail, changes to the Arizona Department of Corrections, Rehabilitation, and Reentry’s (ADCRR’s) lethal-injection protocol, required by a civil settlement agreement between ADCRR and a group of death-sentenced inmates, prohibit the Department from conducting executions with chemicals that have not been used within a prescribed expiration date.</w:t>
      </w:r>
      <w:r w:rsidRPr="001912E3">
        <w:rPr>
          <w:rFonts w:ascii="Times New Roman" w:eastAsia="Calibri" w:hAnsi="Times New Roman" w:cs="Times New Roman"/>
          <w:kern w:val="0"/>
          <w:sz w:val="28"/>
          <w:szCs w:val="28"/>
          <w:vertAlign w:val="superscript"/>
          <w14:ligatures w14:val="none"/>
        </w:rPr>
        <w:footnoteReference w:id="1"/>
      </w:r>
      <w:r w:rsidRPr="001912E3">
        <w:rPr>
          <w:rFonts w:ascii="Times New Roman" w:eastAsia="Calibri" w:hAnsi="Times New Roman" w:cs="Times New Roman"/>
          <w:kern w:val="0"/>
          <w:sz w:val="28"/>
          <w:szCs w:val="28"/>
          <w14:ligatures w14:val="none"/>
        </w:rPr>
        <w:t xml:space="preserve"> (Petition at 3-4.) ADCRR currently carries out executions using compounded pentobarbital which, after completion of stability and sterility testing, has a beyond-use date of ninety days from the date of its compounding. (</w:t>
      </w:r>
      <w:r w:rsidRPr="001912E3">
        <w:rPr>
          <w:rFonts w:ascii="Times New Roman" w:eastAsia="Calibri" w:hAnsi="Times New Roman" w:cs="Times New Roman"/>
          <w:i/>
          <w:iCs/>
          <w:kern w:val="0"/>
          <w:sz w:val="28"/>
          <w:szCs w:val="28"/>
          <w14:ligatures w14:val="none"/>
        </w:rPr>
        <w:t>Id.</w:t>
      </w:r>
      <w:r w:rsidRPr="001912E3">
        <w:rPr>
          <w:rFonts w:ascii="Times New Roman" w:eastAsia="Calibri" w:hAnsi="Times New Roman" w:cs="Times New Roman"/>
          <w:kern w:val="0"/>
          <w:sz w:val="28"/>
          <w:szCs w:val="28"/>
          <w14:ligatures w14:val="none"/>
        </w:rPr>
        <w:t xml:space="preserve"> at 3.) The protocol and the settlement further require ADCRR to disclose, upon an inmate’s request, a quantitative analysis of the chemicals to be used in the execution within ten days of the State requesting an execution warrant. (</w:t>
      </w:r>
      <w:r w:rsidRPr="001912E3">
        <w:rPr>
          <w:rFonts w:ascii="Times New Roman" w:eastAsia="Calibri" w:hAnsi="Times New Roman" w:cs="Times New Roman"/>
          <w:i/>
          <w:iCs/>
          <w:kern w:val="0"/>
          <w:sz w:val="28"/>
          <w:szCs w:val="28"/>
          <w14:ligatures w14:val="none"/>
        </w:rPr>
        <w:t>Id.</w:t>
      </w:r>
      <w:r w:rsidRPr="001912E3">
        <w:rPr>
          <w:rFonts w:ascii="Times New Roman" w:eastAsia="Calibri" w:hAnsi="Times New Roman" w:cs="Times New Roman"/>
          <w:kern w:val="0"/>
          <w:sz w:val="28"/>
          <w:szCs w:val="28"/>
          <w14:ligatures w14:val="none"/>
        </w:rPr>
        <w:t xml:space="preserve"> at 3-4.) This requires ADCRR to ensure that pentobarbital to be used in a planned execution is compounded shortly after the State moves for an execution warrant, thereby starting a ninety-day timeline for completing an execution with the compounded drug.</w:t>
      </w:r>
      <w:r w:rsidRPr="001912E3">
        <w:rPr>
          <w:rFonts w:ascii="Times New Roman" w:eastAsia="Calibri" w:hAnsi="Times New Roman" w:cs="Times New Roman"/>
          <w:kern w:val="0"/>
          <w:sz w:val="28"/>
          <w:szCs w:val="28"/>
          <w:vertAlign w:val="superscript"/>
          <w14:ligatures w14:val="none"/>
        </w:rPr>
        <w:footnoteReference w:id="2"/>
      </w:r>
      <w:r w:rsidRPr="001912E3">
        <w:rPr>
          <w:rFonts w:ascii="Times New Roman" w:eastAsia="Calibri" w:hAnsi="Times New Roman" w:cs="Times New Roman"/>
          <w:kern w:val="0"/>
          <w:sz w:val="28"/>
          <w:szCs w:val="28"/>
          <w14:ligatures w14:val="none"/>
        </w:rPr>
        <w:t xml:space="preserve">  </w:t>
      </w:r>
    </w:p>
    <w:p w14:paraId="048F6149" w14:textId="3AFAFFAC" w:rsidR="001912E3" w:rsidRPr="001912E3" w:rsidRDefault="001912E3" w:rsidP="001912E3">
      <w:pPr>
        <w:autoSpaceDE w:val="0"/>
        <w:autoSpaceDN w:val="0"/>
        <w:adjustRightInd w:val="0"/>
        <w:spacing w:after="0" w:line="480" w:lineRule="auto"/>
        <w:ind w:firstLine="720"/>
        <w:jc w:val="both"/>
        <w:rPr>
          <w:rFonts w:ascii="Times New Roman" w:eastAsia="Calibri" w:hAnsi="Times New Roman" w:cs="Times New Roman"/>
          <w:kern w:val="0"/>
          <w:sz w:val="28"/>
          <w:szCs w:val="28"/>
          <w14:ligatures w14:val="none"/>
        </w:rPr>
      </w:pPr>
      <w:r w:rsidRPr="001912E3">
        <w:rPr>
          <w:rFonts w:ascii="Times New Roman" w:eastAsia="Calibri" w:hAnsi="Times New Roman" w:cs="Times New Roman"/>
          <w:kern w:val="0"/>
          <w:sz w:val="28"/>
          <w:szCs w:val="28"/>
          <w14:ligatures w14:val="none"/>
        </w:rPr>
        <w:t>As the petition explained, it is difficult for the State to satisfy these requirements given the practical reality of pre-warrant litigation, which often involves extensions of filing deadlines and other delays. (</w:t>
      </w:r>
      <w:r w:rsidRPr="001912E3">
        <w:rPr>
          <w:rFonts w:ascii="Times New Roman" w:eastAsia="Calibri" w:hAnsi="Times New Roman" w:cs="Times New Roman"/>
          <w:i/>
          <w:iCs/>
          <w:kern w:val="0"/>
          <w:sz w:val="28"/>
          <w:szCs w:val="28"/>
          <w14:ligatures w14:val="none"/>
        </w:rPr>
        <w:t>Id.</w:t>
      </w:r>
      <w:r w:rsidRPr="001912E3">
        <w:rPr>
          <w:rFonts w:ascii="Times New Roman" w:eastAsia="Calibri" w:hAnsi="Times New Roman" w:cs="Times New Roman"/>
          <w:kern w:val="0"/>
          <w:sz w:val="28"/>
          <w:szCs w:val="28"/>
          <w14:ligatures w14:val="none"/>
        </w:rPr>
        <w:t xml:space="preserve"> at 4-5.) To navigate these difficulties, the State has employed in the last several executions an informal procedure by which, before moving for an execution warrant, it asks this court to set a firm briefing schedule for its anticipated motion so the execution will be fixed on a date before the compounded pentobarbital expires. The petition in this matter, filed by the Chief Counsel of the Capital Litigation Section of the Arizona Attorney General’s Office (AGO), sought to amend Rule 31.23 to establish a fixed and accelerated briefing schedule for motions for warrants of execution, allowing ten days for a defendant to respond to such a motion and five days for the State to reply. (Petition, Appendix A.) It further sought to require this Court to schedule the motion for its “next practicable conference.” (</w:t>
      </w:r>
      <w:r w:rsidRPr="001912E3">
        <w:rPr>
          <w:rFonts w:ascii="Times New Roman" w:eastAsia="Calibri" w:hAnsi="Times New Roman" w:cs="Times New Roman"/>
          <w:i/>
          <w:iCs/>
          <w:kern w:val="0"/>
          <w:sz w:val="28"/>
          <w:szCs w:val="28"/>
          <w14:ligatures w14:val="none"/>
        </w:rPr>
        <w:t>Id.</w:t>
      </w:r>
      <w:r w:rsidRPr="001912E3">
        <w:rPr>
          <w:rFonts w:ascii="Times New Roman" w:eastAsia="Calibri" w:hAnsi="Times New Roman" w:cs="Times New Roman"/>
          <w:kern w:val="0"/>
          <w:sz w:val="28"/>
          <w:szCs w:val="28"/>
          <w14:ligatures w14:val="none"/>
        </w:rPr>
        <w:t>) The petition did not, however, require the State to file a notice advising this Court and the defendant of its intent to seek a warrant. (</w:t>
      </w:r>
      <w:r w:rsidRPr="001912E3">
        <w:rPr>
          <w:rFonts w:ascii="Times New Roman" w:eastAsia="Calibri" w:hAnsi="Times New Roman" w:cs="Times New Roman"/>
          <w:i/>
          <w:iCs/>
          <w:kern w:val="0"/>
          <w:sz w:val="28"/>
          <w:szCs w:val="28"/>
          <w14:ligatures w14:val="none"/>
        </w:rPr>
        <w:t>Id.</w:t>
      </w:r>
      <w:r w:rsidRPr="001912E3">
        <w:rPr>
          <w:rFonts w:ascii="Times New Roman" w:eastAsia="Calibri" w:hAnsi="Times New Roman" w:cs="Times New Roman"/>
          <w:kern w:val="0"/>
          <w:sz w:val="28"/>
          <w:szCs w:val="28"/>
          <w14:ligatures w14:val="none"/>
        </w:rPr>
        <w:t xml:space="preserve">) </w:t>
      </w:r>
    </w:p>
    <w:p w14:paraId="0B93F2E8" w14:textId="10033DA4" w:rsidR="001912E3" w:rsidRPr="001912E3" w:rsidRDefault="001912E3" w:rsidP="001912E3">
      <w:pPr>
        <w:autoSpaceDE w:val="0"/>
        <w:autoSpaceDN w:val="0"/>
        <w:adjustRightInd w:val="0"/>
        <w:spacing w:after="0" w:line="480" w:lineRule="auto"/>
        <w:ind w:firstLine="720"/>
        <w:jc w:val="both"/>
        <w:rPr>
          <w:rFonts w:ascii="Times New Roman" w:eastAsia="Calibri" w:hAnsi="Times New Roman" w:cs="Times New Roman"/>
          <w:kern w:val="0"/>
          <w:sz w:val="28"/>
          <w:szCs w:val="28"/>
          <w14:ligatures w14:val="none"/>
        </w:rPr>
      </w:pPr>
      <w:r w:rsidRPr="001912E3">
        <w:rPr>
          <w:rFonts w:ascii="Times New Roman" w:eastAsia="Calibri" w:hAnsi="Times New Roman" w:cs="Times New Roman"/>
          <w:kern w:val="0"/>
          <w:sz w:val="28"/>
          <w:szCs w:val="28"/>
          <w14:ligatures w14:val="none"/>
        </w:rPr>
        <w:t xml:space="preserve">The Arizona Capital Representation Project (ACRP), Arizona Attorneys for Criminal Justice, Phillips Black, Inc., and the Federal Public Defender for the District of Arizona (FPD)—all of which employ or count as members attorneys who represent death-sentenced defendants—filed a joint comment opposing the petition.  The comment asserted that the proposed rule change would prejudice defendants, make the process of seeking execution warrants less reliable, and limit this Court’s discretion during the warrant-issuance process. In particular, the capital defenders noted the absence of any requirement that the State give notice of its intent to seek an execution </w:t>
      </w:r>
      <w:proofErr w:type="gramStart"/>
      <w:r w:rsidRPr="001912E3">
        <w:rPr>
          <w:rFonts w:ascii="Times New Roman" w:eastAsia="Calibri" w:hAnsi="Times New Roman" w:cs="Times New Roman"/>
          <w:kern w:val="0"/>
          <w:sz w:val="28"/>
          <w:szCs w:val="28"/>
          <w14:ligatures w14:val="none"/>
        </w:rPr>
        <w:t>warrant—</w:t>
      </w:r>
      <w:proofErr w:type="gramEnd"/>
      <w:r w:rsidRPr="001912E3">
        <w:rPr>
          <w:rFonts w:ascii="Times New Roman" w:eastAsia="Calibri" w:hAnsi="Times New Roman" w:cs="Times New Roman"/>
          <w:kern w:val="0"/>
          <w:sz w:val="28"/>
          <w:szCs w:val="28"/>
          <w14:ligatures w14:val="none"/>
        </w:rPr>
        <w:t>which is a component of the current, informal procedure—and asserted that this lack of notice, combined with the abbreviated proposed timelines, would render defendants unable to meaningfully respond to warrant requests. (Joint Capital Defenders’ Comment, at 5-12.)</w:t>
      </w:r>
    </w:p>
    <w:p w14:paraId="45DA6966" w14:textId="43706B90" w:rsidR="001912E3" w:rsidRPr="001912E3" w:rsidRDefault="001912E3" w:rsidP="001912E3">
      <w:pPr>
        <w:autoSpaceDE w:val="0"/>
        <w:autoSpaceDN w:val="0"/>
        <w:adjustRightInd w:val="0"/>
        <w:spacing w:after="0" w:line="480" w:lineRule="auto"/>
        <w:ind w:firstLine="720"/>
        <w:jc w:val="both"/>
        <w:rPr>
          <w:rFonts w:ascii="Times New Roman" w:eastAsia="Calibri" w:hAnsi="Times New Roman" w:cs="Times New Roman"/>
          <w:kern w:val="0"/>
          <w:sz w:val="28"/>
          <w:szCs w:val="28"/>
          <w14:ligatures w14:val="none"/>
        </w:rPr>
      </w:pPr>
      <w:r w:rsidRPr="001912E3">
        <w:rPr>
          <w:rFonts w:ascii="Times New Roman" w:eastAsia="Calibri" w:hAnsi="Times New Roman" w:cs="Times New Roman"/>
          <w:kern w:val="0"/>
          <w:sz w:val="28"/>
          <w:szCs w:val="28"/>
          <w14:ligatures w14:val="none"/>
        </w:rPr>
        <w:t xml:space="preserve">This Court thereafter issued an order, accompanied by draft amendments to the rule, continuing the petition to its November 2025 rules agenda and reopening it for public comment. (Order filed 8/28/25 &amp; Attachment.) This Court’s draft amendments would require the State to file a notice </w:t>
      </w:r>
      <w:proofErr w:type="gramStart"/>
      <w:r w:rsidRPr="001912E3">
        <w:rPr>
          <w:rFonts w:ascii="Times New Roman" w:eastAsia="Calibri" w:hAnsi="Times New Roman" w:cs="Times New Roman"/>
          <w:kern w:val="0"/>
          <w:sz w:val="28"/>
          <w:szCs w:val="28"/>
          <w14:ligatures w14:val="none"/>
        </w:rPr>
        <w:t>of</w:t>
      </w:r>
      <w:proofErr w:type="gramEnd"/>
      <w:r w:rsidRPr="001912E3">
        <w:rPr>
          <w:rFonts w:ascii="Times New Roman" w:eastAsia="Calibri" w:hAnsi="Times New Roman" w:cs="Times New Roman"/>
          <w:kern w:val="0"/>
          <w:sz w:val="28"/>
          <w:szCs w:val="28"/>
          <w14:ligatures w14:val="none"/>
        </w:rPr>
        <w:t xml:space="preserve"> its intent to file a motion for a warrant of execution and to identify in that notice a requested due date for the motion that is not less than sixty-five days from the notice’s filing, along with two alternative future dates. (Attachment to 8/25/25 Order.) It would further allow a defendant twenty-one days to respond to the notice; permit the State and any interested victims to reply within seven days; and require the Court, between thirty and sixty days of the notice’s filing, to issue an order setting forth due dates for the motion and responsive briefing. (</w:t>
      </w:r>
      <w:r w:rsidRPr="001912E3">
        <w:rPr>
          <w:rFonts w:ascii="Times New Roman" w:eastAsia="Calibri" w:hAnsi="Times New Roman" w:cs="Times New Roman"/>
          <w:i/>
          <w:iCs/>
          <w:kern w:val="0"/>
          <w:sz w:val="28"/>
          <w:szCs w:val="28"/>
          <w14:ligatures w14:val="none"/>
        </w:rPr>
        <w:t>Id.</w:t>
      </w:r>
      <w:r w:rsidRPr="001912E3">
        <w:rPr>
          <w:rFonts w:ascii="Times New Roman" w:eastAsia="Calibri" w:hAnsi="Times New Roman" w:cs="Times New Roman"/>
          <w:kern w:val="0"/>
          <w:sz w:val="28"/>
          <w:szCs w:val="28"/>
          <w14:ligatures w14:val="none"/>
        </w:rPr>
        <w:t xml:space="preserve">) On the same day, the Chief Justice referred the matter to the CCOC, explaining that the Court disfavored the amendments in the initial petition. (Letter dated 8/28/25.) The Chief Justice invited the CCOC to comment on </w:t>
      </w:r>
      <w:proofErr w:type="gramStart"/>
      <w:r w:rsidRPr="001912E3">
        <w:rPr>
          <w:rFonts w:ascii="Times New Roman" w:eastAsia="Calibri" w:hAnsi="Times New Roman" w:cs="Times New Roman"/>
          <w:kern w:val="0"/>
          <w:sz w:val="28"/>
          <w:szCs w:val="28"/>
          <w14:ligatures w14:val="none"/>
        </w:rPr>
        <w:t>a number of</w:t>
      </w:r>
      <w:proofErr w:type="gramEnd"/>
      <w:r w:rsidRPr="001912E3">
        <w:rPr>
          <w:rFonts w:ascii="Times New Roman" w:eastAsia="Calibri" w:hAnsi="Times New Roman" w:cs="Times New Roman"/>
          <w:kern w:val="0"/>
          <w:sz w:val="28"/>
          <w:szCs w:val="28"/>
          <w14:ligatures w14:val="none"/>
        </w:rPr>
        <w:t xml:space="preserve"> matters, including whether the rule should be amended in the first place, and to review and, if appropriate, recommend changes to this Court’s draft amendments. (</w:t>
      </w:r>
      <w:r w:rsidRPr="001912E3">
        <w:rPr>
          <w:rFonts w:ascii="Times New Roman" w:eastAsia="Calibri" w:hAnsi="Times New Roman" w:cs="Times New Roman"/>
          <w:i/>
          <w:iCs/>
          <w:kern w:val="0"/>
          <w:sz w:val="28"/>
          <w:szCs w:val="28"/>
          <w14:ligatures w14:val="none"/>
        </w:rPr>
        <w:t>Id.</w:t>
      </w:r>
      <w:r w:rsidRPr="001912E3">
        <w:rPr>
          <w:rFonts w:ascii="Times New Roman" w:eastAsia="Calibri" w:hAnsi="Times New Roman" w:cs="Times New Roman"/>
          <w:kern w:val="0"/>
          <w:sz w:val="28"/>
          <w:szCs w:val="28"/>
          <w14:ligatures w14:val="none"/>
        </w:rPr>
        <w:t xml:space="preserve">)   </w:t>
      </w:r>
    </w:p>
    <w:p w14:paraId="670A53F5" w14:textId="72B8CFD6" w:rsidR="001912E3" w:rsidRPr="001912E3" w:rsidRDefault="001912E3" w:rsidP="001912E3">
      <w:pPr>
        <w:autoSpaceDE w:val="0"/>
        <w:autoSpaceDN w:val="0"/>
        <w:adjustRightInd w:val="0"/>
        <w:spacing w:after="0" w:line="480" w:lineRule="auto"/>
        <w:ind w:firstLine="720"/>
        <w:jc w:val="both"/>
        <w:rPr>
          <w:rFonts w:ascii="Times New Roman" w:eastAsia="Calibri" w:hAnsi="Times New Roman" w:cs="Times New Roman"/>
          <w:kern w:val="0"/>
          <w:sz w:val="28"/>
          <w:szCs w:val="28"/>
          <w14:ligatures w14:val="none"/>
        </w:rPr>
      </w:pPr>
      <w:r w:rsidRPr="001912E3">
        <w:rPr>
          <w:rFonts w:ascii="Times New Roman" w:eastAsia="Calibri" w:hAnsi="Times New Roman" w:cs="Times New Roman"/>
          <w:kern w:val="0"/>
          <w:sz w:val="28"/>
          <w:szCs w:val="28"/>
          <w14:ligatures w14:val="none"/>
        </w:rPr>
        <w:t>The original petitioner thereafter filed a formal comment, opposing the Court’s proposal because it contemplated too long of a period between the filing of the notice and the motion and it did not establish fixed timelines for briefing in response to the motion. (Comment by Jason Lewis.) The capital defenders likewise jointly opposed the Court’s proposal, expressing concerns that it limited the Court’s discretion and questioning the need to formalize the informal procedure. (Capital Defenders’ Second Comment.) This Court continued the petition to its August 2026 rules agenda. (Order filed 11/26/25.)</w:t>
      </w:r>
    </w:p>
    <w:p w14:paraId="1243B90B" w14:textId="77777777" w:rsidR="001912E3" w:rsidRPr="001912E3" w:rsidRDefault="001912E3" w:rsidP="001912E3">
      <w:pPr>
        <w:numPr>
          <w:ilvl w:val="0"/>
          <w:numId w:val="29"/>
        </w:numPr>
        <w:autoSpaceDE w:val="0"/>
        <w:autoSpaceDN w:val="0"/>
        <w:adjustRightInd w:val="0"/>
        <w:spacing w:after="0" w:line="480" w:lineRule="auto"/>
        <w:jc w:val="both"/>
        <w:rPr>
          <w:rFonts w:ascii="Times New Roman" w:eastAsia="Calibri" w:hAnsi="Times New Roman" w:cs="Times New Roman"/>
          <w:b/>
          <w:bCs/>
          <w:kern w:val="0"/>
          <w:sz w:val="28"/>
          <w:szCs w:val="28"/>
          <w14:ligatures w14:val="none"/>
        </w:rPr>
      </w:pPr>
      <w:r w:rsidRPr="001912E3">
        <w:rPr>
          <w:rFonts w:ascii="Times New Roman" w:eastAsia="Calibri" w:hAnsi="Times New Roman" w:cs="Times New Roman"/>
          <w:b/>
          <w:bCs/>
          <w:kern w:val="0"/>
          <w:sz w:val="28"/>
          <w:szCs w:val="28"/>
          <w14:ligatures w14:val="none"/>
        </w:rPr>
        <w:t>The CCOC’s Proposed Amendment</w:t>
      </w:r>
    </w:p>
    <w:p w14:paraId="4B1EA912" w14:textId="08688398" w:rsidR="001912E3" w:rsidRPr="001912E3" w:rsidRDefault="001912E3" w:rsidP="001912E3">
      <w:pPr>
        <w:autoSpaceDE w:val="0"/>
        <w:autoSpaceDN w:val="0"/>
        <w:adjustRightInd w:val="0"/>
        <w:spacing w:after="0" w:line="480" w:lineRule="auto"/>
        <w:ind w:firstLine="720"/>
        <w:jc w:val="both"/>
        <w:rPr>
          <w:rFonts w:ascii="Times New Roman" w:eastAsia="Calibri" w:hAnsi="Times New Roman" w:cs="Times New Roman"/>
          <w:kern w:val="0"/>
          <w:sz w:val="28"/>
          <w:szCs w:val="28"/>
          <w14:ligatures w14:val="none"/>
        </w:rPr>
      </w:pPr>
      <w:r w:rsidRPr="001912E3">
        <w:rPr>
          <w:rFonts w:ascii="Times New Roman" w:eastAsia="Calibri" w:hAnsi="Times New Roman" w:cs="Times New Roman"/>
          <w:kern w:val="0"/>
          <w:sz w:val="28"/>
          <w:szCs w:val="28"/>
          <w14:ligatures w14:val="none"/>
        </w:rPr>
        <w:t>In response to the Chief Justice’s correspondence, the CCOC assembled a workgroup composed of judicial officers, this Court’s capital case staff attorney, and practitioners from the AGO (including the original petitioner), the FPD, and ACRP, all of whom are experienced in either seeking or opposing execution warrants. The workgroup agreed that Rule 31.23 would benefit from amendment.  (</w:t>
      </w:r>
      <w:r w:rsidRPr="001912E3">
        <w:rPr>
          <w:rFonts w:ascii="Times New Roman" w:eastAsia="Calibri" w:hAnsi="Times New Roman" w:cs="Times New Roman"/>
          <w:i/>
          <w:iCs/>
          <w:kern w:val="0"/>
          <w:sz w:val="28"/>
          <w:szCs w:val="28"/>
          <w14:ligatures w14:val="none"/>
        </w:rPr>
        <w:t xml:space="preserve">See </w:t>
      </w:r>
      <w:r w:rsidRPr="001912E3">
        <w:rPr>
          <w:rFonts w:ascii="Times New Roman" w:eastAsia="Calibri" w:hAnsi="Times New Roman" w:cs="Times New Roman"/>
          <w:kern w:val="0"/>
          <w:sz w:val="28"/>
          <w:szCs w:val="28"/>
          <w14:ligatures w14:val="none"/>
        </w:rPr>
        <w:t>Letter dated 8/28/25 (inquiring whether rule should be amended).) In examining the Court’s proposed amendments, the workgroup identified and sought to balance various concerns, including:</w:t>
      </w:r>
    </w:p>
    <w:p w14:paraId="74ED960F" w14:textId="20CE1391" w:rsidR="001912E3" w:rsidRPr="001912E3" w:rsidRDefault="001912E3" w:rsidP="001912E3">
      <w:pPr>
        <w:numPr>
          <w:ilvl w:val="0"/>
          <w:numId w:val="30"/>
        </w:numPr>
        <w:autoSpaceDE w:val="0"/>
        <w:autoSpaceDN w:val="0"/>
        <w:adjustRightInd w:val="0"/>
        <w:spacing w:after="0" w:line="480" w:lineRule="auto"/>
        <w:jc w:val="both"/>
        <w:rPr>
          <w:rFonts w:ascii="Times New Roman" w:eastAsia="Calibri" w:hAnsi="Times New Roman" w:cs="Times New Roman"/>
          <w:kern w:val="0"/>
          <w:sz w:val="28"/>
          <w:szCs w:val="28"/>
          <w14:ligatures w14:val="none"/>
        </w:rPr>
      </w:pPr>
      <w:r w:rsidRPr="001912E3">
        <w:rPr>
          <w:rFonts w:ascii="Times New Roman" w:eastAsia="Calibri" w:hAnsi="Times New Roman" w:cs="Times New Roman"/>
          <w:kern w:val="0"/>
          <w:sz w:val="28"/>
          <w:szCs w:val="28"/>
          <w14:ligatures w14:val="none"/>
        </w:rPr>
        <w:t xml:space="preserve">The State’s need for an orderly, predictable, and, to the extent reasonably possible, abbreviated procedure to accommodate the testing and disclosure requirements under ADCRR’s lethal-injection protocol and related civil settlement, as well as operational scheduling issues involving </w:t>
      </w:r>
      <w:proofErr w:type="gramStart"/>
      <w:r w:rsidRPr="001912E3">
        <w:rPr>
          <w:rFonts w:ascii="Times New Roman" w:eastAsia="Calibri" w:hAnsi="Times New Roman" w:cs="Times New Roman"/>
          <w:kern w:val="0"/>
          <w:sz w:val="28"/>
          <w:szCs w:val="28"/>
          <w14:ligatures w14:val="none"/>
        </w:rPr>
        <w:t>ADCRR;</w:t>
      </w:r>
      <w:proofErr w:type="gramEnd"/>
    </w:p>
    <w:p w14:paraId="5443F68D" w14:textId="6FCB42CF" w:rsidR="001912E3" w:rsidRPr="001912E3" w:rsidRDefault="001912E3" w:rsidP="001912E3">
      <w:pPr>
        <w:numPr>
          <w:ilvl w:val="0"/>
          <w:numId w:val="30"/>
        </w:numPr>
        <w:autoSpaceDE w:val="0"/>
        <w:autoSpaceDN w:val="0"/>
        <w:adjustRightInd w:val="0"/>
        <w:spacing w:after="0" w:line="480" w:lineRule="auto"/>
        <w:jc w:val="both"/>
        <w:rPr>
          <w:rFonts w:ascii="Times New Roman" w:eastAsia="Calibri" w:hAnsi="Times New Roman" w:cs="Times New Roman"/>
          <w:kern w:val="0"/>
          <w:sz w:val="28"/>
          <w:szCs w:val="28"/>
          <w14:ligatures w14:val="none"/>
        </w:rPr>
      </w:pPr>
      <w:r w:rsidRPr="001912E3">
        <w:rPr>
          <w:rFonts w:ascii="Times New Roman" w:eastAsia="Calibri" w:hAnsi="Times New Roman" w:cs="Times New Roman"/>
          <w:kern w:val="0"/>
          <w:sz w:val="28"/>
          <w:szCs w:val="28"/>
          <w14:ligatures w14:val="none"/>
        </w:rPr>
        <w:t xml:space="preserve">Death-sentenced defendants’ need for notice of the State’s intent to seek execution warrants, as well as their need for a reasonable time to respond in light of their attorneys’ other </w:t>
      </w:r>
      <w:proofErr w:type="gramStart"/>
      <w:r w:rsidRPr="001912E3">
        <w:rPr>
          <w:rFonts w:ascii="Times New Roman" w:eastAsia="Calibri" w:hAnsi="Times New Roman" w:cs="Times New Roman"/>
          <w:kern w:val="0"/>
          <w:sz w:val="28"/>
          <w:szCs w:val="28"/>
          <w14:ligatures w14:val="none"/>
        </w:rPr>
        <w:t>obligations;</w:t>
      </w:r>
      <w:proofErr w:type="gramEnd"/>
    </w:p>
    <w:p w14:paraId="627B22C8" w14:textId="47FD3B50" w:rsidR="001912E3" w:rsidRPr="001912E3" w:rsidRDefault="001912E3" w:rsidP="001912E3">
      <w:pPr>
        <w:numPr>
          <w:ilvl w:val="0"/>
          <w:numId w:val="30"/>
        </w:numPr>
        <w:autoSpaceDE w:val="0"/>
        <w:autoSpaceDN w:val="0"/>
        <w:adjustRightInd w:val="0"/>
        <w:spacing w:after="0" w:line="480" w:lineRule="auto"/>
        <w:jc w:val="both"/>
        <w:rPr>
          <w:rFonts w:ascii="Times New Roman" w:eastAsia="Calibri" w:hAnsi="Times New Roman" w:cs="Times New Roman"/>
          <w:kern w:val="0"/>
          <w:sz w:val="28"/>
          <w:szCs w:val="28"/>
          <w14:ligatures w14:val="none"/>
        </w:rPr>
      </w:pPr>
      <w:r w:rsidRPr="001912E3">
        <w:rPr>
          <w:rFonts w:ascii="Times New Roman" w:eastAsia="Calibri" w:hAnsi="Times New Roman" w:cs="Times New Roman"/>
          <w:kern w:val="0"/>
          <w:sz w:val="28"/>
          <w:szCs w:val="28"/>
          <w14:ligatures w14:val="none"/>
        </w:rPr>
        <w:t>This Court’s need for flexibility in conferencing execution-warrant requests and scheduling execution dates, particularly in view of the time-sensitive litigation surrounding such requests, and its interest in preserving its discretion in ruling on such requests and managing its docket; and</w:t>
      </w:r>
    </w:p>
    <w:p w14:paraId="72FCF81E" w14:textId="2E41CC59" w:rsidR="001912E3" w:rsidRPr="001912E3" w:rsidRDefault="001912E3" w:rsidP="001912E3">
      <w:pPr>
        <w:numPr>
          <w:ilvl w:val="0"/>
          <w:numId w:val="30"/>
        </w:numPr>
        <w:autoSpaceDE w:val="0"/>
        <w:autoSpaceDN w:val="0"/>
        <w:adjustRightInd w:val="0"/>
        <w:spacing w:after="0" w:line="480" w:lineRule="auto"/>
        <w:jc w:val="both"/>
        <w:rPr>
          <w:rFonts w:ascii="Times New Roman" w:eastAsia="Calibri" w:hAnsi="Times New Roman" w:cs="Times New Roman"/>
          <w:kern w:val="0"/>
          <w:sz w:val="28"/>
          <w:szCs w:val="28"/>
          <w14:ligatures w14:val="none"/>
        </w:rPr>
      </w:pPr>
      <w:r w:rsidRPr="001912E3">
        <w:rPr>
          <w:rFonts w:ascii="Times New Roman" w:eastAsia="Calibri" w:hAnsi="Times New Roman" w:cs="Times New Roman"/>
          <w:kern w:val="0"/>
          <w:sz w:val="28"/>
          <w:szCs w:val="28"/>
          <w14:ligatures w14:val="none"/>
        </w:rPr>
        <w:t>The interests of statutory victims, including receiving notice of the timeline under which a warrant request may be considered and a warrant issued.</w:t>
      </w:r>
    </w:p>
    <w:p w14:paraId="6DC78D6F" w14:textId="5B8D3B34" w:rsidR="001912E3" w:rsidRPr="001912E3" w:rsidRDefault="001912E3" w:rsidP="001912E3">
      <w:pPr>
        <w:autoSpaceDE w:val="0"/>
        <w:autoSpaceDN w:val="0"/>
        <w:adjustRightInd w:val="0"/>
        <w:spacing w:after="0" w:line="480" w:lineRule="auto"/>
        <w:ind w:firstLine="720"/>
        <w:jc w:val="both"/>
        <w:rPr>
          <w:rFonts w:ascii="Times New Roman" w:eastAsia="Calibri" w:hAnsi="Times New Roman" w:cs="Times New Roman"/>
          <w:kern w:val="0"/>
          <w:sz w:val="28"/>
          <w:szCs w:val="28"/>
          <w14:ligatures w14:val="none"/>
        </w:rPr>
      </w:pPr>
      <w:r w:rsidRPr="001912E3">
        <w:rPr>
          <w:rFonts w:ascii="Times New Roman" w:eastAsia="Calibri" w:hAnsi="Times New Roman" w:cs="Times New Roman"/>
          <w:kern w:val="0"/>
          <w:sz w:val="28"/>
          <w:szCs w:val="28"/>
          <w14:ligatures w14:val="none"/>
        </w:rPr>
        <w:t xml:space="preserve">To accommodate these concerns to the greatest extent possible, the workgroup proposes the amendments reflected in Exhibits A and B. The proposal retains the general structure of this Court’s draft amendments but modifies certain timelines in accordance with the State’s need for a predictable and reasonably expedient schedule, adds additional provisions designed to minimize scheduling complications, and expressly reinforces this Court’s discretion to deviate from timelines when good cause so requires.  </w:t>
      </w:r>
    </w:p>
    <w:p w14:paraId="1B89C2F4" w14:textId="142F84D9" w:rsidR="001912E3" w:rsidRPr="001912E3" w:rsidRDefault="001912E3" w:rsidP="001912E3">
      <w:pPr>
        <w:autoSpaceDE w:val="0"/>
        <w:autoSpaceDN w:val="0"/>
        <w:adjustRightInd w:val="0"/>
        <w:spacing w:after="0" w:line="480" w:lineRule="auto"/>
        <w:ind w:firstLine="720"/>
        <w:jc w:val="both"/>
        <w:rPr>
          <w:rFonts w:ascii="Times New Roman" w:eastAsia="Calibri" w:hAnsi="Times New Roman" w:cs="Times New Roman"/>
          <w:kern w:val="0"/>
          <w:sz w:val="28"/>
          <w:szCs w:val="28"/>
          <w14:ligatures w14:val="none"/>
        </w:rPr>
      </w:pPr>
      <w:r w:rsidRPr="001912E3">
        <w:rPr>
          <w:rFonts w:ascii="Times New Roman" w:eastAsia="Calibri" w:hAnsi="Times New Roman" w:cs="Times New Roman"/>
          <w:i/>
          <w:iCs/>
          <w:kern w:val="0"/>
          <w:sz w:val="28"/>
          <w:szCs w:val="28"/>
          <w14:ligatures w14:val="none"/>
        </w:rPr>
        <w:t>First</w:t>
      </w:r>
      <w:r w:rsidRPr="001912E3">
        <w:rPr>
          <w:rFonts w:ascii="Times New Roman" w:eastAsia="Calibri" w:hAnsi="Times New Roman" w:cs="Times New Roman"/>
          <w:kern w:val="0"/>
          <w:sz w:val="28"/>
          <w:szCs w:val="28"/>
          <w14:ligatures w14:val="none"/>
        </w:rPr>
        <w:t>, the proposal retains from this Court’s draft the provision that, if the State requires a specific timeline for considering an execution warrant—</w:t>
      </w:r>
      <w:r w:rsidRPr="001912E3">
        <w:rPr>
          <w:rFonts w:ascii="Times New Roman" w:eastAsia="Calibri" w:hAnsi="Times New Roman" w:cs="Times New Roman"/>
          <w:i/>
          <w:iCs/>
          <w:kern w:val="0"/>
          <w:sz w:val="28"/>
          <w:szCs w:val="28"/>
          <w14:ligatures w14:val="none"/>
        </w:rPr>
        <w:t>i.e.</w:t>
      </w:r>
      <w:r w:rsidRPr="001912E3">
        <w:rPr>
          <w:rFonts w:ascii="Times New Roman" w:eastAsia="Calibri" w:hAnsi="Times New Roman" w:cs="Times New Roman"/>
          <w:kern w:val="0"/>
          <w:sz w:val="28"/>
          <w:szCs w:val="28"/>
          <w14:ligatures w14:val="none"/>
        </w:rPr>
        <w:t>, if it anticipates conducting an execution with compounded pentobarbital—it file a notice advising the Court of its intent to file the warrant request, accompanied by a copy of the State’s draft motion. (</w:t>
      </w:r>
      <w:r w:rsidRPr="001912E3">
        <w:rPr>
          <w:rFonts w:ascii="Times New Roman" w:eastAsia="Calibri" w:hAnsi="Times New Roman" w:cs="Times New Roman"/>
          <w:i/>
          <w:iCs/>
          <w:kern w:val="0"/>
          <w:sz w:val="28"/>
          <w:szCs w:val="28"/>
          <w14:ligatures w14:val="none"/>
        </w:rPr>
        <w:t xml:space="preserve">See </w:t>
      </w:r>
      <w:r w:rsidRPr="001912E3">
        <w:rPr>
          <w:rFonts w:ascii="Times New Roman" w:eastAsia="Calibri" w:hAnsi="Times New Roman" w:cs="Times New Roman"/>
          <w:kern w:val="0"/>
          <w:sz w:val="28"/>
          <w:szCs w:val="28"/>
          <w14:ligatures w14:val="none"/>
        </w:rPr>
        <w:t>Exhibit A, § (c)(1)-(3).) This requirement formalizes the informal procedure the State has followed in recent executions, and the proposal adds an express service requirement and recognition of victims’ rights. (</w:t>
      </w:r>
      <w:r w:rsidRPr="001912E3">
        <w:rPr>
          <w:rFonts w:ascii="Times New Roman" w:eastAsia="Calibri" w:hAnsi="Times New Roman" w:cs="Times New Roman"/>
          <w:i/>
          <w:iCs/>
          <w:kern w:val="0"/>
          <w:sz w:val="28"/>
          <w:szCs w:val="28"/>
          <w14:ligatures w14:val="none"/>
        </w:rPr>
        <w:t>Id.</w:t>
      </w:r>
      <w:r w:rsidRPr="001912E3">
        <w:rPr>
          <w:rFonts w:ascii="Times New Roman" w:eastAsia="Calibri" w:hAnsi="Times New Roman" w:cs="Times New Roman"/>
          <w:kern w:val="0"/>
          <w:sz w:val="28"/>
          <w:szCs w:val="28"/>
          <w14:ligatures w14:val="none"/>
        </w:rPr>
        <w:t>) The requirement ensures that defendants for whom the State intends to seek warrants, statutory victims, and this Court all receive adequate notice of the State’s intent and the opportunity to prepare or respond accordingly. The CCOC’s proposal also retains from this Court’s draft the opportunity for a defendant to respond to the notice and the State to reply.  (</w:t>
      </w:r>
      <w:r w:rsidRPr="001912E3">
        <w:rPr>
          <w:rFonts w:ascii="Times New Roman" w:eastAsia="Calibri" w:hAnsi="Times New Roman" w:cs="Times New Roman"/>
          <w:i/>
          <w:iCs/>
          <w:kern w:val="0"/>
          <w:sz w:val="28"/>
          <w:szCs w:val="28"/>
          <w14:ligatures w14:val="none"/>
        </w:rPr>
        <w:t>Id.</w:t>
      </w:r>
      <w:r w:rsidRPr="001912E3">
        <w:rPr>
          <w:rFonts w:ascii="Times New Roman" w:eastAsia="Calibri" w:hAnsi="Times New Roman" w:cs="Times New Roman"/>
          <w:kern w:val="0"/>
          <w:sz w:val="28"/>
          <w:szCs w:val="28"/>
          <w14:ligatures w14:val="none"/>
        </w:rPr>
        <w:t xml:space="preserve"> § (c)(4)). It reduces, however, the defendant’s response time from the twenty-one days permitted in this Court’s draft to fourteen. (</w:t>
      </w:r>
      <w:r w:rsidRPr="001912E3">
        <w:rPr>
          <w:rFonts w:ascii="Times New Roman" w:eastAsia="Calibri" w:hAnsi="Times New Roman" w:cs="Times New Roman"/>
          <w:i/>
          <w:iCs/>
          <w:kern w:val="0"/>
          <w:sz w:val="28"/>
          <w:szCs w:val="28"/>
          <w14:ligatures w14:val="none"/>
        </w:rPr>
        <w:t>Id.</w:t>
      </w:r>
      <w:r w:rsidRPr="001912E3">
        <w:rPr>
          <w:rFonts w:ascii="Times New Roman" w:eastAsia="Calibri" w:hAnsi="Times New Roman" w:cs="Times New Roman"/>
          <w:kern w:val="0"/>
          <w:sz w:val="28"/>
          <w:szCs w:val="28"/>
          <w14:ligatures w14:val="none"/>
        </w:rPr>
        <w:t>) This reduction is reasonable because the defendant’s response, under both this Court’s draft and the CCOC’s, must be limited to the notice’s contents and the specific orders the Court may issue under the rule.  (</w:t>
      </w:r>
      <w:r w:rsidRPr="001912E3">
        <w:rPr>
          <w:rFonts w:ascii="Times New Roman" w:eastAsia="Calibri" w:hAnsi="Times New Roman" w:cs="Times New Roman"/>
          <w:i/>
          <w:iCs/>
          <w:kern w:val="0"/>
          <w:sz w:val="28"/>
          <w:szCs w:val="28"/>
          <w14:ligatures w14:val="none"/>
        </w:rPr>
        <w:t>Id.</w:t>
      </w:r>
      <w:r w:rsidRPr="001912E3">
        <w:rPr>
          <w:rFonts w:ascii="Times New Roman" w:eastAsia="Calibri" w:hAnsi="Times New Roman" w:cs="Times New Roman"/>
          <w:kern w:val="0"/>
          <w:sz w:val="28"/>
          <w:szCs w:val="28"/>
          <w14:ligatures w14:val="none"/>
        </w:rPr>
        <w:t xml:space="preserve">)  </w:t>
      </w:r>
    </w:p>
    <w:p w14:paraId="0F08C636" w14:textId="5364C7C6" w:rsidR="001912E3" w:rsidRPr="001912E3" w:rsidRDefault="001912E3" w:rsidP="001912E3">
      <w:pPr>
        <w:autoSpaceDE w:val="0"/>
        <w:autoSpaceDN w:val="0"/>
        <w:adjustRightInd w:val="0"/>
        <w:spacing w:after="0" w:line="480" w:lineRule="auto"/>
        <w:ind w:firstLine="720"/>
        <w:jc w:val="both"/>
        <w:rPr>
          <w:rFonts w:ascii="Times New Roman" w:eastAsia="Calibri" w:hAnsi="Times New Roman" w:cs="Times New Roman"/>
          <w:kern w:val="0"/>
          <w:sz w:val="28"/>
          <w:szCs w:val="28"/>
          <w14:ligatures w14:val="none"/>
        </w:rPr>
      </w:pPr>
      <w:r w:rsidRPr="001912E3">
        <w:rPr>
          <w:rFonts w:ascii="Times New Roman" w:eastAsia="Calibri" w:hAnsi="Times New Roman" w:cs="Times New Roman"/>
          <w:i/>
          <w:iCs/>
          <w:kern w:val="0"/>
          <w:sz w:val="28"/>
          <w:szCs w:val="28"/>
          <w14:ligatures w14:val="none"/>
        </w:rPr>
        <w:t>Second</w:t>
      </w:r>
      <w:r w:rsidRPr="001912E3">
        <w:rPr>
          <w:rFonts w:ascii="Times New Roman" w:eastAsia="Calibri" w:hAnsi="Times New Roman" w:cs="Times New Roman"/>
          <w:kern w:val="0"/>
          <w:sz w:val="28"/>
          <w:szCs w:val="28"/>
          <w14:ligatures w14:val="none"/>
        </w:rPr>
        <w:t>, the CCOC’s proposal retains from this Court’s draft the requirement that the State identify in the notice a specific date on which it plans to file its motion for warrant of execution but omits the requirement that the State identify alternative filing dates. (</w:t>
      </w:r>
      <w:r w:rsidRPr="001912E3">
        <w:rPr>
          <w:rFonts w:ascii="Times New Roman" w:eastAsia="Calibri" w:hAnsi="Times New Roman" w:cs="Times New Roman"/>
          <w:i/>
          <w:iCs/>
          <w:kern w:val="0"/>
          <w:sz w:val="28"/>
          <w:szCs w:val="28"/>
          <w14:ligatures w14:val="none"/>
        </w:rPr>
        <w:t>Id.</w:t>
      </w:r>
      <w:r w:rsidRPr="001912E3">
        <w:rPr>
          <w:rFonts w:ascii="Times New Roman" w:eastAsia="Calibri" w:hAnsi="Times New Roman" w:cs="Times New Roman"/>
          <w:kern w:val="0"/>
          <w:sz w:val="28"/>
          <w:szCs w:val="28"/>
          <w14:ligatures w14:val="none"/>
        </w:rPr>
        <w:t xml:space="preserve"> § (c)(2).) In addition, while this Court’s proposal would require the State to propose a motion due date no earlier than sixty-five days from the notice’s filing, the CCOC’s proposal provides that the proposed date be no earlier than thirty-five days from the notice’s filing. (</w:t>
      </w:r>
      <w:r w:rsidRPr="001912E3">
        <w:rPr>
          <w:rFonts w:ascii="Times New Roman" w:eastAsia="Calibri" w:hAnsi="Times New Roman" w:cs="Times New Roman"/>
          <w:i/>
          <w:iCs/>
          <w:kern w:val="0"/>
          <w:sz w:val="28"/>
          <w:szCs w:val="28"/>
          <w14:ligatures w14:val="none"/>
        </w:rPr>
        <w:t>Id.</w:t>
      </w:r>
      <w:r w:rsidRPr="001912E3">
        <w:rPr>
          <w:rFonts w:ascii="Times New Roman" w:eastAsia="Calibri" w:hAnsi="Times New Roman" w:cs="Times New Roman"/>
          <w:kern w:val="0"/>
          <w:sz w:val="28"/>
          <w:szCs w:val="28"/>
          <w14:ligatures w14:val="none"/>
        </w:rPr>
        <w:t xml:space="preserve">) But to facilitate this Court’s scheduling of all dates—including the motion’s due date, the due dates for responsive briefing, the motion’s conferencing, and the execution date—the CCOC’s proposal also requires the State to identify in the notice any known dates between ninety and one-hundred twenty days after the notice’s filing on which ADCRR could </w:t>
      </w:r>
      <w:r w:rsidRPr="001912E3">
        <w:rPr>
          <w:rFonts w:ascii="Times New Roman" w:eastAsia="Calibri" w:hAnsi="Times New Roman" w:cs="Times New Roman"/>
          <w:i/>
          <w:iCs/>
          <w:kern w:val="0"/>
          <w:sz w:val="28"/>
          <w:szCs w:val="28"/>
          <w14:ligatures w14:val="none"/>
        </w:rPr>
        <w:t>not</w:t>
      </w:r>
      <w:r w:rsidRPr="001912E3">
        <w:rPr>
          <w:rFonts w:ascii="Times New Roman" w:eastAsia="Calibri" w:hAnsi="Times New Roman" w:cs="Times New Roman"/>
          <w:kern w:val="0"/>
          <w:sz w:val="28"/>
          <w:szCs w:val="28"/>
          <w14:ligatures w14:val="none"/>
        </w:rPr>
        <w:t xml:space="preserve"> feasibly carry out the anticipated execution. (</w:t>
      </w:r>
      <w:r w:rsidRPr="001912E3">
        <w:rPr>
          <w:rFonts w:ascii="Times New Roman" w:eastAsia="Calibri" w:hAnsi="Times New Roman" w:cs="Times New Roman"/>
          <w:i/>
          <w:iCs/>
          <w:kern w:val="0"/>
          <w:sz w:val="28"/>
          <w:szCs w:val="28"/>
          <w14:ligatures w14:val="none"/>
        </w:rPr>
        <w:t>Id.</w:t>
      </w:r>
      <w:r w:rsidRPr="001912E3">
        <w:rPr>
          <w:rFonts w:ascii="Times New Roman" w:eastAsia="Calibri" w:hAnsi="Times New Roman" w:cs="Times New Roman"/>
          <w:kern w:val="0"/>
          <w:sz w:val="28"/>
          <w:szCs w:val="28"/>
          <w14:ligatures w14:val="none"/>
        </w:rPr>
        <w:t xml:space="preserve">)  </w:t>
      </w:r>
    </w:p>
    <w:p w14:paraId="5EA8C89A" w14:textId="5177DB75" w:rsidR="001912E3" w:rsidRPr="001912E3" w:rsidRDefault="001912E3" w:rsidP="006F5861">
      <w:pPr>
        <w:autoSpaceDE w:val="0"/>
        <w:autoSpaceDN w:val="0"/>
        <w:adjustRightInd w:val="0"/>
        <w:spacing w:after="0" w:line="480" w:lineRule="auto"/>
        <w:ind w:firstLine="720"/>
        <w:jc w:val="both"/>
        <w:rPr>
          <w:rFonts w:ascii="Times New Roman" w:eastAsia="Calibri" w:hAnsi="Times New Roman" w:cs="Times New Roman"/>
          <w:kern w:val="0"/>
          <w:sz w:val="28"/>
          <w:szCs w:val="28"/>
          <w14:ligatures w14:val="none"/>
        </w:rPr>
      </w:pPr>
      <w:r w:rsidRPr="001912E3">
        <w:rPr>
          <w:rFonts w:ascii="Times New Roman" w:eastAsia="Calibri" w:hAnsi="Times New Roman" w:cs="Times New Roman"/>
          <w:i/>
          <w:iCs/>
          <w:kern w:val="0"/>
          <w:sz w:val="28"/>
          <w:szCs w:val="28"/>
          <w14:ligatures w14:val="none"/>
        </w:rPr>
        <w:t>Third</w:t>
      </w:r>
      <w:r w:rsidRPr="001912E3">
        <w:rPr>
          <w:rFonts w:ascii="Times New Roman" w:eastAsia="Calibri" w:hAnsi="Times New Roman" w:cs="Times New Roman"/>
          <w:kern w:val="0"/>
          <w:sz w:val="28"/>
          <w:szCs w:val="28"/>
          <w14:ligatures w14:val="none"/>
        </w:rPr>
        <w:t>, the CCOC’s proposal includes a presumptive timeline for Court action on the State’s notice. (</w:t>
      </w:r>
      <w:r w:rsidRPr="001912E3">
        <w:rPr>
          <w:rFonts w:ascii="Times New Roman" w:eastAsia="Calibri" w:hAnsi="Times New Roman" w:cs="Times New Roman"/>
          <w:i/>
          <w:iCs/>
          <w:kern w:val="0"/>
          <w:sz w:val="28"/>
          <w:szCs w:val="28"/>
          <w14:ligatures w14:val="none"/>
        </w:rPr>
        <w:t>Id.</w:t>
      </w:r>
      <w:r w:rsidRPr="001912E3">
        <w:rPr>
          <w:rFonts w:ascii="Times New Roman" w:eastAsia="Calibri" w:hAnsi="Times New Roman" w:cs="Times New Roman"/>
          <w:kern w:val="0"/>
          <w:sz w:val="28"/>
          <w:szCs w:val="28"/>
          <w14:ligatures w14:val="none"/>
        </w:rPr>
        <w:t xml:space="preserve"> § (c)(5).) This timeline differs from that set forth in this Court’s draft amendments: while this Court’s draft requires it to issue a briefing schedule on the anticipated warrant no sooner than thirty and no later than sixty days from the notice’s filing, the CCOC’s proposal requires the Court to enter that order no later than thirty-five days from the date of the notice, assuming a response and reply are filed. (</w:t>
      </w:r>
      <w:r w:rsidRPr="001912E3">
        <w:rPr>
          <w:rFonts w:ascii="Times New Roman" w:eastAsia="Calibri" w:hAnsi="Times New Roman" w:cs="Times New Roman"/>
          <w:i/>
          <w:iCs/>
          <w:kern w:val="0"/>
          <w:sz w:val="28"/>
          <w:szCs w:val="28"/>
          <w14:ligatures w14:val="none"/>
        </w:rPr>
        <w:t>Id.</w:t>
      </w:r>
      <w:r w:rsidRPr="001912E3">
        <w:rPr>
          <w:rFonts w:ascii="Times New Roman" w:eastAsia="Calibri" w:hAnsi="Times New Roman" w:cs="Times New Roman"/>
          <w:kern w:val="0"/>
          <w:sz w:val="28"/>
          <w:szCs w:val="28"/>
          <w14:ligatures w14:val="none"/>
        </w:rPr>
        <w:t>) But in addition to requiring the State to identify ADCRR’s scheduling conflicts as discussed above, the CCOC’s proposal would add an express provision allowing this Court to grant stays and continuances, dismiss a notice, or issue any “other appropriate orders” based on a showing of good cause. (</w:t>
      </w:r>
      <w:r w:rsidRPr="001912E3">
        <w:rPr>
          <w:rFonts w:ascii="Times New Roman" w:eastAsia="Calibri" w:hAnsi="Times New Roman" w:cs="Times New Roman"/>
          <w:i/>
          <w:iCs/>
          <w:kern w:val="0"/>
          <w:sz w:val="28"/>
          <w:szCs w:val="28"/>
          <w14:ligatures w14:val="none"/>
        </w:rPr>
        <w:t>Id.</w:t>
      </w:r>
      <w:r w:rsidRPr="001912E3">
        <w:rPr>
          <w:rFonts w:ascii="Times New Roman" w:eastAsia="Calibri" w:hAnsi="Times New Roman" w:cs="Times New Roman"/>
          <w:kern w:val="0"/>
          <w:sz w:val="28"/>
          <w:szCs w:val="28"/>
          <w14:ligatures w14:val="none"/>
        </w:rPr>
        <w:t xml:space="preserve"> § (c)(6).) The CCOC believes that this provision, especially when combined with this Court’s authority to suspend Rule 31, </w:t>
      </w:r>
      <w:r w:rsidRPr="001912E3">
        <w:rPr>
          <w:rFonts w:ascii="Times New Roman" w:eastAsia="Calibri" w:hAnsi="Times New Roman" w:cs="Times New Roman"/>
          <w:i/>
          <w:iCs/>
          <w:kern w:val="0"/>
          <w:sz w:val="28"/>
          <w:szCs w:val="28"/>
          <w14:ligatures w14:val="none"/>
        </w:rPr>
        <w:t xml:space="preserve">see </w:t>
      </w:r>
      <w:r w:rsidRPr="001912E3">
        <w:rPr>
          <w:rFonts w:ascii="Times New Roman" w:eastAsia="Calibri" w:hAnsi="Times New Roman" w:cs="Times New Roman"/>
          <w:kern w:val="0"/>
          <w:sz w:val="28"/>
          <w:szCs w:val="28"/>
          <w14:ligatures w14:val="none"/>
        </w:rPr>
        <w:t xml:space="preserve">Ariz. R. Crim. P. 31.3(a), preserves this Court’s discretion and provides flexibility for it to accommodate scheduling complications that may arise.  </w:t>
      </w:r>
    </w:p>
    <w:p w14:paraId="0C24A4A0" w14:textId="7AE0FA1C" w:rsidR="001912E3" w:rsidRPr="001912E3" w:rsidRDefault="001912E3" w:rsidP="006F5861">
      <w:pPr>
        <w:autoSpaceDE w:val="0"/>
        <w:autoSpaceDN w:val="0"/>
        <w:adjustRightInd w:val="0"/>
        <w:spacing w:after="0" w:line="480" w:lineRule="auto"/>
        <w:ind w:firstLine="720"/>
        <w:jc w:val="both"/>
        <w:rPr>
          <w:rFonts w:ascii="Times New Roman" w:eastAsia="Calibri" w:hAnsi="Times New Roman" w:cs="Times New Roman"/>
          <w:kern w:val="0"/>
          <w:sz w:val="28"/>
          <w:szCs w:val="28"/>
          <w14:ligatures w14:val="none"/>
        </w:rPr>
      </w:pPr>
      <w:r w:rsidRPr="001912E3">
        <w:rPr>
          <w:rFonts w:ascii="Times New Roman" w:eastAsia="Calibri" w:hAnsi="Times New Roman" w:cs="Times New Roman"/>
          <w:kern w:val="0"/>
          <w:sz w:val="28"/>
          <w:szCs w:val="28"/>
          <w14:ligatures w14:val="none"/>
        </w:rPr>
        <w:t>Finally, to further facilitate scheduling, the CCOC’s proposal includes a comment noting this Court’s traditional preference to fix execution dates on Wednesdays or</w:t>
      </w:r>
      <w:proofErr w:type="gramStart"/>
      <w:r w:rsidRPr="001912E3">
        <w:rPr>
          <w:rFonts w:ascii="Times New Roman" w:eastAsia="Calibri" w:hAnsi="Times New Roman" w:cs="Times New Roman"/>
          <w:kern w:val="0"/>
          <w:sz w:val="28"/>
          <w:szCs w:val="28"/>
          <w14:ligatures w14:val="none"/>
        </w:rPr>
        <w:t>, in the alternative</w:t>
      </w:r>
      <w:proofErr w:type="gramEnd"/>
      <w:r w:rsidRPr="001912E3">
        <w:rPr>
          <w:rFonts w:ascii="Times New Roman" w:eastAsia="Calibri" w:hAnsi="Times New Roman" w:cs="Times New Roman"/>
          <w:kern w:val="0"/>
          <w:sz w:val="28"/>
          <w:szCs w:val="28"/>
          <w14:ligatures w14:val="none"/>
        </w:rPr>
        <w:t>, on Thursdays or Tuesdays, and directs the State to consider these preferences in proposing dates. (</w:t>
      </w:r>
      <w:r w:rsidRPr="001912E3">
        <w:rPr>
          <w:rFonts w:ascii="Times New Roman" w:eastAsia="Calibri" w:hAnsi="Times New Roman" w:cs="Times New Roman"/>
          <w:i/>
          <w:iCs/>
          <w:kern w:val="0"/>
          <w:sz w:val="28"/>
          <w:szCs w:val="28"/>
          <w14:ligatures w14:val="none"/>
        </w:rPr>
        <w:t>Id.</w:t>
      </w:r>
      <w:r w:rsidRPr="001912E3">
        <w:rPr>
          <w:rFonts w:ascii="Times New Roman" w:eastAsia="Calibri" w:hAnsi="Times New Roman" w:cs="Times New Roman"/>
          <w:kern w:val="0"/>
          <w:sz w:val="28"/>
          <w:szCs w:val="28"/>
          <w14:ligatures w14:val="none"/>
        </w:rPr>
        <w:t xml:space="preserve"> at 2026 </w:t>
      </w:r>
      <w:proofErr w:type="spellStart"/>
      <w:r w:rsidRPr="001912E3">
        <w:rPr>
          <w:rFonts w:ascii="Times New Roman" w:eastAsia="Calibri" w:hAnsi="Times New Roman" w:cs="Times New Roman"/>
          <w:kern w:val="0"/>
          <w:sz w:val="28"/>
          <w:szCs w:val="28"/>
          <w14:ligatures w14:val="none"/>
        </w:rPr>
        <w:t>Cmt</w:t>
      </w:r>
      <w:proofErr w:type="spellEnd"/>
      <w:r w:rsidRPr="001912E3">
        <w:rPr>
          <w:rFonts w:ascii="Times New Roman" w:eastAsia="Calibri" w:hAnsi="Times New Roman" w:cs="Times New Roman"/>
          <w:kern w:val="0"/>
          <w:sz w:val="28"/>
          <w:szCs w:val="28"/>
          <w14:ligatures w14:val="none"/>
        </w:rPr>
        <w:t xml:space="preserve">.) These day-of-week preferences accommodate the reality of last-minute execution litigation, which often requires this Court and other courts to review stay requests or other urgent pleadings on the eve of a scheduled execution. Conducting mid-week executions makes it more likely that last-minute pleadings will be filed during regular work hours, when courts are fully staffed and better positioned to rapidly consider and resolve these time-sensitive matters. </w:t>
      </w:r>
    </w:p>
    <w:p w14:paraId="74CC3815" w14:textId="77777777" w:rsidR="001912E3" w:rsidRPr="001912E3" w:rsidRDefault="001912E3" w:rsidP="001912E3">
      <w:pPr>
        <w:numPr>
          <w:ilvl w:val="0"/>
          <w:numId w:val="29"/>
        </w:numPr>
        <w:autoSpaceDE w:val="0"/>
        <w:autoSpaceDN w:val="0"/>
        <w:adjustRightInd w:val="0"/>
        <w:spacing w:after="0" w:line="480" w:lineRule="auto"/>
        <w:jc w:val="both"/>
        <w:rPr>
          <w:rFonts w:ascii="Times New Roman" w:eastAsia="Calibri" w:hAnsi="Times New Roman" w:cs="Times New Roman"/>
          <w:b/>
          <w:bCs/>
          <w:kern w:val="0"/>
          <w:sz w:val="28"/>
          <w:szCs w:val="28"/>
          <w14:ligatures w14:val="none"/>
        </w:rPr>
      </w:pPr>
      <w:r w:rsidRPr="001912E3">
        <w:rPr>
          <w:rFonts w:ascii="Times New Roman" w:eastAsia="Calibri" w:hAnsi="Times New Roman" w:cs="Times New Roman"/>
          <w:b/>
          <w:bCs/>
          <w:kern w:val="0"/>
          <w:sz w:val="28"/>
          <w:szCs w:val="28"/>
          <w14:ligatures w14:val="none"/>
        </w:rPr>
        <w:t xml:space="preserve">Conclusion </w:t>
      </w:r>
    </w:p>
    <w:p w14:paraId="5270C9ED" w14:textId="2DB0696B" w:rsidR="001912E3" w:rsidRPr="001912E3" w:rsidRDefault="001912E3" w:rsidP="006F5861">
      <w:pPr>
        <w:autoSpaceDE w:val="0"/>
        <w:autoSpaceDN w:val="0"/>
        <w:adjustRightInd w:val="0"/>
        <w:spacing w:after="0" w:line="480" w:lineRule="auto"/>
        <w:ind w:firstLine="720"/>
        <w:jc w:val="both"/>
        <w:rPr>
          <w:rFonts w:ascii="Times New Roman" w:eastAsia="Calibri" w:hAnsi="Times New Roman" w:cs="Times New Roman"/>
          <w:color w:val="000000"/>
          <w:kern w:val="0"/>
          <w:sz w:val="28"/>
          <w:szCs w:val="28"/>
          <w14:ligatures w14:val="none"/>
        </w:rPr>
      </w:pPr>
      <w:r w:rsidRPr="001912E3">
        <w:rPr>
          <w:rFonts w:ascii="Times New Roman" w:eastAsia="Calibri" w:hAnsi="Times New Roman" w:cs="Times New Roman"/>
          <w:kern w:val="0"/>
          <w:sz w:val="28"/>
          <w:szCs w:val="28"/>
          <w14:ligatures w14:val="none"/>
        </w:rPr>
        <w:t xml:space="preserve">For </w:t>
      </w:r>
      <w:proofErr w:type="gramStart"/>
      <w:r w:rsidRPr="001912E3">
        <w:rPr>
          <w:rFonts w:ascii="Times New Roman" w:eastAsia="Calibri" w:hAnsi="Times New Roman" w:cs="Times New Roman"/>
          <w:kern w:val="0"/>
          <w:sz w:val="28"/>
          <w:szCs w:val="28"/>
          <w14:ligatures w14:val="none"/>
        </w:rPr>
        <w:t>all of</w:t>
      </w:r>
      <w:proofErr w:type="gramEnd"/>
      <w:r w:rsidRPr="001912E3">
        <w:rPr>
          <w:rFonts w:ascii="Times New Roman" w:eastAsia="Calibri" w:hAnsi="Times New Roman" w:cs="Times New Roman"/>
          <w:kern w:val="0"/>
          <w:sz w:val="28"/>
          <w:szCs w:val="28"/>
          <w14:ligatures w14:val="none"/>
        </w:rPr>
        <w:t xml:space="preserve"> these reasons, the CCOC agrees that Rule 31.23 would benefit from amendments to establish an orderly and predictable procedure governing the issuance of execution warrants on the State’s motion. The CCOC respectfully does not agree with this Court’s proposed amendments in their current form. The CCOC instead respectfully requests that this Court adopt the proposed amendments to Rule 31.23 reflected in Exhibits A and B, attached hereto, which consist of modifications to this Court’s proposed amendments, approved by the CCOC’s bipartisan</w:t>
      </w:r>
      <w:r w:rsidR="00C90B41">
        <w:rPr>
          <w:rFonts w:ascii="Times New Roman" w:eastAsia="Calibri" w:hAnsi="Times New Roman" w:cs="Times New Roman"/>
          <w:kern w:val="0"/>
          <w:sz w:val="28"/>
          <w:szCs w:val="28"/>
          <w14:ligatures w14:val="none"/>
        </w:rPr>
        <w:t xml:space="preserve"> membership</w:t>
      </w:r>
      <w:r w:rsidR="003D76E5">
        <w:rPr>
          <w:rFonts w:ascii="Times New Roman" w:eastAsia="Calibri" w:hAnsi="Times New Roman" w:cs="Times New Roman"/>
          <w:kern w:val="0"/>
          <w:sz w:val="28"/>
          <w:szCs w:val="28"/>
          <w14:ligatures w14:val="none"/>
        </w:rPr>
        <w:t>.</w:t>
      </w:r>
      <w:r w:rsidRPr="001912E3">
        <w:rPr>
          <w:rFonts w:ascii="Times New Roman" w:eastAsia="Calibri" w:hAnsi="Times New Roman" w:cs="Times New Roman"/>
          <w:kern w:val="0"/>
          <w:sz w:val="28"/>
          <w:szCs w:val="28"/>
          <w14:ligatures w14:val="none"/>
        </w:rPr>
        <w:t xml:space="preserve"> </w:t>
      </w:r>
    </w:p>
    <w:p w14:paraId="21972AF0" w14:textId="42AE1A52" w:rsidR="001912E3" w:rsidRPr="001912E3" w:rsidRDefault="001912E3" w:rsidP="001C6ABF">
      <w:pPr>
        <w:autoSpaceDE w:val="0"/>
        <w:autoSpaceDN w:val="0"/>
        <w:adjustRightInd w:val="0"/>
        <w:spacing w:after="0" w:line="360" w:lineRule="auto"/>
        <w:ind w:firstLine="720"/>
        <w:contextualSpacing/>
        <w:jc w:val="both"/>
        <w:rPr>
          <w:rFonts w:ascii="Times New Roman" w:eastAsia="Calibri" w:hAnsi="Times New Roman" w:cs="Times New Roman"/>
          <w:color w:val="000000"/>
          <w:kern w:val="0"/>
          <w:sz w:val="28"/>
          <w:szCs w:val="28"/>
          <w14:ligatures w14:val="none"/>
        </w:rPr>
      </w:pPr>
      <w:r w:rsidRPr="001912E3">
        <w:rPr>
          <w:rFonts w:ascii="Times New Roman" w:eastAsia="Calibri" w:hAnsi="Times New Roman" w:cs="Times New Roman"/>
          <w:color w:val="000000"/>
          <w:kern w:val="0"/>
          <w:sz w:val="28"/>
          <w:szCs w:val="28"/>
          <w14:ligatures w14:val="none"/>
        </w:rPr>
        <w:t xml:space="preserve">RESPECTFULLY SUBMITTED this </w:t>
      </w:r>
      <w:r w:rsidR="00755EB7">
        <w:rPr>
          <w:rFonts w:ascii="Times New Roman" w:eastAsia="Calibri" w:hAnsi="Times New Roman" w:cs="Times New Roman"/>
          <w:color w:val="000000"/>
          <w:kern w:val="0"/>
          <w:sz w:val="28"/>
          <w:szCs w:val="28"/>
          <w14:ligatures w14:val="none"/>
        </w:rPr>
        <w:t>30</w:t>
      </w:r>
      <w:r w:rsidR="00755EB7">
        <w:rPr>
          <w:rFonts w:ascii="Times New Roman" w:eastAsia="Calibri" w:hAnsi="Times New Roman" w:cs="Times New Roman"/>
          <w:color w:val="000000"/>
          <w:kern w:val="0"/>
          <w:sz w:val="28"/>
          <w:szCs w:val="28"/>
          <w:vertAlign w:val="superscript"/>
          <w14:ligatures w14:val="none"/>
        </w:rPr>
        <w:t>th</w:t>
      </w:r>
      <w:r w:rsidRPr="001912E3">
        <w:rPr>
          <w:rFonts w:ascii="Times New Roman" w:eastAsia="Calibri" w:hAnsi="Times New Roman" w:cs="Times New Roman"/>
          <w:color w:val="000000"/>
          <w:kern w:val="0"/>
          <w:sz w:val="28"/>
          <w:szCs w:val="28"/>
          <w14:ligatures w14:val="none"/>
        </w:rPr>
        <w:t xml:space="preserve"> day of </w:t>
      </w:r>
      <w:r w:rsidR="00504442">
        <w:rPr>
          <w:rFonts w:ascii="Times New Roman" w:eastAsia="Calibri" w:hAnsi="Times New Roman" w:cs="Times New Roman"/>
          <w:color w:val="000000"/>
          <w:kern w:val="0"/>
          <w:sz w:val="28"/>
          <w:szCs w:val="28"/>
          <w14:ligatures w14:val="none"/>
        </w:rPr>
        <w:t xml:space="preserve">April </w:t>
      </w:r>
      <w:r w:rsidRPr="001912E3">
        <w:rPr>
          <w:rFonts w:ascii="Times New Roman" w:eastAsia="Calibri" w:hAnsi="Times New Roman" w:cs="Times New Roman"/>
          <w:color w:val="000000"/>
          <w:kern w:val="0"/>
          <w:sz w:val="28"/>
          <w:szCs w:val="28"/>
          <w14:ligatures w14:val="none"/>
        </w:rPr>
        <w:t>202</w:t>
      </w:r>
      <w:r w:rsidR="006F5861">
        <w:rPr>
          <w:rFonts w:ascii="Times New Roman" w:eastAsia="Calibri" w:hAnsi="Times New Roman" w:cs="Times New Roman"/>
          <w:color w:val="000000"/>
          <w:kern w:val="0"/>
          <w:sz w:val="28"/>
          <w:szCs w:val="28"/>
          <w14:ligatures w14:val="none"/>
        </w:rPr>
        <w:t>6</w:t>
      </w:r>
      <w:r w:rsidRPr="001912E3">
        <w:rPr>
          <w:rFonts w:ascii="Times New Roman" w:eastAsia="Calibri" w:hAnsi="Times New Roman" w:cs="Times New Roman"/>
          <w:color w:val="000000"/>
          <w:kern w:val="0"/>
          <w:sz w:val="28"/>
          <w:szCs w:val="28"/>
          <w14:ligatures w14:val="none"/>
        </w:rPr>
        <w:t>.</w:t>
      </w:r>
    </w:p>
    <w:p w14:paraId="3F56F116" w14:textId="5A82705F" w:rsidR="001912E3" w:rsidRDefault="001912E3" w:rsidP="001912E3">
      <w:pPr>
        <w:autoSpaceDE w:val="0"/>
        <w:autoSpaceDN w:val="0"/>
        <w:adjustRightInd w:val="0"/>
        <w:spacing w:after="0" w:line="276" w:lineRule="auto"/>
        <w:ind w:left="3600" w:firstLine="720"/>
        <w:jc w:val="both"/>
        <w:rPr>
          <w:rFonts w:ascii="Times New Roman" w:eastAsia="Calibri" w:hAnsi="Times New Roman" w:cs="Times New Roman"/>
          <w:color w:val="000000"/>
          <w:kern w:val="0"/>
          <w:sz w:val="28"/>
          <w:szCs w:val="28"/>
          <w14:ligatures w14:val="none"/>
        </w:rPr>
      </w:pPr>
      <w:r w:rsidRPr="001912E3">
        <w:rPr>
          <w:rFonts w:ascii="Times New Roman" w:eastAsia="Calibri" w:hAnsi="Times New Roman" w:cs="Times New Roman"/>
          <w:color w:val="000000"/>
          <w:kern w:val="0"/>
          <w:sz w:val="28"/>
          <w:szCs w:val="28"/>
          <w14:ligatures w14:val="none"/>
        </w:rPr>
        <w:t>By</w:t>
      </w:r>
      <w:r w:rsidR="006F5861">
        <w:rPr>
          <w:rFonts w:ascii="Times New Roman" w:eastAsia="Calibri" w:hAnsi="Times New Roman" w:cs="Times New Roman"/>
          <w:color w:val="000000"/>
          <w:kern w:val="0"/>
          <w:sz w:val="28"/>
          <w:szCs w:val="28"/>
          <w14:ligatures w14:val="none"/>
        </w:rPr>
        <w:t xml:space="preserve"> _</w:t>
      </w:r>
      <w:r w:rsidR="00C90B41">
        <w:rPr>
          <w:rFonts w:ascii="Times New Roman" w:eastAsia="Calibri" w:hAnsi="Times New Roman" w:cs="Times New Roman"/>
          <w:color w:val="000000"/>
          <w:kern w:val="0"/>
          <w:sz w:val="28"/>
          <w:szCs w:val="28"/>
          <w14:ligatures w14:val="none"/>
        </w:rPr>
        <w:t>/s/</w:t>
      </w:r>
      <w:r w:rsidR="006F5861">
        <w:rPr>
          <w:rFonts w:ascii="Times New Roman" w:eastAsia="Calibri" w:hAnsi="Times New Roman" w:cs="Times New Roman"/>
          <w:color w:val="000000"/>
          <w:kern w:val="0"/>
          <w:sz w:val="28"/>
          <w:szCs w:val="28"/>
          <w14:ligatures w14:val="none"/>
        </w:rPr>
        <w:t>__________________________</w:t>
      </w:r>
    </w:p>
    <w:p w14:paraId="3A5EDAD7" w14:textId="7ED4D749" w:rsidR="006F5861" w:rsidRDefault="006F5861" w:rsidP="001912E3">
      <w:pPr>
        <w:autoSpaceDE w:val="0"/>
        <w:autoSpaceDN w:val="0"/>
        <w:adjustRightInd w:val="0"/>
        <w:spacing w:after="0" w:line="276" w:lineRule="auto"/>
        <w:ind w:left="3600" w:firstLine="720"/>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Hon. Lacey Stover Gard</w:t>
      </w:r>
    </w:p>
    <w:p w14:paraId="5FA1FBC0" w14:textId="127011CD" w:rsidR="005E4191" w:rsidRDefault="006F5861" w:rsidP="00C90B41">
      <w:pPr>
        <w:autoSpaceDE w:val="0"/>
        <w:autoSpaceDN w:val="0"/>
        <w:adjustRightInd w:val="0"/>
        <w:spacing w:after="0" w:line="276" w:lineRule="auto"/>
        <w:ind w:left="3600" w:firstLine="720"/>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Arizona Court of Appeals</w:t>
      </w:r>
      <w:r w:rsidR="005E4191">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Division Two</w:t>
      </w:r>
    </w:p>
    <w:p w14:paraId="2B18E31F" w14:textId="77777777" w:rsidR="00504442" w:rsidRPr="00504442" w:rsidRDefault="00504442" w:rsidP="00C90B41">
      <w:pPr>
        <w:autoSpaceDE w:val="0"/>
        <w:autoSpaceDN w:val="0"/>
        <w:adjustRightInd w:val="0"/>
        <w:spacing w:after="0" w:line="276" w:lineRule="auto"/>
        <w:ind w:left="3600" w:firstLine="720"/>
        <w:jc w:val="both"/>
        <w:rPr>
          <w:rFonts w:ascii="Times New Roman" w:eastAsia="Calibri" w:hAnsi="Times New Roman" w:cs="Times New Roman"/>
          <w:color w:val="000000"/>
          <w:kern w:val="0"/>
          <w:sz w:val="12"/>
          <w:szCs w:val="12"/>
          <w14:ligatures w14:val="none"/>
        </w:rPr>
      </w:pPr>
    </w:p>
    <w:p w14:paraId="439C7742" w14:textId="72C7E8DF" w:rsidR="006F5861" w:rsidRPr="006F5861" w:rsidRDefault="006F5861" w:rsidP="006F5861">
      <w:pPr>
        <w:autoSpaceDE w:val="0"/>
        <w:autoSpaceDN w:val="0"/>
        <w:adjustRightInd w:val="0"/>
        <w:spacing w:after="0" w:line="276" w:lineRule="auto"/>
        <w:ind w:left="3600" w:firstLine="720"/>
        <w:jc w:val="both"/>
        <w:rPr>
          <w:rFonts w:ascii="Times New Roman" w:eastAsia="Calibri" w:hAnsi="Times New Roman" w:cs="Times New Roman"/>
          <w:color w:val="000000"/>
          <w:kern w:val="0"/>
          <w:sz w:val="28"/>
          <w:szCs w:val="28"/>
          <w14:ligatures w14:val="none"/>
        </w:rPr>
      </w:pPr>
      <w:r w:rsidRPr="006F5861">
        <w:rPr>
          <w:rFonts w:ascii="Times New Roman" w:eastAsia="Calibri" w:hAnsi="Times New Roman" w:cs="Times New Roman"/>
          <w:color w:val="000000"/>
          <w:kern w:val="0"/>
          <w:sz w:val="28"/>
          <w:szCs w:val="28"/>
          <w14:ligatures w14:val="none"/>
        </w:rPr>
        <w:t>By _</w:t>
      </w:r>
      <w:r w:rsidR="00C90B41">
        <w:rPr>
          <w:rFonts w:ascii="Times New Roman" w:eastAsia="Calibri" w:hAnsi="Times New Roman" w:cs="Times New Roman"/>
          <w:color w:val="000000"/>
          <w:kern w:val="0"/>
          <w:sz w:val="28"/>
          <w:szCs w:val="28"/>
          <w14:ligatures w14:val="none"/>
        </w:rPr>
        <w:t>/s/</w:t>
      </w:r>
      <w:r w:rsidRPr="006F5861">
        <w:rPr>
          <w:rFonts w:ascii="Times New Roman" w:eastAsia="Calibri" w:hAnsi="Times New Roman" w:cs="Times New Roman"/>
          <w:color w:val="000000"/>
          <w:kern w:val="0"/>
          <w:sz w:val="28"/>
          <w:szCs w:val="28"/>
          <w14:ligatures w14:val="none"/>
        </w:rPr>
        <w:t>__________________________</w:t>
      </w:r>
    </w:p>
    <w:p w14:paraId="6497F0F2" w14:textId="59397FCC" w:rsidR="006F5861" w:rsidRPr="006F5861" w:rsidRDefault="006F5861" w:rsidP="006F5861">
      <w:pPr>
        <w:autoSpaceDE w:val="0"/>
        <w:autoSpaceDN w:val="0"/>
        <w:adjustRightInd w:val="0"/>
        <w:spacing w:after="0" w:line="276" w:lineRule="auto"/>
        <w:ind w:left="3600" w:firstLine="720"/>
        <w:jc w:val="both"/>
        <w:rPr>
          <w:rFonts w:ascii="Times New Roman" w:eastAsia="Calibri" w:hAnsi="Times New Roman" w:cs="Times New Roman"/>
          <w:color w:val="000000"/>
          <w:kern w:val="0"/>
          <w:sz w:val="28"/>
          <w:szCs w:val="28"/>
          <w14:ligatures w14:val="none"/>
        </w:rPr>
      </w:pPr>
      <w:r w:rsidRPr="006F5861">
        <w:rPr>
          <w:rFonts w:ascii="Times New Roman" w:eastAsia="Calibri" w:hAnsi="Times New Roman" w:cs="Times New Roman"/>
          <w:color w:val="000000"/>
          <w:kern w:val="0"/>
          <w:sz w:val="28"/>
          <w:szCs w:val="28"/>
          <w14:ligatures w14:val="none"/>
        </w:rPr>
        <w:t xml:space="preserve">Hon. </w:t>
      </w:r>
      <w:r>
        <w:rPr>
          <w:rFonts w:ascii="Times New Roman" w:eastAsia="Calibri" w:hAnsi="Times New Roman" w:cs="Times New Roman"/>
          <w:color w:val="000000"/>
          <w:kern w:val="0"/>
          <w:sz w:val="28"/>
          <w:szCs w:val="28"/>
          <w14:ligatures w14:val="none"/>
        </w:rPr>
        <w:t>Ron Reinstein (ret.)</w:t>
      </w:r>
      <w:r w:rsidR="005561E5">
        <w:rPr>
          <w:rFonts w:ascii="Times New Roman" w:eastAsia="Calibri" w:hAnsi="Times New Roman" w:cs="Times New Roman"/>
          <w:color w:val="000000"/>
          <w:kern w:val="0"/>
          <w:sz w:val="28"/>
          <w:szCs w:val="28"/>
          <w14:ligatures w14:val="none"/>
        </w:rPr>
        <w:t>, Chair</w:t>
      </w:r>
    </w:p>
    <w:p w14:paraId="6782DAE8" w14:textId="41F1F5B4" w:rsidR="006F5861" w:rsidRDefault="005561E5" w:rsidP="00C90B41">
      <w:pPr>
        <w:autoSpaceDE w:val="0"/>
        <w:autoSpaceDN w:val="0"/>
        <w:adjustRightInd w:val="0"/>
        <w:spacing w:after="0" w:line="276" w:lineRule="auto"/>
        <w:ind w:left="3600" w:firstLine="720"/>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Capital Case Oversight Committee</w:t>
      </w:r>
    </w:p>
    <w:p w14:paraId="103BF440" w14:textId="77777777" w:rsidR="00033D76" w:rsidRDefault="00033D76" w:rsidP="001912E3">
      <w:pPr>
        <w:spacing w:after="0" w:line="240" w:lineRule="auto"/>
        <w:rPr>
          <w:rFonts w:ascii="Times New Roman" w:eastAsia="Calibri" w:hAnsi="Times New Roman" w:cs="Times New Roman"/>
          <w:kern w:val="0"/>
          <w:sz w:val="28"/>
          <w:szCs w:val="28"/>
          <w14:ligatures w14:val="none"/>
        </w:rPr>
      </w:pPr>
    </w:p>
    <w:p w14:paraId="7A59738D" w14:textId="286CC204" w:rsidR="00033D76" w:rsidRDefault="00105B60" w:rsidP="001912E3">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 c</w:t>
      </w:r>
      <w:r w:rsidR="0064627A">
        <w:rPr>
          <w:rFonts w:ascii="Times New Roman" w:eastAsia="Calibri" w:hAnsi="Times New Roman" w:cs="Times New Roman"/>
          <w:kern w:val="0"/>
          <w:sz w:val="28"/>
          <w:szCs w:val="28"/>
          <w14:ligatures w14:val="none"/>
        </w:rPr>
        <w:t>op</w:t>
      </w:r>
      <w:r>
        <w:rPr>
          <w:rFonts w:ascii="Times New Roman" w:eastAsia="Calibri" w:hAnsi="Times New Roman" w:cs="Times New Roman"/>
          <w:kern w:val="0"/>
          <w:sz w:val="28"/>
          <w:szCs w:val="28"/>
          <w14:ligatures w14:val="none"/>
        </w:rPr>
        <w:t>y</w:t>
      </w:r>
      <w:r w:rsidR="0064627A">
        <w:rPr>
          <w:rFonts w:ascii="Times New Roman" w:eastAsia="Calibri" w:hAnsi="Times New Roman" w:cs="Times New Roman"/>
          <w:kern w:val="0"/>
          <w:sz w:val="28"/>
          <w:szCs w:val="28"/>
          <w14:ligatures w14:val="none"/>
        </w:rPr>
        <w:t xml:space="preserve"> emailed </w:t>
      </w:r>
      <w:r>
        <w:rPr>
          <w:rFonts w:ascii="Times New Roman" w:eastAsia="Calibri" w:hAnsi="Times New Roman" w:cs="Times New Roman"/>
          <w:kern w:val="0"/>
          <w:sz w:val="28"/>
          <w:szCs w:val="28"/>
          <w14:ligatures w14:val="none"/>
        </w:rPr>
        <w:t>to</w:t>
      </w:r>
      <w:r w:rsidR="00363A7C">
        <w:rPr>
          <w:rFonts w:ascii="Times New Roman" w:eastAsia="Calibri" w:hAnsi="Times New Roman" w:cs="Times New Roman"/>
          <w:kern w:val="0"/>
          <w:sz w:val="28"/>
          <w:szCs w:val="28"/>
          <w14:ligatures w14:val="none"/>
        </w:rPr>
        <w:t>:</w:t>
      </w:r>
    </w:p>
    <w:p w14:paraId="3BBF8B6D" w14:textId="33243FE0" w:rsidR="001A557C" w:rsidRDefault="001A557C" w:rsidP="001912E3">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jason.lewis@azag.gov</w:t>
      </w:r>
    </w:p>
    <w:p w14:paraId="6BC5A591" w14:textId="7975EF1F" w:rsidR="00480503" w:rsidRDefault="00480503" w:rsidP="001912E3">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j</w:t>
      </w:r>
      <w:r w:rsidRPr="00480503">
        <w:rPr>
          <w:rFonts w:ascii="Times New Roman" w:eastAsia="Calibri" w:hAnsi="Times New Roman" w:cs="Times New Roman"/>
          <w:kern w:val="0"/>
          <w:sz w:val="28"/>
          <w:szCs w:val="28"/>
          <w14:ligatures w14:val="none"/>
        </w:rPr>
        <w:t>essica.</w:t>
      </w:r>
      <w:r>
        <w:rPr>
          <w:rFonts w:ascii="Times New Roman" w:eastAsia="Calibri" w:hAnsi="Times New Roman" w:cs="Times New Roman"/>
          <w:kern w:val="0"/>
          <w:sz w:val="28"/>
          <w:szCs w:val="28"/>
          <w14:ligatures w14:val="none"/>
        </w:rPr>
        <w:t>f</w:t>
      </w:r>
      <w:r w:rsidRPr="00480503">
        <w:rPr>
          <w:rFonts w:ascii="Times New Roman" w:eastAsia="Calibri" w:hAnsi="Times New Roman" w:cs="Times New Roman"/>
          <w:kern w:val="0"/>
          <w:sz w:val="28"/>
          <w:szCs w:val="28"/>
          <w14:ligatures w14:val="none"/>
        </w:rPr>
        <w:t>otinos@staff.azbar.org</w:t>
      </w:r>
    </w:p>
    <w:p w14:paraId="1A4BEC97" w14:textId="5595A144" w:rsidR="00EA30BC" w:rsidRDefault="00005B7C" w:rsidP="001912E3">
      <w:pPr>
        <w:spacing w:after="0" w:line="240" w:lineRule="auto"/>
        <w:rPr>
          <w:rFonts w:ascii="Times New Roman" w:eastAsia="Calibri" w:hAnsi="Times New Roman" w:cs="Times New Roman"/>
          <w:kern w:val="0"/>
          <w:sz w:val="28"/>
          <w:szCs w:val="28"/>
          <w14:ligatures w14:val="none"/>
        </w:rPr>
      </w:pPr>
      <w:r w:rsidRPr="00005B7C">
        <w:rPr>
          <w:rFonts w:ascii="Times New Roman" w:eastAsia="Calibri" w:hAnsi="Times New Roman" w:cs="Times New Roman"/>
          <w:kern w:val="0"/>
          <w:sz w:val="28"/>
          <w:szCs w:val="28"/>
          <w14:ligatures w14:val="none"/>
        </w:rPr>
        <w:t>sam@azcapitalproject.org</w:t>
      </w:r>
    </w:p>
    <w:p w14:paraId="15741A64" w14:textId="7A210608" w:rsidR="00EA30BC" w:rsidRDefault="00EA30BC" w:rsidP="001912E3">
      <w:pPr>
        <w:spacing w:after="0" w:line="240" w:lineRule="auto"/>
        <w:rPr>
          <w:rFonts w:ascii="Times New Roman" w:eastAsia="Calibri" w:hAnsi="Times New Roman" w:cs="Times New Roman"/>
          <w:kern w:val="0"/>
          <w:sz w:val="28"/>
          <w:szCs w:val="28"/>
          <w14:ligatures w14:val="none"/>
        </w:rPr>
        <w:sectPr w:rsidR="00EA30BC">
          <w:pgSz w:w="12240" w:h="15840"/>
          <w:pgMar w:top="1440" w:right="1440" w:bottom="1440" w:left="1440" w:header="720" w:footer="720" w:gutter="0"/>
          <w:cols w:space="720"/>
          <w:docGrid w:linePitch="360"/>
        </w:sectPr>
      </w:pPr>
    </w:p>
    <w:p w14:paraId="2A79A005" w14:textId="77777777" w:rsidR="00F66FC7" w:rsidRPr="00F66FC7" w:rsidRDefault="00F66FC7" w:rsidP="00F66FC7">
      <w:pPr>
        <w:spacing w:after="0" w:line="240" w:lineRule="auto"/>
        <w:ind w:left="720" w:hanging="720"/>
        <w:jc w:val="center"/>
        <w:rPr>
          <w:rFonts w:ascii="Times New Roman" w:eastAsia="Aptos" w:hAnsi="Times New Roman" w:cs="Times New Roman"/>
          <w:b/>
          <w:bCs/>
          <w:sz w:val="28"/>
          <w:szCs w:val="28"/>
          <w:u w:val="single"/>
        </w:rPr>
      </w:pPr>
      <w:r w:rsidRPr="00F66FC7">
        <w:rPr>
          <w:rFonts w:ascii="Times New Roman" w:eastAsia="Aptos" w:hAnsi="Times New Roman" w:cs="Times New Roman"/>
          <w:b/>
          <w:bCs/>
          <w:sz w:val="28"/>
          <w:szCs w:val="28"/>
          <w:u w:val="single"/>
        </w:rPr>
        <w:t>Exhibit A: Mark-Up Version</w:t>
      </w:r>
    </w:p>
    <w:p w14:paraId="16FCB370" w14:textId="77777777" w:rsidR="00F66FC7" w:rsidRPr="00F66FC7" w:rsidRDefault="00F66FC7" w:rsidP="00F66FC7">
      <w:pPr>
        <w:spacing w:after="0" w:line="240" w:lineRule="auto"/>
        <w:ind w:left="720" w:hanging="720"/>
        <w:jc w:val="center"/>
        <w:rPr>
          <w:rFonts w:ascii="Times New Roman" w:eastAsia="Aptos" w:hAnsi="Times New Roman" w:cs="Times New Roman"/>
          <w:b/>
          <w:bCs/>
          <w:sz w:val="24"/>
          <w:szCs w:val="24"/>
          <w:u w:val="single"/>
        </w:rPr>
      </w:pPr>
    </w:p>
    <w:p w14:paraId="777C9E6F" w14:textId="77777777" w:rsidR="00F66FC7" w:rsidRPr="00F66FC7" w:rsidRDefault="00F66FC7" w:rsidP="00F66FC7">
      <w:pPr>
        <w:spacing w:after="0" w:line="240" w:lineRule="auto"/>
        <w:ind w:left="720" w:hanging="720"/>
        <w:rPr>
          <w:rFonts w:ascii="Times New Roman" w:eastAsia="Aptos" w:hAnsi="Times New Roman" w:cs="Times New Roman"/>
          <w:b/>
          <w:bCs/>
          <w:sz w:val="28"/>
          <w:szCs w:val="28"/>
        </w:rPr>
      </w:pPr>
      <w:r w:rsidRPr="00F66FC7">
        <w:rPr>
          <w:rFonts w:ascii="Times New Roman" w:eastAsia="Aptos" w:hAnsi="Times New Roman" w:cs="Times New Roman"/>
          <w:b/>
          <w:bCs/>
          <w:sz w:val="28"/>
          <w:szCs w:val="28"/>
        </w:rPr>
        <w:t>Rule 31.23. Warrant of Execution</w:t>
      </w:r>
    </w:p>
    <w:p w14:paraId="02D704DC" w14:textId="77777777" w:rsidR="00F66FC7" w:rsidRPr="00F66FC7" w:rsidRDefault="00F66FC7" w:rsidP="00F66FC7">
      <w:pPr>
        <w:spacing w:after="0" w:line="240" w:lineRule="auto"/>
        <w:ind w:left="720" w:hanging="720"/>
        <w:rPr>
          <w:rFonts w:ascii="Times New Roman" w:eastAsia="Aptos" w:hAnsi="Times New Roman" w:cs="Times New Roman"/>
          <w:b/>
          <w:bCs/>
          <w:sz w:val="12"/>
          <w:szCs w:val="12"/>
        </w:rPr>
      </w:pPr>
    </w:p>
    <w:p w14:paraId="0DE21B34" w14:textId="77777777" w:rsidR="00F66FC7" w:rsidRPr="00F66FC7" w:rsidRDefault="00F66FC7" w:rsidP="00F66FC7">
      <w:pPr>
        <w:numPr>
          <w:ilvl w:val="0"/>
          <w:numId w:val="35"/>
        </w:numPr>
        <w:spacing w:after="120" w:line="240" w:lineRule="auto"/>
        <w:ind w:hanging="720"/>
        <w:contextualSpacing/>
        <w:rPr>
          <w:rFonts w:ascii="Times New Roman" w:hAnsi="Times New Roman"/>
          <w:b/>
          <w:bCs/>
          <w:sz w:val="28"/>
          <w:szCs w:val="28"/>
        </w:rPr>
      </w:pPr>
      <w:r w:rsidRPr="00F66FC7">
        <w:rPr>
          <w:rFonts w:ascii="Times New Roman" w:hAnsi="Times New Roman"/>
          <w:b/>
          <w:bCs/>
          <w:sz w:val="28"/>
          <w:szCs w:val="28"/>
        </w:rPr>
        <w:t>Issuance of Warrant. [no change]</w:t>
      </w:r>
    </w:p>
    <w:p w14:paraId="363A64F9" w14:textId="77777777" w:rsidR="00F66FC7" w:rsidRPr="00F66FC7" w:rsidRDefault="00F66FC7" w:rsidP="00F66FC7">
      <w:pPr>
        <w:spacing w:after="120" w:line="240" w:lineRule="auto"/>
        <w:ind w:left="720"/>
        <w:contextualSpacing/>
        <w:rPr>
          <w:rFonts w:ascii="Times New Roman" w:hAnsi="Times New Roman"/>
          <w:b/>
          <w:bCs/>
          <w:sz w:val="12"/>
          <w:szCs w:val="12"/>
        </w:rPr>
      </w:pPr>
    </w:p>
    <w:p w14:paraId="79406F15" w14:textId="77777777" w:rsidR="00F66FC7" w:rsidRPr="00F66FC7" w:rsidRDefault="00F66FC7" w:rsidP="00F66FC7">
      <w:pPr>
        <w:numPr>
          <w:ilvl w:val="0"/>
          <w:numId w:val="35"/>
        </w:numPr>
        <w:spacing w:after="120" w:line="240" w:lineRule="auto"/>
        <w:ind w:hanging="720"/>
        <w:contextualSpacing/>
        <w:rPr>
          <w:rFonts w:ascii="Times New Roman" w:hAnsi="Times New Roman"/>
          <w:b/>
          <w:bCs/>
          <w:sz w:val="28"/>
          <w:szCs w:val="28"/>
        </w:rPr>
      </w:pPr>
      <w:r w:rsidRPr="00F66FC7">
        <w:rPr>
          <w:rFonts w:ascii="Times New Roman" w:hAnsi="Times New Roman"/>
          <w:b/>
          <w:bCs/>
          <w:sz w:val="28"/>
          <w:szCs w:val="28"/>
        </w:rPr>
        <w:t>Post-Habeas Warrant. [no change]</w:t>
      </w:r>
    </w:p>
    <w:p w14:paraId="37F27589" w14:textId="77777777" w:rsidR="00F66FC7" w:rsidRPr="00F66FC7" w:rsidRDefault="00F66FC7" w:rsidP="00F66FC7">
      <w:pPr>
        <w:spacing w:after="120" w:line="240" w:lineRule="auto"/>
        <w:ind w:left="720"/>
        <w:contextualSpacing/>
        <w:jc w:val="both"/>
        <w:rPr>
          <w:rFonts w:ascii="Times New Roman" w:eastAsia="Times New Roman" w:hAnsi="Times New Roman"/>
          <w:kern w:val="0"/>
          <w:sz w:val="12"/>
          <w:szCs w:val="12"/>
          <w:u w:val="single"/>
          <w14:ligatures w14:val="none"/>
        </w:rPr>
      </w:pPr>
    </w:p>
    <w:p w14:paraId="6B93DAD0" w14:textId="77777777" w:rsidR="00F66FC7" w:rsidRPr="00F66FC7" w:rsidRDefault="00F66FC7" w:rsidP="00F66FC7">
      <w:pPr>
        <w:numPr>
          <w:ilvl w:val="0"/>
          <w:numId w:val="31"/>
        </w:numPr>
        <w:spacing w:after="120" w:line="240" w:lineRule="auto"/>
        <w:ind w:hanging="720"/>
        <w:contextualSpacing/>
        <w:jc w:val="both"/>
        <w:rPr>
          <w:rFonts w:ascii="Times New Roman" w:eastAsia="Times New Roman" w:hAnsi="Times New Roman"/>
          <w:kern w:val="0"/>
          <w:sz w:val="28"/>
          <w:szCs w:val="28"/>
          <w:u w:val="single"/>
          <w14:ligatures w14:val="none"/>
        </w:rPr>
      </w:pPr>
      <w:r w:rsidRPr="00F66FC7">
        <w:rPr>
          <w:rFonts w:ascii="Times New Roman" w:eastAsia="Times New Roman" w:hAnsi="Times New Roman"/>
          <w:b/>
          <w:kern w:val="0"/>
          <w:sz w:val="28"/>
          <w:szCs w:val="28"/>
          <w:u w:val="single"/>
          <w14:ligatures w14:val="none"/>
        </w:rPr>
        <w:t>Notice of Motion for Warrant of Execution.</w:t>
      </w:r>
    </w:p>
    <w:p w14:paraId="223E59CC" w14:textId="77777777" w:rsidR="00F66FC7" w:rsidRPr="00F66FC7" w:rsidRDefault="00F66FC7" w:rsidP="00F66FC7">
      <w:pPr>
        <w:spacing w:after="120" w:line="240" w:lineRule="auto"/>
        <w:ind w:left="720"/>
        <w:contextualSpacing/>
        <w:jc w:val="both"/>
        <w:rPr>
          <w:rFonts w:ascii="Times New Roman" w:eastAsia="Times New Roman" w:hAnsi="Times New Roman"/>
          <w:kern w:val="0"/>
          <w:sz w:val="12"/>
          <w:szCs w:val="12"/>
          <w:u w:val="single"/>
          <w14:ligatures w14:val="none"/>
        </w:rPr>
      </w:pPr>
    </w:p>
    <w:p w14:paraId="4D07A0E1" w14:textId="77777777" w:rsidR="00F66FC7" w:rsidRPr="00F66FC7" w:rsidRDefault="00F66FC7" w:rsidP="00F66FC7">
      <w:pPr>
        <w:numPr>
          <w:ilvl w:val="0"/>
          <w:numId w:val="32"/>
        </w:numPr>
        <w:spacing w:after="120" w:line="240" w:lineRule="auto"/>
        <w:ind w:hanging="720"/>
        <w:contextualSpacing/>
        <w:jc w:val="both"/>
        <w:rPr>
          <w:rFonts w:ascii="Times New Roman" w:eastAsia="Times New Roman" w:hAnsi="Times New Roman"/>
          <w:kern w:val="0"/>
          <w:sz w:val="28"/>
          <w:szCs w:val="28"/>
          <w:u w:val="single"/>
          <w14:ligatures w14:val="none"/>
        </w:rPr>
      </w:pPr>
      <w:r w:rsidRPr="00F66FC7">
        <w:rPr>
          <w:rFonts w:ascii="Times New Roman" w:eastAsia="Times New Roman" w:hAnsi="Times New Roman"/>
          <w:b/>
          <w:bCs/>
          <w:i/>
          <w:iCs/>
          <w:kern w:val="0"/>
          <w:sz w:val="28"/>
          <w:szCs w:val="28"/>
          <w:u w:val="single"/>
          <w14:ligatures w14:val="none"/>
        </w:rPr>
        <w:t>Purpose of the Notice.</w:t>
      </w:r>
      <w:r w:rsidRPr="00F66FC7">
        <w:rPr>
          <w:rFonts w:ascii="Times New Roman" w:eastAsia="Times New Roman" w:hAnsi="Times New Roman"/>
          <w:kern w:val="0"/>
          <w:sz w:val="28"/>
          <w:szCs w:val="28"/>
          <w:u w:val="single"/>
          <w14:ligatures w14:val="none"/>
        </w:rPr>
        <w:t xml:space="preserve">  If the State requires a specific timeline for the Court’s consideration of a motion for warrant of execution, then before filing the motion, the State must file with the Court a notice advising of the State’s plan to file the motion. </w:t>
      </w:r>
    </w:p>
    <w:p w14:paraId="38B3B34D" w14:textId="77777777" w:rsidR="00F66FC7" w:rsidRPr="00F66FC7" w:rsidRDefault="00F66FC7" w:rsidP="00F66FC7">
      <w:pPr>
        <w:spacing w:after="120" w:line="240" w:lineRule="auto"/>
        <w:ind w:left="1440"/>
        <w:contextualSpacing/>
        <w:jc w:val="both"/>
        <w:rPr>
          <w:rFonts w:ascii="Times New Roman" w:eastAsia="Times New Roman" w:hAnsi="Times New Roman"/>
          <w:kern w:val="0"/>
          <w:sz w:val="12"/>
          <w:szCs w:val="12"/>
          <w:u w:val="single"/>
          <w14:ligatures w14:val="none"/>
        </w:rPr>
      </w:pPr>
    </w:p>
    <w:p w14:paraId="60F26976" w14:textId="77777777" w:rsidR="00F66FC7" w:rsidRPr="00F66FC7" w:rsidRDefault="00F66FC7" w:rsidP="00F66FC7">
      <w:pPr>
        <w:numPr>
          <w:ilvl w:val="0"/>
          <w:numId w:val="32"/>
        </w:numPr>
        <w:spacing w:after="120" w:line="240" w:lineRule="auto"/>
        <w:ind w:hanging="720"/>
        <w:contextualSpacing/>
        <w:jc w:val="both"/>
        <w:rPr>
          <w:rFonts w:ascii="Times New Roman" w:eastAsia="Times New Roman" w:hAnsi="Times New Roman"/>
          <w:kern w:val="0"/>
          <w:sz w:val="28"/>
          <w:szCs w:val="28"/>
          <w:u w:val="single"/>
          <w14:ligatures w14:val="none"/>
        </w:rPr>
      </w:pPr>
      <w:r w:rsidRPr="00F66FC7">
        <w:rPr>
          <w:rFonts w:ascii="Times New Roman" w:eastAsia="Times New Roman" w:hAnsi="Times New Roman"/>
          <w:b/>
          <w:bCs/>
          <w:i/>
          <w:iCs/>
          <w:kern w:val="0"/>
          <w:sz w:val="28"/>
          <w:szCs w:val="28"/>
          <w:u w:val="single"/>
          <w14:ligatures w14:val="none"/>
        </w:rPr>
        <w:t>Content of the Notice.</w:t>
      </w:r>
      <w:r w:rsidRPr="00F66FC7">
        <w:rPr>
          <w:rFonts w:ascii="Times New Roman" w:eastAsia="Times New Roman" w:hAnsi="Times New Roman"/>
          <w:kern w:val="0"/>
          <w:sz w:val="28"/>
          <w:szCs w:val="28"/>
          <w:u w:val="single"/>
          <w14:ligatures w14:val="none"/>
        </w:rPr>
        <w:t xml:space="preserve"> The notice must include as an attachment a copy of the State’s planned motion for warrant of execution. The notice also must include a specific date—not less than 35 calendar days after the notice filing date—that the State plans to file its motion. The notice must also include any currently known dates between 90 and 120 days after the notice filing date that would not be feasible for the Arizona Department of Corrections, Rehabilitation, and Reentry to execute the Court’s warrant. </w:t>
      </w:r>
    </w:p>
    <w:p w14:paraId="4EC4C190" w14:textId="77777777" w:rsidR="00F66FC7" w:rsidRPr="00F66FC7" w:rsidRDefault="00F66FC7" w:rsidP="00F66FC7">
      <w:pPr>
        <w:spacing w:after="120" w:line="240" w:lineRule="auto"/>
        <w:ind w:left="1440"/>
        <w:contextualSpacing/>
        <w:jc w:val="both"/>
        <w:rPr>
          <w:rFonts w:ascii="Times New Roman" w:eastAsia="Times New Roman" w:hAnsi="Times New Roman"/>
          <w:kern w:val="0"/>
          <w:sz w:val="12"/>
          <w:szCs w:val="12"/>
          <w:u w:val="single"/>
          <w14:ligatures w14:val="none"/>
        </w:rPr>
      </w:pPr>
    </w:p>
    <w:p w14:paraId="6D428827" w14:textId="77777777" w:rsidR="00F66FC7" w:rsidRPr="00F66FC7" w:rsidRDefault="00F66FC7" w:rsidP="00F66FC7">
      <w:pPr>
        <w:numPr>
          <w:ilvl w:val="0"/>
          <w:numId w:val="32"/>
        </w:numPr>
        <w:spacing w:after="120" w:line="240" w:lineRule="auto"/>
        <w:ind w:hanging="720"/>
        <w:contextualSpacing/>
        <w:jc w:val="both"/>
        <w:rPr>
          <w:rFonts w:ascii="Times New Roman" w:eastAsia="Times New Roman" w:hAnsi="Times New Roman"/>
          <w:kern w:val="0"/>
          <w:sz w:val="28"/>
          <w:szCs w:val="28"/>
          <w:u w:val="single"/>
          <w14:ligatures w14:val="none"/>
        </w:rPr>
      </w:pPr>
      <w:r w:rsidRPr="00F66FC7">
        <w:rPr>
          <w:rFonts w:ascii="Times New Roman" w:eastAsia="Times New Roman" w:hAnsi="Times New Roman"/>
          <w:b/>
          <w:bCs/>
          <w:i/>
          <w:iCs/>
          <w:kern w:val="0"/>
          <w:sz w:val="28"/>
          <w:szCs w:val="28"/>
          <w:u w:val="single"/>
          <w14:ligatures w14:val="none"/>
        </w:rPr>
        <w:t>Service of the Notice.</w:t>
      </w:r>
      <w:r w:rsidRPr="00F66FC7">
        <w:rPr>
          <w:rFonts w:ascii="Times New Roman" w:eastAsia="Times New Roman" w:hAnsi="Times New Roman"/>
          <w:kern w:val="0"/>
          <w:sz w:val="28"/>
          <w:szCs w:val="28"/>
          <w:u w:val="single"/>
          <w14:ligatures w14:val="none"/>
        </w:rPr>
        <w:t xml:space="preserve">  The State must serve the notice as provided in Rule 31.6(c). The State must indicate it has complied with victims’ rights. </w:t>
      </w:r>
    </w:p>
    <w:p w14:paraId="2C6E2E04" w14:textId="77777777" w:rsidR="00F66FC7" w:rsidRPr="00F66FC7" w:rsidRDefault="00F66FC7" w:rsidP="00F66FC7">
      <w:pPr>
        <w:spacing w:after="120" w:line="240" w:lineRule="auto"/>
        <w:ind w:left="1440"/>
        <w:contextualSpacing/>
        <w:jc w:val="both"/>
        <w:rPr>
          <w:rFonts w:ascii="Times New Roman" w:eastAsia="Times New Roman" w:hAnsi="Times New Roman"/>
          <w:kern w:val="0"/>
          <w:sz w:val="12"/>
          <w:szCs w:val="12"/>
          <w:u w:val="single"/>
          <w14:ligatures w14:val="none"/>
        </w:rPr>
      </w:pPr>
    </w:p>
    <w:p w14:paraId="19E80E05" w14:textId="77777777" w:rsidR="00F66FC7" w:rsidRPr="00F66FC7" w:rsidRDefault="00F66FC7" w:rsidP="00F66FC7">
      <w:pPr>
        <w:numPr>
          <w:ilvl w:val="0"/>
          <w:numId w:val="32"/>
        </w:numPr>
        <w:spacing w:after="120" w:line="240" w:lineRule="auto"/>
        <w:ind w:hanging="720"/>
        <w:contextualSpacing/>
        <w:jc w:val="both"/>
        <w:rPr>
          <w:rFonts w:ascii="Times New Roman" w:eastAsia="Times New Roman" w:hAnsi="Times New Roman"/>
          <w:kern w:val="0"/>
          <w:sz w:val="28"/>
          <w:szCs w:val="28"/>
          <w:u w:val="single"/>
          <w14:ligatures w14:val="none"/>
        </w:rPr>
      </w:pPr>
      <w:r w:rsidRPr="00F66FC7">
        <w:rPr>
          <w:rFonts w:ascii="Times New Roman" w:eastAsia="Times New Roman" w:hAnsi="Times New Roman"/>
          <w:b/>
          <w:bCs/>
          <w:i/>
          <w:iCs/>
          <w:kern w:val="0"/>
          <w:sz w:val="28"/>
          <w:szCs w:val="28"/>
          <w:u w:val="single"/>
          <w14:ligatures w14:val="none"/>
        </w:rPr>
        <w:t xml:space="preserve">Response and </w:t>
      </w:r>
      <w:proofErr w:type="gramStart"/>
      <w:r w:rsidRPr="00F66FC7">
        <w:rPr>
          <w:rFonts w:ascii="Times New Roman" w:eastAsia="Times New Roman" w:hAnsi="Times New Roman"/>
          <w:b/>
          <w:bCs/>
          <w:i/>
          <w:iCs/>
          <w:kern w:val="0"/>
          <w:sz w:val="28"/>
          <w:szCs w:val="28"/>
          <w:u w:val="single"/>
          <w14:ligatures w14:val="none"/>
        </w:rPr>
        <w:t>Replies</w:t>
      </w:r>
      <w:proofErr w:type="gramEnd"/>
      <w:r w:rsidRPr="00F66FC7">
        <w:rPr>
          <w:rFonts w:ascii="Times New Roman" w:eastAsia="Times New Roman" w:hAnsi="Times New Roman"/>
          <w:b/>
          <w:bCs/>
          <w:i/>
          <w:iCs/>
          <w:kern w:val="0"/>
          <w:sz w:val="28"/>
          <w:szCs w:val="28"/>
          <w:u w:val="single"/>
          <w14:ligatures w14:val="none"/>
        </w:rPr>
        <w:t>.</w:t>
      </w:r>
      <w:r w:rsidRPr="00F66FC7">
        <w:rPr>
          <w:rFonts w:ascii="Times New Roman" w:eastAsia="Times New Roman" w:hAnsi="Times New Roman"/>
          <w:kern w:val="0"/>
          <w:sz w:val="28"/>
          <w:szCs w:val="28"/>
          <w:u w:val="single"/>
          <w14:ligatures w14:val="none"/>
        </w:rPr>
        <w:t xml:space="preserve"> After the State files and serves a notice:</w:t>
      </w:r>
    </w:p>
    <w:p w14:paraId="766EA2FD" w14:textId="77777777" w:rsidR="00F66FC7" w:rsidRPr="00F66FC7" w:rsidRDefault="00F66FC7" w:rsidP="00F66FC7">
      <w:pPr>
        <w:spacing w:after="120" w:line="240" w:lineRule="auto"/>
        <w:ind w:left="1440"/>
        <w:contextualSpacing/>
        <w:jc w:val="both"/>
        <w:rPr>
          <w:rFonts w:ascii="Times New Roman" w:eastAsia="Times New Roman" w:hAnsi="Times New Roman"/>
          <w:b/>
          <w:bCs/>
          <w:i/>
          <w:iCs/>
          <w:kern w:val="0"/>
          <w:sz w:val="12"/>
          <w:szCs w:val="12"/>
          <w:u w:val="single"/>
          <w14:ligatures w14:val="none"/>
        </w:rPr>
      </w:pPr>
    </w:p>
    <w:p w14:paraId="0D6FC790" w14:textId="77777777" w:rsidR="00F66FC7" w:rsidRPr="00F66FC7" w:rsidRDefault="00F66FC7" w:rsidP="00F66FC7">
      <w:pPr>
        <w:numPr>
          <w:ilvl w:val="0"/>
          <w:numId w:val="33"/>
        </w:numPr>
        <w:spacing w:after="120" w:line="240" w:lineRule="auto"/>
        <w:ind w:left="2160" w:hanging="720"/>
        <w:contextualSpacing/>
        <w:jc w:val="both"/>
        <w:rPr>
          <w:rFonts w:ascii="Times New Roman" w:eastAsia="Times New Roman" w:hAnsi="Times New Roman"/>
          <w:kern w:val="0"/>
          <w:sz w:val="28"/>
          <w:szCs w:val="28"/>
          <w:u w:val="single"/>
          <w14:ligatures w14:val="none"/>
        </w:rPr>
      </w:pPr>
      <w:r w:rsidRPr="00F66FC7">
        <w:rPr>
          <w:rFonts w:ascii="Times New Roman" w:eastAsia="Times New Roman" w:hAnsi="Times New Roman"/>
          <w:kern w:val="0"/>
          <w:sz w:val="28"/>
          <w:szCs w:val="28"/>
          <w:u w:val="single"/>
          <w14:ligatures w14:val="none"/>
        </w:rPr>
        <w:t>the defendant, no later than 14 days after service, may file a response informing the Court of the defendant’s position regarding only the content of the State’s notice and the specific orders the Court may enter under (c)(5) and (c)(6); and</w:t>
      </w:r>
    </w:p>
    <w:p w14:paraId="14479856" w14:textId="77777777" w:rsidR="00F66FC7" w:rsidRPr="00F66FC7" w:rsidRDefault="00F66FC7" w:rsidP="00F66FC7">
      <w:pPr>
        <w:spacing w:after="120" w:line="240" w:lineRule="auto"/>
        <w:ind w:left="2160"/>
        <w:contextualSpacing/>
        <w:jc w:val="both"/>
        <w:rPr>
          <w:rFonts w:ascii="Times New Roman" w:eastAsia="Times New Roman" w:hAnsi="Times New Roman"/>
          <w:kern w:val="0"/>
          <w:sz w:val="12"/>
          <w:szCs w:val="12"/>
          <w:u w:val="single"/>
          <w14:ligatures w14:val="none"/>
        </w:rPr>
      </w:pPr>
    </w:p>
    <w:p w14:paraId="19ABD77D" w14:textId="77777777" w:rsidR="00F66FC7" w:rsidRPr="00F66FC7" w:rsidRDefault="00F66FC7" w:rsidP="00F66FC7">
      <w:pPr>
        <w:numPr>
          <w:ilvl w:val="0"/>
          <w:numId w:val="33"/>
        </w:numPr>
        <w:spacing w:after="120" w:line="240" w:lineRule="auto"/>
        <w:ind w:left="2160" w:hanging="720"/>
        <w:contextualSpacing/>
        <w:jc w:val="both"/>
        <w:rPr>
          <w:rFonts w:ascii="Times New Roman" w:eastAsia="Times New Roman" w:hAnsi="Times New Roman"/>
          <w:kern w:val="0"/>
          <w:sz w:val="28"/>
          <w:szCs w:val="28"/>
          <w:u w:val="single"/>
          <w14:ligatures w14:val="none"/>
        </w:rPr>
      </w:pPr>
      <w:r w:rsidRPr="00F66FC7">
        <w:rPr>
          <w:rFonts w:ascii="Times New Roman" w:eastAsia="Times New Roman" w:hAnsi="Times New Roman"/>
          <w:kern w:val="0"/>
          <w:sz w:val="28"/>
          <w:szCs w:val="28"/>
          <w:u w:val="single"/>
          <w14:ligatures w14:val="none"/>
        </w:rPr>
        <w:t>the State and the crime victim may file separate replies to the defendant’s response no later than 7 calendar days after service of the response.  The replies may address only the specific issues raised in the defendant’s response.</w:t>
      </w:r>
    </w:p>
    <w:p w14:paraId="70768B62" w14:textId="77777777" w:rsidR="00F66FC7" w:rsidRPr="00F66FC7" w:rsidRDefault="00F66FC7" w:rsidP="00F66FC7">
      <w:pPr>
        <w:spacing w:after="120" w:line="240" w:lineRule="auto"/>
        <w:ind w:left="1440"/>
        <w:contextualSpacing/>
        <w:jc w:val="both"/>
        <w:rPr>
          <w:rFonts w:ascii="Times New Roman" w:eastAsia="Times New Roman" w:hAnsi="Times New Roman"/>
          <w:kern w:val="0"/>
          <w:sz w:val="12"/>
          <w:szCs w:val="12"/>
          <w:u w:val="single"/>
          <w14:ligatures w14:val="none"/>
        </w:rPr>
      </w:pPr>
    </w:p>
    <w:p w14:paraId="0ECE188E" w14:textId="77777777" w:rsidR="00F66FC7" w:rsidRPr="00F66FC7" w:rsidRDefault="00F66FC7" w:rsidP="00F66FC7">
      <w:pPr>
        <w:numPr>
          <w:ilvl w:val="0"/>
          <w:numId w:val="32"/>
        </w:numPr>
        <w:spacing w:after="120" w:line="240" w:lineRule="auto"/>
        <w:ind w:hanging="720"/>
        <w:contextualSpacing/>
        <w:jc w:val="both"/>
        <w:rPr>
          <w:rFonts w:ascii="Times New Roman" w:eastAsia="Times New Roman" w:hAnsi="Times New Roman"/>
          <w:kern w:val="0"/>
          <w:sz w:val="28"/>
          <w:szCs w:val="28"/>
          <w:u w:val="single"/>
          <w14:ligatures w14:val="none"/>
        </w:rPr>
      </w:pPr>
      <w:r w:rsidRPr="00F66FC7">
        <w:rPr>
          <w:rFonts w:ascii="Times New Roman" w:eastAsia="Times New Roman" w:hAnsi="Times New Roman"/>
          <w:b/>
          <w:bCs/>
          <w:i/>
          <w:iCs/>
          <w:kern w:val="0"/>
          <w:sz w:val="28"/>
          <w:szCs w:val="28"/>
          <w:u w:val="single"/>
          <w14:ligatures w14:val="none"/>
        </w:rPr>
        <w:t>Court Order.</w:t>
      </w:r>
      <w:r w:rsidRPr="00F66FC7">
        <w:rPr>
          <w:rFonts w:ascii="Times New Roman" w:eastAsia="Times New Roman" w:hAnsi="Times New Roman"/>
          <w:kern w:val="0"/>
          <w:sz w:val="28"/>
          <w:szCs w:val="28"/>
          <w:u w:val="single"/>
          <w14:ligatures w14:val="none"/>
        </w:rPr>
        <w:t xml:space="preserve"> Not less than 15 calendar days, if no response is filed, but otherwise not more than 35 calendar days after the State filed the notice under (c)(2), the Court must enter an order stating: </w:t>
      </w:r>
    </w:p>
    <w:p w14:paraId="1390AD12" w14:textId="77777777" w:rsidR="00F66FC7" w:rsidRPr="00F66FC7" w:rsidRDefault="00F66FC7" w:rsidP="00F66FC7">
      <w:pPr>
        <w:spacing w:after="120" w:line="240" w:lineRule="auto"/>
        <w:ind w:left="1440"/>
        <w:contextualSpacing/>
        <w:jc w:val="both"/>
        <w:rPr>
          <w:rFonts w:ascii="Times New Roman" w:eastAsia="Times New Roman" w:hAnsi="Times New Roman"/>
          <w:kern w:val="0"/>
          <w:sz w:val="12"/>
          <w:szCs w:val="12"/>
          <w:u w:val="single"/>
          <w14:ligatures w14:val="none"/>
        </w:rPr>
      </w:pPr>
    </w:p>
    <w:p w14:paraId="304C48D5" w14:textId="77777777" w:rsidR="00F66FC7" w:rsidRPr="00F66FC7" w:rsidRDefault="00F66FC7" w:rsidP="00F66FC7">
      <w:pPr>
        <w:numPr>
          <w:ilvl w:val="0"/>
          <w:numId w:val="34"/>
        </w:numPr>
        <w:tabs>
          <w:tab w:val="left" w:pos="1710"/>
        </w:tabs>
        <w:spacing w:after="120" w:line="240" w:lineRule="auto"/>
        <w:ind w:hanging="720"/>
        <w:contextualSpacing/>
        <w:jc w:val="both"/>
        <w:rPr>
          <w:rFonts w:ascii="Times New Roman" w:eastAsia="Times New Roman" w:hAnsi="Times New Roman"/>
          <w:kern w:val="0"/>
          <w:sz w:val="28"/>
          <w:szCs w:val="28"/>
          <w:u w:val="single"/>
          <w14:ligatures w14:val="none"/>
        </w:rPr>
      </w:pPr>
      <w:r w:rsidRPr="00F66FC7">
        <w:rPr>
          <w:rFonts w:ascii="Times New Roman" w:eastAsia="Times New Roman" w:hAnsi="Times New Roman"/>
          <w:kern w:val="0"/>
          <w:sz w:val="28"/>
          <w:szCs w:val="28"/>
          <w:u w:val="single"/>
          <w14:ligatures w14:val="none"/>
        </w:rPr>
        <w:t xml:space="preserve">the date on which the State must file its motion for warrant of </w:t>
      </w:r>
      <w:proofErr w:type="gramStart"/>
      <w:r w:rsidRPr="00F66FC7">
        <w:rPr>
          <w:rFonts w:ascii="Times New Roman" w:eastAsia="Times New Roman" w:hAnsi="Times New Roman"/>
          <w:kern w:val="0"/>
          <w:sz w:val="28"/>
          <w:szCs w:val="28"/>
          <w:u w:val="single"/>
          <w14:ligatures w14:val="none"/>
        </w:rPr>
        <w:t>execution;</w:t>
      </w:r>
      <w:proofErr w:type="gramEnd"/>
    </w:p>
    <w:p w14:paraId="7992DD2E" w14:textId="77777777" w:rsidR="00F66FC7" w:rsidRPr="00F66FC7" w:rsidRDefault="00F66FC7" w:rsidP="00F66FC7">
      <w:pPr>
        <w:tabs>
          <w:tab w:val="left" w:pos="1710"/>
        </w:tabs>
        <w:spacing w:after="120" w:line="240" w:lineRule="auto"/>
        <w:ind w:left="2160"/>
        <w:contextualSpacing/>
        <w:jc w:val="both"/>
        <w:rPr>
          <w:rFonts w:ascii="Times New Roman" w:eastAsia="Times New Roman" w:hAnsi="Times New Roman"/>
          <w:kern w:val="0"/>
          <w:sz w:val="12"/>
          <w:szCs w:val="12"/>
          <w:u w:val="single"/>
          <w14:ligatures w14:val="none"/>
        </w:rPr>
      </w:pPr>
    </w:p>
    <w:p w14:paraId="123C2AB2" w14:textId="77777777" w:rsidR="00F66FC7" w:rsidRPr="00F66FC7" w:rsidRDefault="00F66FC7" w:rsidP="00F66FC7">
      <w:pPr>
        <w:numPr>
          <w:ilvl w:val="0"/>
          <w:numId w:val="34"/>
        </w:numPr>
        <w:tabs>
          <w:tab w:val="left" w:pos="1710"/>
        </w:tabs>
        <w:spacing w:after="120" w:line="240" w:lineRule="auto"/>
        <w:ind w:hanging="720"/>
        <w:contextualSpacing/>
        <w:jc w:val="both"/>
        <w:rPr>
          <w:rFonts w:ascii="Times New Roman" w:eastAsia="Times New Roman" w:hAnsi="Times New Roman"/>
          <w:kern w:val="0"/>
          <w:sz w:val="28"/>
          <w:szCs w:val="28"/>
          <w:u w:val="single"/>
          <w14:ligatures w14:val="none"/>
        </w:rPr>
      </w:pPr>
      <w:r w:rsidRPr="00F66FC7">
        <w:rPr>
          <w:rFonts w:ascii="Times New Roman" w:eastAsia="Times New Roman" w:hAnsi="Times New Roman"/>
          <w:kern w:val="0"/>
          <w:sz w:val="28"/>
          <w:szCs w:val="28"/>
          <w:u w:val="single"/>
          <w14:ligatures w14:val="none"/>
        </w:rPr>
        <w:t xml:space="preserve">the date by which the defendant may file a response, if any, to the motion for warrant of </w:t>
      </w:r>
      <w:proofErr w:type="gramStart"/>
      <w:r w:rsidRPr="00F66FC7">
        <w:rPr>
          <w:rFonts w:ascii="Times New Roman" w:eastAsia="Times New Roman" w:hAnsi="Times New Roman"/>
          <w:kern w:val="0"/>
          <w:sz w:val="28"/>
          <w:szCs w:val="28"/>
          <w:u w:val="single"/>
          <w14:ligatures w14:val="none"/>
        </w:rPr>
        <w:t>execution;</w:t>
      </w:r>
      <w:proofErr w:type="gramEnd"/>
    </w:p>
    <w:p w14:paraId="293EA13E" w14:textId="77777777" w:rsidR="00F66FC7" w:rsidRPr="00F66FC7" w:rsidRDefault="00F66FC7" w:rsidP="00F66FC7">
      <w:pPr>
        <w:tabs>
          <w:tab w:val="left" w:pos="1710"/>
        </w:tabs>
        <w:spacing w:after="120" w:line="240" w:lineRule="auto"/>
        <w:ind w:left="2160"/>
        <w:contextualSpacing/>
        <w:jc w:val="both"/>
        <w:rPr>
          <w:rFonts w:ascii="Times New Roman" w:eastAsia="Times New Roman" w:hAnsi="Times New Roman"/>
          <w:kern w:val="0"/>
          <w:sz w:val="12"/>
          <w:szCs w:val="12"/>
          <w:u w:val="single"/>
          <w14:ligatures w14:val="none"/>
        </w:rPr>
      </w:pPr>
    </w:p>
    <w:p w14:paraId="62BC924D" w14:textId="77777777" w:rsidR="00F66FC7" w:rsidRPr="00F66FC7" w:rsidRDefault="00F66FC7" w:rsidP="00F66FC7">
      <w:pPr>
        <w:numPr>
          <w:ilvl w:val="0"/>
          <w:numId w:val="34"/>
        </w:numPr>
        <w:tabs>
          <w:tab w:val="left" w:pos="1710"/>
        </w:tabs>
        <w:spacing w:after="120" w:line="240" w:lineRule="auto"/>
        <w:ind w:hanging="720"/>
        <w:contextualSpacing/>
        <w:jc w:val="both"/>
        <w:rPr>
          <w:rFonts w:ascii="Times New Roman" w:eastAsia="Times New Roman" w:hAnsi="Times New Roman"/>
          <w:kern w:val="0"/>
          <w:sz w:val="28"/>
          <w:szCs w:val="28"/>
          <w:u w:val="single"/>
          <w14:ligatures w14:val="none"/>
        </w:rPr>
      </w:pPr>
      <w:r w:rsidRPr="00F66FC7">
        <w:rPr>
          <w:rFonts w:ascii="Times New Roman" w:eastAsia="Times New Roman" w:hAnsi="Times New Roman"/>
          <w:kern w:val="0"/>
          <w:sz w:val="28"/>
          <w:szCs w:val="28"/>
          <w:u w:val="single"/>
          <w14:ligatures w14:val="none"/>
        </w:rPr>
        <w:t xml:space="preserve">the date by which the State and the crime victim may file separate replies, if any, to the defendant’s response to the motion for warrant of </w:t>
      </w:r>
      <w:proofErr w:type="gramStart"/>
      <w:r w:rsidRPr="00F66FC7">
        <w:rPr>
          <w:rFonts w:ascii="Times New Roman" w:eastAsia="Times New Roman" w:hAnsi="Times New Roman"/>
          <w:kern w:val="0"/>
          <w:sz w:val="28"/>
          <w:szCs w:val="28"/>
          <w:u w:val="single"/>
          <w14:ligatures w14:val="none"/>
        </w:rPr>
        <w:t>execution;</w:t>
      </w:r>
      <w:proofErr w:type="gramEnd"/>
    </w:p>
    <w:p w14:paraId="77457873" w14:textId="77777777" w:rsidR="00F66FC7" w:rsidRPr="00F66FC7" w:rsidRDefault="00F66FC7" w:rsidP="00F66FC7">
      <w:pPr>
        <w:tabs>
          <w:tab w:val="left" w:pos="1710"/>
        </w:tabs>
        <w:spacing w:after="120" w:line="240" w:lineRule="auto"/>
        <w:ind w:left="2160"/>
        <w:contextualSpacing/>
        <w:jc w:val="both"/>
        <w:rPr>
          <w:rFonts w:ascii="Times New Roman" w:eastAsia="Times New Roman" w:hAnsi="Times New Roman"/>
          <w:kern w:val="0"/>
          <w:sz w:val="12"/>
          <w:szCs w:val="12"/>
          <w:u w:val="single"/>
          <w14:ligatures w14:val="none"/>
        </w:rPr>
      </w:pPr>
    </w:p>
    <w:p w14:paraId="3F2AC3DF" w14:textId="77777777" w:rsidR="00F66FC7" w:rsidRPr="00F66FC7" w:rsidRDefault="00F66FC7" w:rsidP="00F66FC7">
      <w:pPr>
        <w:numPr>
          <w:ilvl w:val="0"/>
          <w:numId w:val="34"/>
        </w:numPr>
        <w:tabs>
          <w:tab w:val="left" w:pos="1710"/>
        </w:tabs>
        <w:spacing w:after="120" w:line="240" w:lineRule="auto"/>
        <w:ind w:hanging="720"/>
        <w:contextualSpacing/>
        <w:jc w:val="both"/>
        <w:rPr>
          <w:rFonts w:ascii="Times New Roman" w:eastAsia="Times New Roman" w:hAnsi="Times New Roman"/>
          <w:kern w:val="0"/>
          <w:sz w:val="28"/>
          <w:szCs w:val="28"/>
          <w:u w:val="single"/>
          <w14:ligatures w14:val="none"/>
        </w:rPr>
      </w:pPr>
      <w:r w:rsidRPr="00F66FC7">
        <w:rPr>
          <w:rFonts w:ascii="Times New Roman" w:eastAsia="Times New Roman" w:hAnsi="Times New Roman"/>
          <w:kern w:val="0"/>
          <w:sz w:val="28"/>
          <w:szCs w:val="28"/>
          <w:u w:val="single"/>
          <w14:ligatures w14:val="none"/>
        </w:rPr>
        <w:t>the date the Court anticipates considering the State’s motion for warrant of execution; and</w:t>
      </w:r>
    </w:p>
    <w:p w14:paraId="66A911A9" w14:textId="77777777" w:rsidR="00F66FC7" w:rsidRPr="00F66FC7" w:rsidRDefault="00F66FC7" w:rsidP="00F66FC7">
      <w:pPr>
        <w:tabs>
          <w:tab w:val="left" w:pos="1710"/>
        </w:tabs>
        <w:spacing w:after="120" w:line="240" w:lineRule="auto"/>
        <w:ind w:left="2160"/>
        <w:contextualSpacing/>
        <w:jc w:val="both"/>
        <w:rPr>
          <w:rFonts w:ascii="Times New Roman" w:eastAsia="Times New Roman" w:hAnsi="Times New Roman"/>
          <w:kern w:val="0"/>
          <w:sz w:val="12"/>
          <w:szCs w:val="12"/>
          <w:u w:val="single"/>
          <w14:ligatures w14:val="none"/>
        </w:rPr>
      </w:pPr>
    </w:p>
    <w:p w14:paraId="7F175D74" w14:textId="77777777" w:rsidR="00F66FC7" w:rsidRPr="00F66FC7" w:rsidRDefault="00F66FC7" w:rsidP="00F66FC7">
      <w:pPr>
        <w:numPr>
          <w:ilvl w:val="0"/>
          <w:numId w:val="34"/>
        </w:numPr>
        <w:tabs>
          <w:tab w:val="left" w:pos="1710"/>
        </w:tabs>
        <w:spacing w:after="120" w:line="240" w:lineRule="auto"/>
        <w:ind w:hanging="720"/>
        <w:contextualSpacing/>
        <w:jc w:val="both"/>
        <w:rPr>
          <w:rFonts w:ascii="Times New Roman" w:eastAsia="Times New Roman" w:hAnsi="Times New Roman"/>
          <w:kern w:val="0"/>
          <w:sz w:val="28"/>
          <w:szCs w:val="28"/>
          <w:u w:val="single"/>
          <w14:ligatures w14:val="none"/>
        </w:rPr>
      </w:pPr>
      <w:r w:rsidRPr="00F66FC7">
        <w:rPr>
          <w:rFonts w:ascii="Times New Roman" w:eastAsia="Times New Roman" w:hAnsi="Times New Roman"/>
          <w:kern w:val="0"/>
          <w:sz w:val="28"/>
          <w:szCs w:val="28"/>
          <w:u w:val="single"/>
          <w14:ligatures w14:val="none"/>
        </w:rPr>
        <w:t>any other orders the Court deems necessary to facilitate the timely filing of the State’s motion for warrant of execution, defendant’s response, and any reply, including specific due dates for third-party responsive pleadings or briefs of amicus curiae regarding the State’s motion.</w:t>
      </w:r>
    </w:p>
    <w:p w14:paraId="3E691BE8" w14:textId="77777777" w:rsidR="00F66FC7" w:rsidRPr="00F66FC7" w:rsidRDefault="00F66FC7" w:rsidP="00F66FC7">
      <w:pPr>
        <w:spacing w:after="0" w:line="240" w:lineRule="auto"/>
        <w:ind w:left="1440"/>
        <w:contextualSpacing/>
        <w:rPr>
          <w:rFonts w:ascii="Times New Roman" w:eastAsia="Times New Roman" w:hAnsi="Times New Roman"/>
          <w:kern w:val="0"/>
          <w:sz w:val="12"/>
          <w:szCs w:val="12"/>
          <w:u w:val="single"/>
          <w14:ligatures w14:val="none"/>
        </w:rPr>
      </w:pPr>
    </w:p>
    <w:p w14:paraId="61607B5B" w14:textId="77777777" w:rsidR="00F66FC7" w:rsidRPr="00F66FC7" w:rsidRDefault="00F66FC7" w:rsidP="00F66FC7">
      <w:pPr>
        <w:numPr>
          <w:ilvl w:val="0"/>
          <w:numId w:val="32"/>
        </w:numPr>
        <w:spacing w:after="0" w:line="240" w:lineRule="auto"/>
        <w:ind w:hanging="720"/>
        <w:contextualSpacing/>
        <w:rPr>
          <w:rFonts w:ascii="Times New Roman" w:eastAsia="Times New Roman" w:hAnsi="Times New Roman"/>
          <w:kern w:val="0"/>
          <w:sz w:val="28"/>
          <w:szCs w:val="28"/>
          <w14:ligatures w14:val="none"/>
        </w:rPr>
      </w:pPr>
      <w:r w:rsidRPr="00F66FC7">
        <w:rPr>
          <w:rFonts w:ascii="Times New Roman" w:eastAsia="Times New Roman" w:hAnsi="Times New Roman"/>
          <w:b/>
          <w:bCs/>
          <w:i/>
          <w:iCs/>
          <w:kern w:val="0"/>
          <w:sz w:val="28"/>
          <w:szCs w:val="28"/>
          <w:u w:val="single"/>
          <w14:ligatures w14:val="none"/>
        </w:rPr>
        <w:t>Other Court Orders.</w:t>
      </w:r>
      <w:r w:rsidRPr="00F66FC7">
        <w:rPr>
          <w:rFonts w:ascii="Times New Roman" w:eastAsia="Times New Roman" w:hAnsi="Times New Roman"/>
          <w:kern w:val="0"/>
          <w:sz w:val="28"/>
          <w:szCs w:val="28"/>
          <w:u w:val="single"/>
          <w14:ligatures w14:val="none"/>
        </w:rPr>
        <w:t xml:space="preserve"> For good cause, the Court may stay, continue, or dismiss a notice, or it may enter other appropriate orders.</w:t>
      </w:r>
    </w:p>
    <w:p w14:paraId="4D69375C" w14:textId="77777777" w:rsidR="00F66FC7" w:rsidRPr="00F66FC7" w:rsidRDefault="00F66FC7" w:rsidP="00F66FC7">
      <w:pPr>
        <w:spacing w:after="0" w:line="240" w:lineRule="auto"/>
        <w:ind w:left="1440"/>
        <w:contextualSpacing/>
        <w:rPr>
          <w:rFonts w:ascii="Times New Roman" w:eastAsia="Times New Roman" w:hAnsi="Times New Roman"/>
          <w:kern w:val="0"/>
          <w:sz w:val="12"/>
          <w:szCs w:val="12"/>
          <w14:ligatures w14:val="none"/>
        </w:rPr>
      </w:pPr>
    </w:p>
    <w:p w14:paraId="587DB470" w14:textId="77777777" w:rsidR="00F66FC7" w:rsidRPr="00F66FC7" w:rsidRDefault="00F66FC7" w:rsidP="00F66FC7">
      <w:pPr>
        <w:spacing w:after="0" w:line="240" w:lineRule="auto"/>
        <w:jc w:val="both"/>
        <w:rPr>
          <w:rFonts w:ascii="Times New Roman" w:eastAsia="Aptos" w:hAnsi="Times New Roman" w:cs="Times New Roman"/>
          <w:b/>
          <w:bCs/>
          <w:sz w:val="28"/>
          <w:szCs w:val="28"/>
        </w:rPr>
      </w:pPr>
      <w:r w:rsidRPr="00F66FC7">
        <w:rPr>
          <w:rFonts w:ascii="Times New Roman" w:eastAsia="Aptos" w:hAnsi="Times New Roman" w:cs="Times New Roman"/>
          <w:b/>
          <w:bCs/>
          <w:strike/>
          <w:sz w:val="28"/>
          <w:szCs w:val="28"/>
        </w:rPr>
        <w:t>(c)</w:t>
      </w:r>
      <w:r w:rsidRPr="00F66FC7">
        <w:rPr>
          <w:rFonts w:ascii="Times New Roman" w:eastAsia="Aptos" w:hAnsi="Times New Roman" w:cs="Times New Roman"/>
          <w:b/>
          <w:bCs/>
          <w:sz w:val="28"/>
          <w:szCs w:val="28"/>
          <w:u w:val="single"/>
        </w:rPr>
        <w:t>(d)</w:t>
      </w:r>
      <w:r w:rsidRPr="00F66FC7">
        <w:rPr>
          <w:rFonts w:ascii="Times New Roman" w:eastAsia="Aptos" w:hAnsi="Times New Roman" w:cs="Times New Roman"/>
          <w:sz w:val="28"/>
          <w:szCs w:val="28"/>
        </w:rPr>
        <w:t xml:space="preserve"> </w:t>
      </w:r>
      <w:r w:rsidRPr="00F66FC7">
        <w:rPr>
          <w:rFonts w:ascii="Times New Roman" w:eastAsia="Aptos" w:hAnsi="Times New Roman" w:cs="Times New Roman"/>
          <w:b/>
          <w:bCs/>
          <w:sz w:val="28"/>
          <w:szCs w:val="28"/>
        </w:rPr>
        <w:t>Date and Time of Execution. [no change]</w:t>
      </w:r>
    </w:p>
    <w:p w14:paraId="69801BBB" w14:textId="77777777" w:rsidR="00F66FC7" w:rsidRPr="00F66FC7" w:rsidRDefault="00F66FC7" w:rsidP="00F66FC7">
      <w:pPr>
        <w:spacing w:after="0" w:line="240" w:lineRule="auto"/>
        <w:jc w:val="both"/>
        <w:rPr>
          <w:rFonts w:ascii="Times New Roman" w:eastAsia="Aptos" w:hAnsi="Times New Roman" w:cs="Times New Roman"/>
          <w:sz w:val="12"/>
          <w:szCs w:val="12"/>
        </w:rPr>
      </w:pPr>
    </w:p>
    <w:p w14:paraId="72B4B61D" w14:textId="77777777" w:rsidR="00F66FC7" w:rsidRPr="00F66FC7" w:rsidRDefault="00F66FC7" w:rsidP="00F66FC7">
      <w:pPr>
        <w:spacing w:after="0" w:line="240" w:lineRule="auto"/>
        <w:jc w:val="both"/>
        <w:rPr>
          <w:rFonts w:ascii="Times New Roman" w:eastAsia="Aptos" w:hAnsi="Times New Roman" w:cs="Times New Roman"/>
          <w:sz w:val="28"/>
          <w:szCs w:val="28"/>
        </w:rPr>
      </w:pPr>
      <w:r w:rsidRPr="00F66FC7">
        <w:rPr>
          <w:rFonts w:ascii="Times New Roman" w:eastAsia="Aptos" w:hAnsi="Times New Roman" w:cs="Times New Roman"/>
          <w:b/>
          <w:bCs/>
          <w:strike/>
          <w:sz w:val="28"/>
          <w:szCs w:val="28"/>
        </w:rPr>
        <w:t>(d)</w:t>
      </w:r>
      <w:r w:rsidRPr="00F66FC7">
        <w:rPr>
          <w:rFonts w:ascii="Times New Roman" w:eastAsia="Aptos" w:hAnsi="Times New Roman" w:cs="Times New Roman"/>
          <w:b/>
          <w:bCs/>
          <w:sz w:val="28"/>
          <w:szCs w:val="28"/>
          <w:u w:val="single"/>
        </w:rPr>
        <w:t>(e)</w:t>
      </w:r>
      <w:r w:rsidRPr="00F66FC7">
        <w:rPr>
          <w:rFonts w:ascii="Times New Roman" w:eastAsia="Aptos" w:hAnsi="Times New Roman" w:cs="Times New Roman"/>
          <w:sz w:val="28"/>
          <w:szCs w:val="28"/>
        </w:rPr>
        <w:t xml:space="preserve"> </w:t>
      </w:r>
      <w:r w:rsidRPr="00F66FC7">
        <w:rPr>
          <w:rFonts w:ascii="Times New Roman" w:eastAsia="Aptos" w:hAnsi="Times New Roman" w:cs="Times New Roman"/>
          <w:b/>
          <w:bCs/>
          <w:sz w:val="28"/>
          <w:szCs w:val="28"/>
        </w:rPr>
        <w:t>Return on Warrant. [no change]</w:t>
      </w:r>
    </w:p>
    <w:p w14:paraId="19BB66EE" w14:textId="77777777" w:rsidR="00F66FC7" w:rsidRPr="00F66FC7" w:rsidRDefault="00F66FC7" w:rsidP="00F66FC7">
      <w:pPr>
        <w:spacing w:after="0" w:line="240" w:lineRule="auto"/>
        <w:rPr>
          <w:rFonts w:ascii="Times New Roman" w:eastAsia="Aptos" w:hAnsi="Times New Roman" w:cs="Times New Roman"/>
          <w:b/>
          <w:bCs/>
          <w:spacing w:val="30"/>
          <w:sz w:val="24"/>
          <w:szCs w:val="24"/>
        </w:rPr>
      </w:pPr>
    </w:p>
    <w:p w14:paraId="45687D9F" w14:textId="77777777" w:rsidR="00F66FC7" w:rsidRPr="00F66FC7" w:rsidRDefault="00F66FC7" w:rsidP="00F66FC7">
      <w:pPr>
        <w:spacing w:after="0" w:line="240" w:lineRule="auto"/>
        <w:jc w:val="center"/>
        <w:rPr>
          <w:rFonts w:ascii="Times New Roman" w:eastAsia="Aptos" w:hAnsi="Times New Roman" w:cs="Times New Roman"/>
          <w:b/>
          <w:bCs/>
          <w:sz w:val="28"/>
          <w:szCs w:val="28"/>
          <w:u w:val="single"/>
        </w:rPr>
      </w:pPr>
      <w:r w:rsidRPr="00F66FC7">
        <w:rPr>
          <w:rFonts w:ascii="Times New Roman" w:eastAsia="Aptos" w:hAnsi="Times New Roman" w:cs="Times New Roman"/>
          <w:b/>
          <w:bCs/>
          <w:sz w:val="28"/>
          <w:szCs w:val="28"/>
          <w:u w:val="single"/>
        </w:rPr>
        <w:t>Comment to 2026 Amendment</w:t>
      </w:r>
    </w:p>
    <w:p w14:paraId="54A80956" w14:textId="77777777" w:rsidR="00F66FC7" w:rsidRPr="00F66FC7" w:rsidRDefault="00F66FC7" w:rsidP="00F66FC7">
      <w:pPr>
        <w:spacing w:after="0" w:line="240" w:lineRule="auto"/>
        <w:jc w:val="center"/>
        <w:rPr>
          <w:rFonts w:ascii="Times New Roman" w:eastAsia="Aptos" w:hAnsi="Times New Roman" w:cs="Times New Roman"/>
          <w:b/>
          <w:bCs/>
          <w:sz w:val="12"/>
          <w:szCs w:val="12"/>
          <w:u w:val="single"/>
        </w:rPr>
      </w:pPr>
    </w:p>
    <w:p w14:paraId="66CF9696" w14:textId="77777777" w:rsidR="00F66FC7" w:rsidRDefault="00F66FC7" w:rsidP="00F66FC7">
      <w:pPr>
        <w:spacing w:after="0" w:line="240" w:lineRule="auto"/>
        <w:jc w:val="both"/>
        <w:rPr>
          <w:rFonts w:ascii="Times New Roman" w:eastAsia="Aptos" w:hAnsi="Times New Roman" w:cs="Times New Roman"/>
          <w:sz w:val="28"/>
          <w:szCs w:val="28"/>
          <w:u w:val="single"/>
        </w:rPr>
        <w:sectPr w:rsidR="00F66FC7">
          <w:pgSz w:w="12240" w:h="15840"/>
          <w:pgMar w:top="1440" w:right="1440" w:bottom="1440" w:left="1440" w:header="720" w:footer="720" w:gutter="0"/>
          <w:cols w:space="720"/>
          <w:docGrid w:linePitch="360"/>
        </w:sectPr>
      </w:pPr>
      <w:r w:rsidRPr="00F66FC7">
        <w:rPr>
          <w:rFonts w:ascii="Times New Roman" w:eastAsia="Aptos" w:hAnsi="Times New Roman" w:cs="Times New Roman"/>
          <w:sz w:val="28"/>
          <w:szCs w:val="28"/>
          <w:u w:val="single"/>
        </w:rPr>
        <w:t xml:space="preserve">The Court has historically set executions on a Wednesday. If that is not feasible, the setting is on a Thursday, or alternatively, on a Tuesday. However, the Court is not limited to those days. The State should use these days of the week, if possible, when providing the Court dates under (c).  </w:t>
      </w:r>
    </w:p>
    <w:p w14:paraId="4642E6CE" w14:textId="53C015A8" w:rsidR="00F66FC7" w:rsidRPr="00F66FC7" w:rsidRDefault="00F66FC7" w:rsidP="00F66FC7">
      <w:pPr>
        <w:spacing w:after="0" w:line="240" w:lineRule="auto"/>
        <w:ind w:left="720" w:hanging="720"/>
        <w:jc w:val="center"/>
        <w:rPr>
          <w:rFonts w:ascii="Times New Roman" w:eastAsia="Aptos" w:hAnsi="Times New Roman" w:cs="Times New Roman"/>
          <w:b/>
          <w:bCs/>
          <w:sz w:val="28"/>
          <w:szCs w:val="28"/>
          <w:u w:val="single"/>
        </w:rPr>
      </w:pPr>
      <w:r w:rsidRPr="00F66FC7">
        <w:rPr>
          <w:rFonts w:ascii="Times New Roman" w:eastAsia="Aptos" w:hAnsi="Times New Roman" w:cs="Times New Roman"/>
          <w:b/>
          <w:bCs/>
          <w:sz w:val="28"/>
          <w:szCs w:val="28"/>
          <w:u w:val="single"/>
        </w:rPr>
        <w:t xml:space="preserve">Exhibit </w:t>
      </w:r>
      <w:r>
        <w:rPr>
          <w:rFonts w:ascii="Times New Roman" w:eastAsia="Aptos" w:hAnsi="Times New Roman" w:cs="Times New Roman"/>
          <w:b/>
          <w:bCs/>
          <w:sz w:val="28"/>
          <w:szCs w:val="28"/>
          <w:u w:val="single"/>
        </w:rPr>
        <w:t>B</w:t>
      </w:r>
      <w:r w:rsidRPr="00F66FC7">
        <w:rPr>
          <w:rFonts w:ascii="Times New Roman" w:eastAsia="Aptos" w:hAnsi="Times New Roman" w:cs="Times New Roman"/>
          <w:b/>
          <w:bCs/>
          <w:sz w:val="28"/>
          <w:szCs w:val="28"/>
          <w:u w:val="single"/>
        </w:rPr>
        <w:t xml:space="preserve">: </w:t>
      </w:r>
      <w:r>
        <w:rPr>
          <w:rFonts w:ascii="Times New Roman" w:eastAsia="Aptos" w:hAnsi="Times New Roman" w:cs="Times New Roman"/>
          <w:b/>
          <w:bCs/>
          <w:sz w:val="28"/>
          <w:szCs w:val="28"/>
          <w:u w:val="single"/>
        </w:rPr>
        <w:t>Clean</w:t>
      </w:r>
      <w:r w:rsidRPr="00F66FC7">
        <w:rPr>
          <w:rFonts w:ascii="Times New Roman" w:eastAsia="Aptos" w:hAnsi="Times New Roman" w:cs="Times New Roman"/>
          <w:b/>
          <w:bCs/>
          <w:sz w:val="28"/>
          <w:szCs w:val="28"/>
          <w:u w:val="single"/>
        </w:rPr>
        <w:t xml:space="preserve"> Version</w:t>
      </w:r>
    </w:p>
    <w:p w14:paraId="0F9D36A5" w14:textId="77777777" w:rsidR="00F66FC7" w:rsidRPr="00F66FC7" w:rsidRDefault="00F66FC7" w:rsidP="00F66FC7">
      <w:pPr>
        <w:spacing w:after="0" w:line="240" w:lineRule="auto"/>
        <w:ind w:left="720" w:hanging="720"/>
        <w:jc w:val="center"/>
        <w:rPr>
          <w:rFonts w:ascii="Times New Roman" w:eastAsia="Aptos" w:hAnsi="Times New Roman" w:cs="Times New Roman"/>
          <w:b/>
          <w:bCs/>
          <w:sz w:val="24"/>
          <w:szCs w:val="24"/>
          <w:u w:val="single"/>
        </w:rPr>
      </w:pPr>
    </w:p>
    <w:p w14:paraId="1D460833" w14:textId="77777777" w:rsidR="00F66FC7" w:rsidRPr="00F66FC7" w:rsidRDefault="00F66FC7" w:rsidP="00F66FC7">
      <w:pPr>
        <w:spacing w:after="0" w:line="240" w:lineRule="auto"/>
        <w:ind w:left="720" w:hanging="720"/>
        <w:rPr>
          <w:rFonts w:ascii="Times New Roman" w:eastAsia="Aptos" w:hAnsi="Times New Roman" w:cs="Times New Roman"/>
          <w:b/>
          <w:bCs/>
          <w:sz w:val="28"/>
          <w:szCs w:val="28"/>
        </w:rPr>
      </w:pPr>
      <w:r w:rsidRPr="00F66FC7">
        <w:rPr>
          <w:rFonts w:ascii="Times New Roman" w:eastAsia="Aptos" w:hAnsi="Times New Roman" w:cs="Times New Roman"/>
          <w:b/>
          <w:bCs/>
          <w:sz w:val="28"/>
          <w:szCs w:val="28"/>
        </w:rPr>
        <w:t>Rule 31.23. Warrant of Execution</w:t>
      </w:r>
    </w:p>
    <w:p w14:paraId="22B53F1B" w14:textId="77777777" w:rsidR="00F66FC7" w:rsidRPr="00F66FC7" w:rsidRDefault="00F66FC7" w:rsidP="00F66FC7">
      <w:pPr>
        <w:spacing w:after="0" w:line="240" w:lineRule="auto"/>
        <w:ind w:left="720" w:hanging="720"/>
        <w:rPr>
          <w:rFonts w:ascii="Times New Roman" w:eastAsia="Aptos" w:hAnsi="Times New Roman" w:cs="Times New Roman"/>
          <w:b/>
          <w:bCs/>
          <w:sz w:val="12"/>
          <w:szCs w:val="12"/>
        </w:rPr>
      </w:pPr>
    </w:p>
    <w:p w14:paraId="1E42B997" w14:textId="77777777" w:rsidR="00F66FC7" w:rsidRPr="00F66FC7" w:rsidRDefault="00F66FC7" w:rsidP="00F66FC7">
      <w:pPr>
        <w:numPr>
          <w:ilvl w:val="0"/>
          <w:numId w:val="36"/>
        </w:numPr>
        <w:spacing w:after="120" w:line="240" w:lineRule="auto"/>
        <w:ind w:hanging="720"/>
        <w:contextualSpacing/>
        <w:rPr>
          <w:rFonts w:ascii="Times New Roman" w:hAnsi="Times New Roman"/>
          <w:b/>
          <w:bCs/>
          <w:sz w:val="28"/>
          <w:szCs w:val="28"/>
        </w:rPr>
      </w:pPr>
      <w:r w:rsidRPr="00F66FC7">
        <w:rPr>
          <w:rFonts w:ascii="Times New Roman" w:hAnsi="Times New Roman"/>
          <w:b/>
          <w:bCs/>
          <w:sz w:val="28"/>
          <w:szCs w:val="28"/>
        </w:rPr>
        <w:t>Issuance of Warrant. [no change]</w:t>
      </w:r>
    </w:p>
    <w:p w14:paraId="00D693FA" w14:textId="77777777" w:rsidR="00F66FC7" w:rsidRPr="00F66FC7" w:rsidRDefault="00F66FC7" w:rsidP="00F66FC7">
      <w:pPr>
        <w:spacing w:after="120" w:line="240" w:lineRule="auto"/>
        <w:ind w:left="720"/>
        <w:contextualSpacing/>
        <w:rPr>
          <w:rFonts w:ascii="Times New Roman" w:hAnsi="Times New Roman"/>
          <w:b/>
          <w:bCs/>
          <w:sz w:val="12"/>
          <w:szCs w:val="12"/>
        </w:rPr>
      </w:pPr>
    </w:p>
    <w:p w14:paraId="42F78130" w14:textId="77777777" w:rsidR="00F66FC7" w:rsidRPr="00F66FC7" w:rsidRDefault="00F66FC7" w:rsidP="00F66FC7">
      <w:pPr>
        <w:numPr>
          <w:ilvl w:val="0"/>
          <w:numId w:val="36"/>
        </w:numPr>
        <w:spacing w:after="120" w:line="240" w:lineRule="auto"/>
        <w:ind w:hanging="720"/>
        <w:contextualSpacing/>
        <w:rPr>
          <w:rFonts w:ascii="Times New Roman" w:hAnsi="Times New Roman"/>
          <w:b/>
          <w:bCs/>
          <w:sz w:val="28"/>
          <w:szCs w:val="28"/>
        </w:rPr>
      </w:pPr>
      <w:r w:rsidRPr="00F66FC7">
        <w:rPr>
          <w:rFonts w:ascii="Times New Roman" w:hAnsi="Times New Roman"/>
          <w:b/>
          <w:bCs/>
          <w:sz w:val="28"/>
          <w:szCs w:val="28"/>
        </w:rPr>
        <w:t>Post-Habeas Warrant. [no change]</w:t>
      </w:r>
    </w:p>
    <w:p w14:paraId="2C23DE17" w14:textId="77777777" w:rsidR="00F66FC7" w:rsidRPr="00F66FC7" w:rsidRDefault="00F66FC7" w:rsidP="00F66FC7">
      <w:pPr>
        <w:spacing w:after="120" w:line="240" w:lineRule="auto"/>
        <w:ind w:left="720"/>
        <w:contextualSpacing/>
        <w:jc w:val="both"/>
        <w:rPr>
          <w:rFonts w:ascii="Times New Roman" w:eastAsia="Times New Roman" w:hAnsi="Times New Roman"/>
          <w:kern w:val="0"/>
          <w:sz w:val="12"/>
          <w:szCs w:val="12"/>
          <w:u w:val="single"/>
          <w14:ligatures w14:val="none"/>
        </w:rPr>
      </w:pPr>
    </w:p>
    <w:p w14:paraId="770BDA84" w14:textId="77777777" w:rsidR="00F66FC7" w:rsidRPr="00F66FC7" w:rsidRDefault="00F66FC7" w:rsidP="00F66FC7">
      <w:pPr>
        <w:numPr>
          <w:ilvl w:val="0"/>
          <w:numId w:val="37"/>
        </w:numPr>
        <w:spacing w:after="120" w:line="240" w:lineRule="auto"/>
        <w:ind w:hanging="720"/>
        <w:contextualSpacing/>
        <w:jc w:val="both"/>
        <w:rPr>
          <w:rFonts w:ascii="Times New Roman" w:eastAsia="Times New Roman" w:hAnsi="Times New Roman"/>
          <w:kern w:val="0"/>
          <w:sz w:val="28"/>
          <w:szCs w:val="28"/>
          <w14:ligatures w14:val="none"/>
        </w:rPr>
      </w:pPr>
      <w:r w:rsidRPr="00F66FC7">
        <w:rPr>
          <w:rFonts w:ascii="Times New Roman" w:eastAsia="Times New Roman" w:hAnsi="Times New Roman"/>
          <w:b/>
          <w:kern w:val="0"/>
          <w:sz w:val="28"/>
          <w:szCs w:val="28"/>
          <w14:ligatures w14:val="none"/>
        </w:rPr>
        <w:t>Notice of Motion for Warrant of Execution.</w:t>
      </w:r>
    </w:p>
    <w:p w14:paraId="1CCAE2B5" w14:textId="77777777" w:rsidR="00F66FC7" w:rsidRPr="00F66FC7" w:rsidRDefault="00F66FC7" w:rsidP="00F66FC7">
      <w:pPr>
        <w:spacing w:after="120" w:line="240" w:lineRule="auto"/>
        <w:ind w:left="720"/>
        <w:contextualSpacing/>
        <w:jc w:val="both"/>
        <w:rPr>
          <w:rFonts w:ascii="Times New Roman" w:eastAsia="Times New Roman" w:hAnsi="Times New Roman"/>
          <w:kern w:val="0"/>
          <w:sz w:val="12"/>
          <w:szCs w:val="12"/>
          <w14:ligatures w14:val="none"/>
        </w:rPr>
      </w:pPr>
    </w:p>
    <w:p w14:paraId="2E67EAD5" w14:textId="77777777" w:rsidR="00F66FC7" w:rsidRPr="00F66FC7" w:rsidRDefault="00F66FC7" w:rsidP="00F66FC7">
      <w:pPr>
        <w:numPr>
          <w:ilvl w:val="0"/>
          <w:numId w:val="38"/>
        </w:numPr>
        <w:spacing w:after="120" w:line="240" w:lineRule="auto"/>
        <w:ind w:hanging="720"/>
        <w:contextualSpacing/>
        <w:jc w:val="both"/>
        <w:rPr>
          <w:rFonts w:ascii="Times New Roman" w:eastAsia="Times New Roman" w:hAnsi="Times New Roman"/>
          <w:kern w:val="0"/>
          <w:sz w:val="28"/>
          <w:szCs w:val="28"/>
          <w14:ligatures w14:val="none"/>
        </w:rPr>
      </w:pPr>
      <w:r w:rsidRPr="00F66FC7">
        <w:rPr>
          <w:rFonts w:ascii="Times New Roman" w:eastAsia="Times New Roman" w:hAnsi="Times New Roman"/>
          <w:b/>
          <w:bCs/>
          <w:i/>
          <w:iCs/>
          <w:kern w:val="0"/>
          <w:sz w:val="28"/>
          <w:szCs w:val="28"/>
          <w14:ligatures w14:val="none"/>
        </w:rPr>
        <w:t>Purpose of the Notice.</w:t>
      </w:r>
      <w:r w:rsidRPr="00F66FC7">
        <w:rPr>
          <w:rFonts w:ascii="Times New Roman" w:eastAsia="Times New Roman" w:hAnsi="Times New Roman"/>
          <w:kern w:val="0"/>
          <w:sz w:val="28"/>
          <w:szCs w:val="28"/>
          <w14:ligatures w14:val="none"/>
        </w:rPr>
        <w:t xml:space="preserve">  If the State requires a specific timeline for the Court’s consideration of a motion for warrant of execution, then before filing the motion, the State must file with the Court a notice advising of the State’s plan to file the motion. </w:t>
      </w:r>
    </w:p>
    <w:p w14:paraId="63A8C63E" w14:textId="77777777" w:rsidR="00F66FC7" w:rsidRPr="00F66FC7" w:rsidRDefault="00F66FC7" w:rsidP="00F66FC7">
      <w:pPr>
        <w:spacing w:after="120" w:line="240" w:lineRule="auto"/>
        <w:ind w:left="1440"/>
        <w:contextualSpacing/>
        <w:jc w:val="both"/>
        <w:rPr>
          <w:rFonts w:ascii="Times New Roman" w:eastAsia="Times New Roman" w:hAnsi="Times New Roman"/>
          <w:kern w:val="0"/>
          <w:sz w:val="12"/>
          <w:szCs w:val="12"/>
          <w14:ligatures w14:val="none"/>
        </w:rPr>
      </w:pPr>
    </w:p>
    <w:p w14:paraId="5CCA22B2" w14:textId="77777777" w:rsidR="00F66FC7" w:rsidRPr="00F66FC7" w:rsidRDefault="00F66FC7" w:rsidP="00F66FC7">
      <w:pPr>
        <w:numPr>
          <w:ilvl w:val="0"/>
          <w:numId w:val="38"/>
        </w:numPr>
        <w:spacing w:after="120" w:line="240" w:lineRule="auto"/>
        <w:ind w:hanging="720"/>
        <w:contextualSpacing/>
        <w:jc w:val="both"/>
        <w:rPr>
          <w:rFonts w:ascii="Times New Roman" w:eastAsia="Times New Roman" w:hAnsi="Times New Roman"/>
          <w:kern w:val="0"/>
          <w:sz w:val="28"/>
          <w:szCs w:val="28"/>
          <w14:ligatures w14:val="none"/>
        </w:rPr>
      </w:pPr>
      <w:r w:rsidRPr="00F66FC7">
        <w:rPr>
          <w:rFonts w:ascii="Times New Roman" w:eastAsia="Times New Roman" w:hAnsi="Times New Roman"/>
          <w:b/>
          <w:bCs/>
          <w:i/>
          <w:iCs/>
          <w:kern w:val="0"/>
          <w:sz w:val="28"/>
          <w:szCs w:val="28"/>
          <w14:ligatures w14:val="none"/>
        </w:rPr>
        <w:t>Content of the Notice.</w:t>
      </w:r>
      <w:r w:rsidRPr="00F66FC7">
        <w:rPr>
          <w:rFonts w:ascii="Times New Roman" w:eastAsia="Times New Roman" w:hAnsi="Times New Roman"/>
          <w:kern w:val="0"/>
          <w:sz w:val="28"/>
          <w:szCs w:val="28"/>
          <w14:ligatures w14:val="none"/>
        </w:rPr>
        <w:t xml:space="preserve"> The notice must include as an attachment a copy of the State’s planned motion for warrant of execution. The notice also must include a specific date—not less than 35 calendar days after the notice filing date—that the State plans to file its motion. The notice must also include any currently known dates between 90 and 120 days after the notice filing date that would not be feasible for the Arizona Department of Corrections, Rehabilitation, and Reentry to execute the Court’s warrant. </w:t>
      </w:r>
    </w:p>
    <w:p w14:paraId="51A1EF43" w14:textId="77777777" w:rsidR="00F66FC7" w:rsidRPr="00F66FC7" w:rsidRDefault="00F66FC7" w:rsidP="00F66FC7">
      <w:pPr>
        <w:spacing w:after="120" w:line="240" w:lineRule="auto"/>
        <w:ind w:left="1440"/>
        <w:contextualSpacing/>
        <w:jc w:val="both"/>
        <w:rPr>
          <w:rFonts w:ascii="Times New Roman" w:eastAsia="Times New Roman" w:hAnsi="Times New Roman"/>
          <w:kern w:val="0"/>
          <w:sz w:val="12"/>
          <w:szCs w:val="12"/>
          <w14:ligatures w14:val="none"/>
        </w:rPr>
      </w:pPr>
    </w:p>
    <w:p w14:paraId="4C64CD0F" w14:textId="77777777" w:rsidR="00F66FC7" w:rsidRPr="00F66FC7" w:rsidRDefault="00F66FC7" w:rsidP="00F66FC7">
      <w:pPr>
        <w:numPr>
          <w:ilvl w:val="0"/>
          <w:numId w:val="38"/>
        </w:numPr>
        <w:spacing w:after="120" w:line="240" w:lineRule="auto"/>
        <w:ind w:hanging="720"/>
        <w:contextualSpacing/>
        <w:jc w:val="both"/>
        <w:rPr>
          <w:rFonts w:ascii="Times New Roman" w:eastAsia="Times New Roman" w:hAnsi="Times New Roman"/>
          <w:kern w:val="0"/>
          <w:sz w:val="28"/>
          <w:szCs w:val="28"/>
          <w14:ligatures w14:val="none"/>
        </w:rPr>
      </w:pPr>
      <w:r w:rsidRPr="00F66FC7">
        <w:rPr>
          <w:rFonts w:ascii="Times New Roman" w:eastAsia="Times New Roman" w:hAnsi="Times New Roman"/>
          <w:b/>
          <w:bCs/>
          <w:i/>
          <w:iCs/>
          <w:kern w:val="0"/>
          <w:sz w:val="28"/>
          <w:szCs w:val="28"/>
          <w14:ligatures w14:val="none"/>
        </w:rPr>
        <w:t>Service of the Notice.</w:t>
      </w:r>
      <w:r w:rsidRPr="00F66FC7">
        <w:rPr>
          <w:rFonts w:ascii="Times New Roman" w:eastAsia="Times New Roman" w:hAnsi="Times New Roman"/>
          <w:kern w:val="0"/>
          <w:sz w:val="28"/>
          <w:szCs w:val="28"/>
          <w14:ligatures w14:val="none"/>
        </w:rPr>
        <w:t xml:space="preserve">  The State must serve the notice as provided in Rule 31.6(c). The State must indicate it has complied with victims’ rights. </w:t>
      </w:r>
    </w:p>
    <w:p w14:paraId="521B8B9E" w14:textId="77777777" w:rsidR="00F66FC7" w:rsidRPr="00F66FC7" w:rsidRDefault="00F66FC7" w:rsidP="00F66FC7">
      <w:pPr>
        <w:spacing w:after="120" w:line="240" w:lineRule="auto"/>
        <w:ind w:left="1440"/>
        <w:contextualSpacing/>
        <w:jc w:val="both"/>
        <w:rPr>
          <w:rFonts w:ascii="Times New Roman" w:eastAsia="Times New Roman" w:hAnsi="Times New Roman"/>
          <w:kern w:val="0"/>
          <w:sz w:val="12"/>
          <w:szCs w:val="12"/>
          <w14:ligatures w14:val="none"/>
        </w:rPr>
      </w:pPr>
    </w:p>
    <w:p w14:paraId="05C81E12" w14:textId="77777777" w:rsidR="00F66FC7" w:rsidRPr="00F66FC7" w:rsidRDefault="00F66FC7" w:rsidP="00F66FC7">
      <w:pPr>
        <w:numPr>
          <w:ilvl w:val="0"/>
          <w:numId w:val="38"/>
        </w:numPr>
        <w:spacing w:after="120" w:line="240" w:lineRule="auto"/>
        <w:ind w:hanging="720"/>
        <w:contextualSpacing/>
        <w:jc w:val="both"/>
        <w:rPr>
          <w:rFonts w:ascii="Times New Roman" w:eastAsia="Times New Roman" w:hAnsi="Times New Roman"/>
          <w:kern w:val="0"/>
          <w:sz w:val="28"/>
          <w:szCs w:val="28"/>
          <w14:ligatures w14:val="none"/>
        </w:rPr>
      </w:pPr>
      <w:r w:rsidRPr="00F66FC7">
        <w:rPr>
          <w:rFonts w:ascii="Times New Roman" w:eastAsia="Times New Roman" w:hAnsi="Times New Roman"/>
          <w:b/>
          <w:bCs/>
          <w:i/>
          <w:iCs/>
          <w:kern w:val="0"/>
          <w:sz w:val="28"/>
          <w:szCs w:val="28"/>
          <w14:ligatures w14:val="none"/>
        </w:rPr>
        <w:t xml:space="preserve">Response and </w:t>
      </w:r>
      <w:proofErr w:type="gramStart"/>
      <w:r w:rsidRPr="00F66FC7">
        <w:rPr>
          <w:rFonts w:ascii="Times New Roman" w:eastAsia="Times New Roman" w:hAnsi="Times New Roman"/>
          <w:b/>
          <w:bCs/>
          <w:i/>
          <w:iCs/>
          <w:kern w:val="0"/>
          <w:sz w:val="28"/>
          <w:szCs w:val="28"/>
          <w14:ligatures w14:val="none"/>
        </w:rPr>
        <w:t>Replies</w:t>
      </w:r>
      <w:proofErr w:type="gramEnd"/>
      <w:r w:rsidRPr="00F66FC7">
        <w:rPr>
          <w:rFonts w:ascii="Times New Roman" w:eastAsia="Times New Roman" w:hAnsi="Times New Roman"/>
          <w:b/>
          <w:bCs/>
          <w:i/>
          <w:iCs/>
          <w:kern w:val="0"/>
          <w:sz w:val="28"/>
          <w:szCs w:val="28"/>
          <w14:ligatures w14:val="none"/>
        </w:rPr>
        <w:t>.</w:t>
      </w:r>
      <w:r w:rsidRPr="00F66FC7">
        <w:rPr>
          <w:rFonts w:ascii="Times New Roman" w:eastAsia="Times New Roman" w:hAnsi="Times New Roman"/>
          <w:kern w:val="0"/>
          <w:sz w:val="28"/>
          <w:szCs w:val="28"/>
          <w14:ligatures w14:val="none"/>
        </w:rPr>
        <w:t xml:space="preserve"> After the State files and serves a notice:</w:t>
      </w:r>
    </w:p>
    <w:p w14:paraId="69363AB4" w14:textId="77777777" w:rsidR="00F66FC7" w:rsidRPr="00F66FC7" w:rsidRDefault="00F66FC7" w:rsidP="00F66FC7">
      <w:pPr>
        <w:spacing w:after="120" w:line="240" w:lineRule="auto"/>
        <w:ind w:left="1440"/>
        <w:contextualSpacing/>
        <w:jc w:val="both"/>
        <w:rPr>
          <w:rFonts w:ascii="Times New Roman" w:eastAsia="Times New Roman" w:hAnsi="Times New Roman"/>
          <w:b/>
          <w:bCs/>
          <w:i/>
          <w:iCs/>
          <w:kern w:val="0"/>
          <w:sz w:val="12"/>
          <w:szCs w:val="12"/>
          <w14:ligatures w14:val="none"/>
        </w:rPr>
      </w:pPr>
    </w:p>
    <w:p w14:paraId="607704FF" w14:textId="77777777" w:rsidR="00F66FC7" w:rsidRPr="00F66FC7" w:rsidRDefault="00F66FC7" w:rsidP="00F66FC7">
      <w:pPr>
        <w:numPr>
          <w:ilvl w:val="0"/>
          <w:numId w:val="39"/>
        </w:numPr>
        <w:spacing w:after="120" w:line="240" w:lineRule="auto"/>
        <w:ind w:left="2160" w:hanging="720"/>
        <w:contextualSpacing/>
        <w:jc w:val="both"/>
        <w:rPr>
          <w:rFonts w:ascii="Times New Roman" w:eastAsia="Times New Roman" w:hAnsi="Times New Roman"/>
          <w:kern w:val="0"/>
          <w:sz w:val="28"/>
          <w:szCs w:val="28"/>
          <w14:ligatures w14:val="none"/>
        </w:rPr>
      </w:pPr>
      <w:r w:rsidRPr="00F66FC7">
        <w:rPr>
          <w:rFonts w:ascii="Times New Roman" w:eastAsia="Times New Roman" w:hAnsi="Times New Roman"/>
          <w:kern w:val="0"/>
          <w:sz w:val="28"/>
          <w:szCs w:val="28"/>
          <w14:ligatures w14:val="none"/>
        </w:rPr>
        <w:t>the defendant, no later than 14 days after service, may file a response informing the Court of the defendant’s position regarding only the content of the State’s notice and the specific orders the Court may enter under (c)(5) and (c)(6); and</w:t>
      </w:r>
    </w:p>
    <w:p w14:paraId="5107A345" w14:textId="77777777" w:rsidR="00F66FC7" w:rsidRPr="00F66FC7" w:rsidRDefault="00F66FC7" w:rsidP="00F66FC7">
      <w:pPr>
        <w:spacing w:after="120" w:line="240" w:lineRule="auto"/>
        <w:ind w:left="2160"/>
        <w:contextualSpacing/>
        <w:jc w:val="both"/>
        <w:rPr>
          <w:rFonts w:ascii="Times New Roman" w:eastAsia="Times New Roman" w:hAnsi="Times New Roman"/>
          <w:kern w:val="0"/>
          <w:sz w:val="12"/>
          <w:szCs w:val="12"/>
          <w14:ligatures w14:val="none"/>
        </w:rPr>
      </w:pPr>
    </w:p>
    <w:p w14:paraId="2D0F78D7" w14:textId="77777777" w:rsidR="00F66FC7" w:rsidRPr="00F66FC7" w:rsidRDefault="00F66FC7" w:rsidP="00F66FC7">
      <w:pPr>
        <w:numPr>
          <w:ilvl w:val="0"/>
          <w:numId w:val="39"/>
        </w:numPr>
        <w:spacing w:after="120" w:line="240" w:lineRule="auto"/>
        <w:ind w:left="2160" w:hanging="720"/>
        <w:contextualSpacing/>
        <w:jc w:val="both"/>
        <w:rPr>
          <w:rFonts w:ascii="Times New Roman" w:eastAsia="Times New Roman" w:hAnsi="Times New Roman"/>
          <w:kern w:val="0"/>
          <w:sz w:val="28"/>
          <w:szCs w:val="28"/>
          <w14:ligatures w14:val="none"/>
        </w:rPr>
      </w:pPr>
      <w:r w:rsidRPr="00F66FC7">
        <w:rPr>
          <w:rFonts w:ascii="Times New Roman" w:eastAsia="Times New Roman" w:hAnsi="Times New Roman"/>
          <w:kern w:val="0"/>
          <w:sz w:val="28"/>
          <w:szCs w:val="28"/>
          <w14:ligatures w14:val="none"/>
        </w:rPr>
        <w:t>the State and the crime victim may file separate replies to the defendant’s response no later than 7 calendar days after service of the response.  The replies may address only the specific issues raised in the defendant’s response.</w:t>
      </w:r>
    </w:p>
    <w:p w14:paraId="459BA3BA" w14:textId="77777777" w:rsidR="00F66FC7" w:rsidRPr="00F66FC7" w:rsidRDefault="00F66FC7" w:rsidP="00F66FC7">
      <w:pPr>
        <w:spacing w:after="120" w:line="240" w:lineRule="auto"/>
        <w:ind w:left="1440"/>
        <w:contextualSpacing/>
        <w:jc w:val="both"/>
        <w:rPr>
          <w:rFonts w:ascii="Times New Roman" w:eastAsia="Times New Roman" w:hAnsi="Times New Roman"/>
          <w:kern w:val="0"/>
          <w:sz w:val="12"/>
          <w:szCs w:val="12"/>
          <w14:ligatures w14:val="none"/>
        </w:rPr>
      </w:pPr>
    </w:p>
    <w:p w14:paraId="7EE4E551" w14:textId="77777777" w:rsidR="00F66FC7" w:rsidRPr="00F66FC7" w:rsidRDefault="00F66FC7" w:rsidP="00F66FC7">
      <w:pPr>
        <w:numPr>
          <w:ilvl w:val="0"/>
          <w:numId w:val="38"/>
        </w:numPr>
        <w:spacing w:after="120" w:line="240" w:lineRule="auto"/>
        <w:ind w:hanging="720"/>
        <w:contextualSpacing/>
        <w:jc w:val="both"/>
        <w:rPr>
          <w:rFonts w:ascii="Times New Roman" w:eastAsia="Times New Roman" w:hAnsi="Times New Roman"/>
          <w:kern w:val="0"/>
          <w:sz w:val="28"/>
          <w:szCs w:val="28"/>
          <w14:ligatures w14:val="none"/>
        </w:rPr>
      </w:pPr>
      <w:r w:rsidRPr="00F66FC7">
        <w:rPr>
          <w:rFonts w:ascii="Times New Roman" w:eastAsia="Times New Roman" w:hAnsi="Times New Roman"/>
          <w:b/>
          <w:bCs/>
          <w:i/>
          <w:iCs/>
          <w:kern w:val="0"/>
          <w:sz w:val="28"/>
          <w:szCs w:val="28"/>
          <w14:ligatures w14:val="none"/>
        </w:rPr>
        <w:t>Court Order.</w:t>
      </w:r>
      <w:r w:rsidRPr="00F66FC7">
        <w:rPr>
          <w:rFonts w:ascii="Times New Roman" w:eastAsia="Times New Roman" w:hAnsi="Times New Roman"/>
          <w:kern w:val="0"/>
          <w:sz w:val="28"/>
          <w:szCs w:val="28"/>
          <w14:ligatures w14:val="none"/>
        </w:rPr>
        <w:t xml:space="preserve"> Not less than 15 calendar days, if no response is filed, but otherwise not more than 35 calendar days after the State filed the notice under (c)(2), the Court must enter an order stating: </w:t>
      </w:r>
    </w:p>
    <w:p w14:paraId="2E3E50F5" w14:textId="77777777" w:rsidR="00F66FC7" w:rsidRPr="00F66FC7" w:rsidRDefault="00F66FC7" w:rsidP="00F66FC7">
      <w:pPr>
        <w:spacing w:after="120" w:line="240" w:lineRule="auto"/>
        <w:ind w:left="1440"/>
        <w:contextualSpacing/>
        <w:jc w:val="both"/>
        <w:rPr>
          <w:rFonts w:ascii="Times New Roman" w:eastAsia="Times New Roman" w:hAnsi="Times New Roman"/>
          <w:kern w:val="0"/>
          <w:sz w:val="12"/>
          <w:szCs w:val="12"/>
          <w14:ligatures w14:val="none"/>
        </w:rPr>
      </w:pPr>
    </w:p>
    <w:p w14:paraId="27B49CA6" w14:textId="77777777" w:rsidR="00F66FC7" w:rsidRPr="00F66FC7" w:rsidRDefault="00F66FC7" w:rsidP="00F66FC7">
      <w:pPr>
        <w:numPr>
          <w:ilvl w:val="0"/>
          <w:numId w:val="40"/>
        </w:numPr>
        <w:tabs>
          <w:tab w:val="left" w:pos="1710"/>
        </w:tabs>
        <w:spacing w:after="120" w:line="240" w:lineRule="auto"/>
        <w:ind w:hanging="720"/>
        <w:contextualSpacing/>
        <w:jc w:val="both"/>
        <w:rPr>
          <w:rFonts w:ascii="Times New Roman" w:eastAsia="Times New Roman" w:hAnsi="Times New Roman"/>
          <w:kern w:val="0"/>
          <w:sz w:val="28"/>
          <w:szCs w:val="28"/>
          <w14:ligatures w14:val="none"/>
        </w:rPr>
      </w:pPr>
      <w:r w:rsidRPr="00F66FC7">
        <w:rPr>
          <w:rFonts w:ascii="Times New Roman" w:eastAsia="Times New Roman" w:hAnsi="Times New Roman"/>
          <w:kern w:val="0"/>
          <w:sz w:val="28"/>
          <w:szCs w:val="28"/>
          <w14:ligatures w14:val="none"/>
        </w:rPr>
        <w:t xml:space="preserve">the date on which the State must file its motion for warrant of </w:t>
      </w:r>
      <w:proofErr w:type="gramStart"/>
      <w:r w:rsidRPr="00F66FC7">
        <w:rPr>
          <w:rFonts w:ascii="Times New Roman" w:eastAsia="Times New Roman" w:hAnsi="Times New Roman"/>
          <w:kern w:val="0"/>
          <w:sz w:val="28"/>
          <w:szCs w:val="28"/>
          <w14:ligatures w14:val="none"/>
        </w:rPr>
        <w:t>execution;</w:t>
      </w:r>
      <w:proofErr w:type="gramEnd"/>
    </w:p>
    <w:p w14:paraId="56EA5762" w14:textId="77777777" w:rsidR="00F66FC7" w:rsidRPr="00F66FC7" w:rsidRDefault="00F66FC7" w:rsidP="00F66FC7">
      <w:pPr>
        <w:tabs>
          <w:tab w:val="left" w:pos="1710"/>
        </w:tabs>
        <w:spacing w:after="120" w:line="240" w:lineRule="auto"/>
        <w:ind w:left="2160"/>
        <w:contextualSpacing/>
        <w:jc w:val="both"/>
        <w:rPr>
          <w:rFonts w:ascii="Times New Roman" w:eastAsia="Times New Roman" w:hAnsi="Times New Roman"/>
          <w:kern w:val="0"/>
          <w:sz w:val="12"/>
          <w:szCs w:val="12"/>
          <w14:ligatures w14:val="none"/>
        </w:rPr>
      </w:pPr>
    </w:p>
    <w:p w14:paraId="77272496" w14:textId="77777777" w:rsidR="00F66FC7" w:rsidRPr="00F66FC7" w:rsidRDefault="00F66FC7" w:rsidP="00F66FC7">
      <w:pPr>
        <w:numPr>
          <w:ilvl w:val="0"/>
          <w:numId w:val="40"/>
        </w:numPr>
        <w:tabs>
          <w:tab w:val="left" w:pos="1710"/>
        </w:tabs>
        <w:spacing w:after="120" w:line="240" w:lineRule="auto"/>
        <w:ind w:hanging="720"/>
        <w:contextualSpacing/>
        <w:jc w:val="both"/>
        <w:rPr>
          <w:rFonts w:ascii="Times New Roman" w:eastAsia="Times New Roman" w:hAnsi="Times New Roman"/>
          <w:kern w:val="0"/>
          <w:sz w:val="28"/>
          <w:szCs w:val="28"/>
          <w14:ligatures w14:val="none"/>
        </w:rPr>
      </w:pPr>
      <w:r w:rsidRPr="00F66FC7">
        <w:rPr>
          <w:rFonts w:ascii="Times New Roman" w:eastAsia="Times New Roman" w:hAnsi="Times New Roman"/>
          <w:kern w:val="0"/>
          <w:sz w:val="28"/>
          <w:szCs w:val="28"/>
          <w14:ligatures w14:val="none"/>
        </w:rPr>
        <w:t xml:space="preserve">the date by which the defendant may file a response, if any, to the motion for warrant of </w:t>
      </w:r>
      <w:proofErr w:type="gramStart"/>
      <w:r w:rsidRPr="00F66FC7">
        <w:rPr>
          <w:rFonts w:ascii="Times New Roman" w:eastAsia="Times New Roman" w:hAnsi="Times New Roman"/>
          <w:kern w:val="0"/>
          <w:sz w:val="28"/>
          <w:szCs w:val="28"/>
          <w14:ligatures w14:val="none"/>
        </w:rPr>
        <w:t>execution;</w:t>
      </w:r>
      <w:proofErr w:type="gramEnd"/>
    </w:p>
    <w:p w14:paraId="33B39477" w14:textId="77777777" w:rsidR="00F66FC7" w:rsidRPr="00F66FC7" w:rsidRDefault="00F66FC7" w:rsidP="00F66FC7">
      <w:pPr>
        <w:tabs>
          <w:tab w:val="left" w:pos="1710"/>
        </w:tabs>
        <w:spacing w:after="120" w:line="240" w:lineRule="auto"/>
        <w:ind w:left="2160"/>
        <w:contextualSpacing/>
        <w:jc w:val="both"/>
        <w:rPr>
          <w:rFonts w:ascii="Times New Roman" w:eastAsia="Times New Roman" w:hAnsi="Times New Roman"/>
          <w:kern w:val="0"/>
          <w:sz w:val="12"/>
          <w:szCs w:val="12"/>
          <w14:ligatures w14:val="none"/>
        </w:rPr>
      </w:pPr>
    </w:p>
    <w:p w14:paraId="0B536A62" w14:textId="77777777" w:rsidR="00F66FC7" w:rsidRPr="00F66FC7" w:rsidRDefault="00F66FC7" w:rsidP="00F66FC7">
      <w:pPr>
        <w:numPr>
          <w:ilvl w:val="0"/>
          <w:numId w:val="40"/>
        </w:numPr>
        <w:tabs>
          <w:tab w:val="left" w:pos="1710"/>
        </w:tabs>
        <w:spacing w:after="120" w:line="240" w:lineRule="auto"/>
        <w:ind w:hanging="720"/>
        <w:contextualSpacing/>
        <w:jc w:val="both"/>
        <w:rPr>
          <w:rFonts w:ascii="Times New Roman" w:eastAsia="Times New Roman" w:hAnsi="Times New Roman"/>
          <w:kern w:val="0"/>
          <w:sz w:val="28"/>
          <w:szCs w:val="28"/>
          <w14:ligatures w14:val="none"/>
        </w:rPr>
      </w:pPr>
      <w:r w:rsidRPr="00F66FC7">
        <w:rPr>
          <w:rFonts w:ascii="Times New Roman" w:eastAsia="Times New Roman" w:hAnsi="Times New Roman"/>
          <w:kern w:val="0"/>
          <w:sz w:val="28"/>
          <w:szCs w:val="28"/>
          <w14:ligatures w14:val="none"/>
        </w:rPr>
        <w:t xml:space="preserve">the date by which the State and the crime victim may file separate replies, if any, to the defendant’s response to the motion for warrant of </w:t>
      </w:r>
      <w:proofErr w:type="gramStart"/>
      <w:r w:rsidRPr="00F66FC7">
        <w:rPr>
          <w:rFonts w:ascii="Times New Roman" w:eastAsia="Times New Roman" w:hAnsi="Times New Roman"/>
          <w:kern w:val="0"/>
          <w:sz w:val="28"/>
          <w:szCs w:val="28"/>
          <w14:ligatures w14:val="none"/>
        </w:rPr>
        <w:t>execution;</w:t>
      </w:r>
      <w:proofErr w:type="gramEnd"/>
    </w:p>
    <w:p w14:paraId="1A24DA37" w14:textId="77777777" w:rsidR="00F66FC7" w:rsidRPr="00F66FC7" w:rsidRDefault="00F66FC7" w:rsidP="00F66FC7">
      <w:pPr>
        <w:tabs>
          <w:tab w:val="left" w:pos="1710"/>
        </w:tabs>
        <w:spacing w:after="120" w:line="240" w:lineRule="auto"/>
        <w:ind w:left="2160"/>
        <w:contextualSpacing/>
        <w:jc w:val="both"/>
        <w:rPr>
          <w:rFonts w:ascii="Times New Roman" w:eastAsia="Times New Roman" w:hAnsi="Times New Roman"/>
          <w:kern w:val="0"/>
          <w:sz w:val="12"/>
          <w:szCs w:val="12"/>
          <w14:ligatures w14:val="none"/>
        </w:rPr>
      </w:pPr>
    </w:p>
    <w:p w14:paraId="12D434B1" w14:textId="77777777" w:rsidR="00F66FC7" w:rsidRPr="00F66FC7" w:rsidRDefault="00F66FC7" w:rsidP="00F66FC7">
      <w:pPr>
        <w:numPr>
          <w:ilvl w:val="0"/>
          <w:numId w:val="40"/>
        </w:numPr>
        <w:tabs>
          <w:tab w:val="left" w:pos="1710"/>
        </w:tabs>
        <w:spacing w:after="120" w:line="240" w:lineRule="auto"/>
        <w:ind w:hanging="720"/>
        <w:contextualSpacing/>
        <w:jc w:val="both"/>
        <w:rPr>
          <w:rFonts w:ascii="Times New Roman" w:eastAsia="Times New Roman" w:hAnsi="Times New Roman"/>
          <w:kern w:val="0"/>
          <w:sz w:val="28"/>
          <w:szCs w:val="28"/>
          <w14:ligatures w14:val="none"/>
        </w:rPr>
      </w:pPr>
      <w:r w:rsidRPr="00F66FC7">
        <w:rPr>
          <w:rFonts w:ascii="Times New Roman" w:eastAsia="Times New Roman" w:hAnsi="Times New Roman"/>
          <w:kern w:val="0"/>
          <w:sz w:val="28"/>
          <w:szCs w:val="28"/>
          <w14:ligatures w14:val="none"/>
        </w:rPr>
        <w:t>the date the Court anticipates considering the State’s motion for warrant of execution; and</w:t>
      </w:r>
    </w:p>
    <w:p w14:paraId="71F6336E" w14:textId="77777777" w:rsidR="00F66FC7" w:rsidRPr="00F66FC7" w:rsidRDefault="00F66FC7" w:rsidP="00F66FC7">
      <w:pPr>
        <w:tabs>
          <w:tab w:val="left" w:pos="1710"/>
        </w:tabs>
        <w:spacing w:after="120" w:line="240" w:lineRule="auto"/>
        <w:ind w:left="2160"/>
        <w:contextualSpacing/>
        <w:jc w:val="both"/>
        <w:rPr>
          <w:rFonts w:ascii="Times New Roman" w:eastAsia="Times New Roman" w:hAnsi="Times New Roman"/>
          <w:kern w:val="0"/>
          <w:sz w:val="12"/>
          <w:szCs w:val="12"/>
          <w14:ligatures w14:val="none"/>
        </w:rPr>
      </w:pPr>
    </w:p>
    <w:p w14:paraId="0D1FE798" w14:textId="77777777" w:rsidR="00F66FC7" w:rsidRPr="00F66FC7" w:rsidRDefault="00F66FC7" w:rsidP="00F66FC7">
      <w:pPr>
        <w:numPr>
          <w:ilvl w:val="0"/>
          <w:numId w:val="40"/>
        </w:numPr>
        <w:tabs>
          <w:tab w:val="left" w:pos="1710"/>
        </w:tabs>
        <w:spacing w:after="120" w:line="240" w:lineRule="auto"/>
        <w:ind w:hanging="720"/>
        <w:contextualSpacing/>
        <w:jc w:val="both"/>
        <w:rPr>
          <w:rFonts w:ascii="Times New Roman" w:eastAsia="Times New Roman" w:hAnsi="Times New Roman"/>
          <w:kern w:val="0"/>
          <w:sz w:val="28"/>
          <w:szCs w:val="28"/>
          <w14:ligatures w14:val="none"/>
        </w:rPr>
      </w:pPr>
      <w:r w:rsidRPr="00F66FC7">
        <w:rPr>
          <w:rFonts w:ascii="Times New Roman" w:eastAsia="Times New Roman" w:hAnsi="Times New Roman"/>
          <w:kern w:val="0"/>
          <w:sz w:val="28"/>
          <w:szCs w:val="28"/>
          <w14:ligatures w14:val="none"/>
        </w:rPr>
        <w:t>any other orders the Court deems necessary to facilitate the timely filing of the State’s motion for warrant of execution, defendant’s response, and any reply, including specific due dates for third-party responsive pleadings or briefs of amicus curiae regarding the State’s motion.</w:t>
      </w:r>
    </w:p>
    <w:p w14:paraId="1C046399" w14:textId="77777777" w:rsidR="00F66FC7" w:rsidRPr="00F66FC7" w:rsidRDefault="00F66FC7" w:rsidP="00F66FC7">
      <w:pPr>
        <w:spacing w:after="0" w:line="240" w:lineRule="auto"/>
        <w:ind w:left="1440"/>
        <w:contextualSpacing/>
        <w:rPr>
          <w:rFonts w:ascii="Times New Roman" w:eastAsia="Times New Roman" w:hAnsi="Times New Roman"/>
          <w:kern w:val="0"/>
          <w:sz w:val="12"/>
          <w:szCs w:val="12"/>
          <w14:ligatures w14:val="none"/>
        </w:rPr>
      </w:pPr>
    </w:p>
    <w:p w14:paraId="6F6DB2F4" w14:textId="77777777" w:rsidR="00F66FC7" w:rsidRPr="00F66FC7" w:rsidRDefault="00F66FC7" w:rsidP="00F66FC7">
      <w:pPr>
        <w:numPr>
          <w:ilvl w:val="0"/>
          <w:numId w:val="38"/>
        </w:numPr>
        <w:spacing w:after="0" w:line="240" w:lineRule="auto"/>
        <w:ind w:hanging="720"/>
        <w:contextualSpacing/>
        <w:rPr>
          <w:rFonts w:ascii="Times New Roman" w:eastAsia="Times New Roman" w:hAnsi="Times New Roman"/>
          <w:kern w:val="0"/>
          <w:sz w:val="28"/>
          <w:szCs w:val="28"/>
          <w14:ligatures w14:val="none"/>
        </w:rPr>
      </w:pPr>
      <w:r w:rsidRPr="00F66FC7">
        <w:rPr>
          <w:rFonts w:ascii="Times New Roman" w:eastAsia="Times New Roman" w:hAnsi="Times New Roman"/>
          <w:b/>
          <w:bCs/>
          <w:i/>
          <w:iCs/>
          <w:kern w:val="0"/>
          <w:sz w:val="28"/>
          <w:szCs w:val="28"/>
          <w14:ligatures w14:val="none"/>
        </w:rPr>
        <w:t>Other Court Orders.</w:t>
      </w:r>
      <w:r w:rsidRPr="00F66FC7">
        <w:rPr>
          <w:rFonts w:ascii="Times New Roman" w:eastAsia="Times New Roman" w:hAnsi="Times New Roman"/>
          <w:kern w:val="0"/>
          <w:sz w:val="28"/>
          <w:szCs w:val="28"/>
          <w14:ligatures w14:val="none"/>
        </w:rPr>
        <w:t xml:space="preserve"> For good cause, the Court may stay, continue, or dismiss a notice, or it may enter other appropriate orders.</w:t>
      </w:r>
    </w:p>
    <w:p w14:paraId="5E773AB1" w14:textId="77777777" w:rsidR="00F66FC7" w:rsidRPr="00F66FC7" w:rsidRDefault="00F66FC7" w:rsidP="00F66FC7">
      <w:pPr>
        <w:spacing w:after="0" w:line="240" w:lineRule="auto"/>
        <w:ind w:left="1440"/>
        <w:contextualSpacing/>
        <w:rPr>
          <w:rFonts w:ascii="Times New Roman" w:eastAsia="Times New Roman" w:hAnsi="Times New Roman"/>
          <w:kern w:val="0"/>
          <w:sz w:val="12"/>
          <w:szCs w:val="12"/>
          <w14:ligatures w14:val="none"/>
        </w:rPr>
      </w:pPr>
    </w:p>
    <w:p w14:paraId="1F13827A" w14:textId="5238A28E" w:rsidR="00F66FC7" w:rsidRPr="00F66FC7" w:rsidRDefault="00F66FC7" w:rsidP="00F66FC7">
      <w:pPr>
        <w:pStyle w:val="ListParagraph"/>
        <w:numPr>
          <w:ilvl w:val="0"/>
          <w:numId w:val="37"/>
        </w:numPr>
        <w:spacing w:after="0" w:line="240" w:lineRule="auto"/>
        <w:ind w:hanging="720"/>
        <w:jc w:val="both"/>
        <w:rPr>
          <w:rFonts w:ascii="Times New Roman" w:eastAsia="Aptos" w:hAnsi="Times New Roman" w:cs="Times New Roman"/>
          <w:b/>
          <w:bCs/>
          <w:sz w:val="28"/>
          <w:szCs w:val="28"/>
        </w:rPr>
      </w:pPr>
      <w:r w:rsidRPr="00F66FC7">
        <w:rPr>
          <w:rFonts w:ascii="Times New Roman" w:eastAsia="Aptos" w:hAnsi="Times New Roman" w:cs="Times New Roman"/>
          <w:b/>
          <w:bCs/>
          <w:sz w:val="28"/>
          <w:szCs w:val="28"/>
        </w:rPr>
        <w:t>Date and Time of Execution. [no change]</w:t>
      </w:r>
    </w:p>
    <w:p w14:paraId="4A81448E" w14:textId="77777777" w:rsidR="00F66FC7" w:rsidRPr="00F66FC7" w:rsidRDefault="00F66FC7" w:rsidP="00F66FC7">
      <w:pPr>
        <w:spacing w:after="0" w:line="240" w:lineRule="auto"/>
        <w:ind w:hanging="720"/>
        <w:jc w:val="both"/>
        <w:rPr>
          <w:rFonts w:ascii="Times New Roman" w:eastAsia="Aptos" w:hAnsi="Times New Roman" w:cs="Times New Roman"/>
          <w:sz w:val="12"/>
          <w:szCs w:val="12"/>
        </w:rPr>
      </w:pPr>
    </w:p>
    <w:p w14:paraId="5C2FEB4D" w14:textId="6E0F7771" w:rsidR="00F66FC7" w:rsidRPr="00F66FC7" w:rsidRDefault="00F66FC7" w:rsidP="00F66FC7">
      <w:pPr>
        <w:pStyle w:val="ListParagraph"/>
        <w:numPr>
          <w:ilvl w:val="0"/>
          <w:numId w:val="37"/>
        </w:numPr>
        <w:spacing w:after="0" w:line="240" w:lineRule="auto"/>
        <w:ind w:hanging="720"/>
        <w:jc w:val="both"/>
        <w:rPr>
          <w:rFonts w:ascii="Times New Roman" w:eastAsia="Aptos" w:hAnsi="Times New Roman" w:cs="Times New Roman"/>
          <w:sz w:val="28"/>
          <w:szCs w:val="28"/>
        </w:rPr>
      </w:pPr>
      <w:r w:rsidRPr="00F66FC7">
        <w:rPr>
          <w:rFonts w:ascii="Times New Roman" w:eastAsia="Aptos" w:hAnsi="Times New Roman" w:cs="Times New Roman"/>
          <w:b/>
          <w:bCs/>
          <w:sz w:val="28"/>
          <w:szCs w:val="28"/>
        </w:rPr>
        <w:t>Return on Warrant. [no change]</w:t>
      </w:r>
    </w:p>
    <w:p w14:paraId="3562E282" w14:textId="77777777" w:rsidR="00F66FC7" w:rsidRPr="00F66FC7" w:rsidRDefault="00F66FC7" w:rsidP="00F66FC7">
      <w:pPr>
        <w:spacing w:after="0" w:line="240" w:lineRule="auto"/>
        <w:rPr>
          <w:rFonts w:ascii="Times New Roman" w:eastAsia="Aptos" w:hAnsi="Times New Roman" w:cs="Times New Roman"/>
          <w:b/>
          <w:bCs/>
          <w:spacing w:val="30"/>
          <w:sz w:val="24"/>
          <w:szCs w:val="24"/>
        </w:rPr>
      </w:pPr>
    </w:p>
    <w:p w14:paraId="2D986088" w14:textId="77777777" w:rsidR="00F66FC7" w:rsidRPr="00F66FC7" w:rsidRDefault="00F66FC7" w:rsidP="00F66FC7">
      <w:pPr>
        <w:spacing w:after="0" w:line="240" w:lineRule="auto"/>
        <w:jc w:val="center"/>
        <w:rPr>
          <w:rFonts w:ascii="Times New Roman" w:eastAsia="Aptos" w:hAnsi="Times New Roman" w:cs="Times New Roman"/>
          <w:b/>
          <w:bCs/>
          <w:sz w:val="28"/>
          <w:szCs w:val="28"/>
        </w:rPr>
      </w:pPr>
      <w:r w:rsidRPr="00F66FC7">
        <w:rPr>
          <w:rFonts w:ascii="Times New Roman" w:eastAsia="Aptos" w:hAnsi="Times New Roman" w:cs="Times New Roman"/>
          <w:b/>
          <w:bCs/>
          <w:sz w:val="28"/>
          <w:szCs w:val="28"/>
        </w:rPr>
        <w:t>Comment to 2026 Amendment</w:t>
      </w:r>
    </w:p>
    <w:p w14:paraId="49BC09F0" w14:textId="77777777" w:rsidR="00F66FC7" w:rsidRPr="00F66FC7" w:rsidRDefault="00F66FC7" w:rsidP="00F66FC7">
      <w:pPr>
        <w:spacing w:after="0" w:line="240" w:lineRule="auto"/>
        <w:jc w:val="center"/>
        <w:rPr>
          <w:rFonts w:ascii="Times New Roman" w:eastAsia="Aptos" w:hAnsi="Times New Roman" w:cs="Times New Roman"/>
          <w:b/>
          <w:bCs/>
          <w:sz w:val="12"/>
          <w:szCs w:val="12"/>
        </w:rPr>
      </w:pPr>
    </w:p>
    <w:p w14:paraId="4D7B1A82" w14:textId="4DD60F6F" w:rsidR="00F66FC7" w:rsidRPr="00F66FC7" w:rsidRDefault="00F66FC7" w:rsidP="00F66FC7">
      <w:pPr>
        <w:spacing w:after="0" w:line="240" w:lineRule="auto"/>
        <w:jc w:val="both"/>
        <w:rPr>
          <w:rFonts w:ascii="Times New Roman" w:eastAsia="Aptos" w:hAnsi="Times New Roman" w:cs="Times New Roman"/>
          <w:sz w:val="28"/>
          <w:szCs w:val="28"/>
        </w:rPr>
      </w:pPr>
      <w:r w:rsidRPr="00F66FC7">
        <w:rPr>
          <w:rFonts w:ascii="Times New Roman" w:eastAsia="Aptos" w:hAnsi="Times New Roman" w:cs="Times New Roman"/>
          <w:sz w:val="28"/>
          <w:szCs w:val="28"/>
        </w:rPr>
        <w:t>The Court has historically set executions on a Wednesday. If that is not feasible, the setting is on a Thursday, or alternatively, on a Tuesday. However, the Court is not limited to those days. The State should use these days of the week, if possible, when providing the Court dates under (c).</w:t>
      </w:r>
    </w:p>
    <w:p w14:paraId="03007464" w14:textId="7434987D" w:rsidR="00F758DB" w:rsidRPr="001912E3" w:rsidRDefault="00F758DB" w:rsidP="001912E3">
      <w:pPr>
        <w:spacing w:after="0" w:line="240" w:lineRule="auto"/>
        <w:rPr>
          <w:rFonts w:ascii="Times New Roman" w:eastAsia="Calibri" w:hAnsi="Times New Roman" w:cs="Times New Roman"/>
          <w:kern w:val="0"/>
          <w:sz w:val="28"/>
          <w:szCs w:val="28"/>
          <w14:ligatures w14:val="none"/>
        </w:rPr>
      </w:pPr>
    </w:p>
    <w:sectPr w:rsidR="00F758DB" w:rsidRPr="001912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0DD03" w14:textId="77777777" w:rsidR="00BC0FF0" w:rsidRDefault="00BC0FF0" w:rsidP="001912E3">
      <w:pPr>
        <w:spacing w:after="0" w:line="240" w:lineRule="auto"/>
      </w:pPr>
      <w:r>
        <w:separator/>
      </w:r>
    </w:p>
  </w:endnote>
  <w:endnote w:type="continuationSeparator" w:id="0">
    <w:p w14:paraId="3572A460" w14:textId="77777777" w:rsidR="00BC0FF0" w:rsidRDefault="00BC0FF0" w:rsidP="00191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64DF" w14:textId="77777777" w:rsidR="00BC0FF0" w:rsidRDefault="00BC0FF0" w:rsidP="001912E3">
      <w:pPr>
        <w:spacing w:after="0" w:line="240" w:lineRule="auto"/>
      </w:pPr>
      <w:r>
        <w:separator/>
      </w:r>
    </w:p>
  </w:footnote>
  <w:footnote w:type="continuationSeparator" w:id="0">
    <w:p w14:paraId="13CFD945" w14:textId="77777777" w:rsidR="00BC0FF0" w:rsidRDefault="00BC0FF0" w:rsidP="001912E3">
      <w:pPr>
        <w:spacing w:after="0" w:line="240" w:lineRule="auto"/>
      </w:pPr>
      <w:r>
        <w:continuationSeparator/>
      </w:r>
    </w:p>
  </w:footnote>
  <w:footnote w:id="1">
    <w:p w14:paraId="159A38C0" w14:textId="77777777" w:rsidR="001912E3" w:rsidRPr="00183A12" w:rsidRDefault="001912E3" w:rsidP="001912E3">
      <w:pPr>
        <w:pStyle w:val="FootnoteText"/>
        <w:ind w:firstLine="720"/>
        <w:rPr>
          <w:rFonts w:ascii="Book Antiqua" w:hAnsi="Book Antiqua"/>
          <w:sz w:val="24"/>
          <w:szCs w:val="24"/>
        </w:rPr>
      </w:pPr>
      <w:r w:rsidRPr="00183A12">
        <w:rPr>
          <w:rStyle w:val="FootnoteReference"/>
          <w:rFonts w:ascii="Book Antiqua" w:hAnsi="Book Antiqua"/>
          <w:sz w:val="24"/>
          <w:szCs w:val="24"/>
        </w:rPr>
        <w:footnoteRef/>
      </w:r>
      <w:r w:rsidRPr="00183A12">
        <w:rPr>
          <w:rFonts w:ascii="Book Antiqua" w:hAnsi="Book Antiqua"/>
          <w:sz w:val="24"/>
          <w:szCs w:val="24"/>
        </w:rPr>
        <w:t xml:space="preserve"> </w:t>
      </w:r>
      <w:r w:rsidRPr="00183A12">
        <w:rPr>
          <w:rFonts w:ascii="Book Antiqua" w:hAnsi="Book Antiqua"/>
          <w:i/>
          <w:iCs/>
          <w:sz w:val="24"/>
          <w:szCs w:val="24"/>
        </w:rPr>
        <w:t xml:space="preserve">See </w:t>
      </w:r>
      <w:proofErr w:type="spellStart"/>
      <w:r w:rsidRPr="00183A12">
        <w:rPr>
          <w:rFonts w:ascii="Book Antiqua" w:hAnsi="Book Antiqua"/>
          <w:sz w:val="24"/>
          <w:szCs w:val="24"/>
        </w:rPr>
        <w:t>Dep’t</w:t>
      </w:r>
      <w:proofErr w:type="spellEnd"/>
      <w:r w:rsidRPr="00183A12">
        <w:rPr>
          <w:rFonts w:ascii="Book Antiqua" w:hAnsi="Book Antiqua"/>
          <w:sz w:val="24"/>
          <w:szCs w:val="24"/>
        </w:rPr>
        <w:t xml:space="preserve"> Order, 710, Attach. D, ¶ A.1.III, available at </w:t>
      </w:r>
      <w:hyperlink r:id="rId1" w:history="1">
        <w:r w:rsidRPr="00183A12">
          <w:rPr>
            <w:rStyle w:val="Hyperlink"/>
            <w:rFonts w:ascii="Book Antiqua" w:hAnsi="Book Antiqua"/>
            <w:sz w:val="24"/>
            <w:szCs w:val="24"/>
          </w:rPr>
          <w:t>https://corrections.az.gov/sites/default/files/documents/policies/700/DO%20710%20-%20Eff.%205-20-25.pdf</w:t>
        </w:r>
      </w:hyperlink>
      <w:r w:rsidRPr="00183A12">
        <w:rPr>
          <w:rFonts w:ascii="Book Antiqua" w:hAnsi="Book Antiqua"/>
          <w:sz w:val="24"/>
          <w:szCs w:val="24"/>
        </w:rPr>
        <w:t>.</w:t>
      </w:r>
    </w:p>
    <w:p w14:paraId="587FE9BA" w14:textId="77777777" w:rsidR="001912E3" w:rsidRPr="00183A12" w:rsidRDefault="001912E3" w:rsidP="001912E3">
      <w:pPr>
        <w:pStyle w:val="FootnoteText"/>
        <w:ind w:firstLine="720"/>
        <w:rPr>
          <w:rFonts w:ascii="Book Antiqua" w:hAnsi="Book Antiqua"/>
          <w:sz w:val="24"/>
          <w:szCs w:val="24"/>
        </w:rPr>
      </w:pPr>
    </w:p>
  </w:footnote>
  <w:footnote w:id="2">
    <w:p w14:paraId="3E366574" w14:textId="77777777" w:rsidR="001912E3" w:rsidRPr="00183A12" w:rsidRDefault="001912E3" w:rsidP="001912E3">
      <w:pPr>
        <w:pStyle w:val="FootnoteText"/>
        <w:ind w:firstLine="720"/>
      </w:pPr>
      <w:r w:rsidRPr="00183A12">
        <w:rPr>
          <w:rStyle w:val="FootnoteReference"/>
          <w:rFonts w:ascii="Book Antiqua" w:hAnsi="Book Antiqua"/>
          <w:sz w:val="24"/>
          <w:szCs w:val="24"/>
        </w:rPr>
        <w:footnoteRef/>
      </w:r>
      <w:r w:rsidRPr="00183A12">
        <w:rPr>
          <w:rFonts w:ascii="Book Antiqua" w:hAnsi="Book Antiqua"/>
          <w:sz w:val="24"/>
          <w:szCs w:val="24"/>
        </w:rPr>
        <w:t xml:space="preserve"> </w:t>
      </w:r>
      <w:r w:rsidRPr="00183A12">
        <w:rPr>
          <w:rFonts w:ascii="Book Antiqua" w:hAnsi="Book Antiqua"/>
          <w:i/>
          <w:iCs/>
          <w:sz w:val="24"/>
          <w:szCs w:val="24"/>
        </w:rPr>
        <w:t xml:space="preserve">See </w:t>
      </w:r>
      <w:proofErr w:type="spellStart"/>
      <w:r w:rsidRPr="00183A12">
        <w:rPr>
          <w:rFonts w:ascii="Book Antiqua" w:hAnsi="Book Antiqua"/>
          <w:sz w:val="24"/>
          <w:szCs w:val="24"/>
        </w:rPr>
        <w:t>Dep’t</w:t>
      </w:r>
      <w:proofErr w:type="spellEnd"/>
      <w:r w:rsidRPr="00183A12">
        <w:rPr>
          <w:rFonts w:ascii="Book Antiqua" w:hAnsi="Book Antiqua"/>
          <w:sz w:val="24"/>
          <w:szCs w:val="24"/>
        </w:rPr>
        <w:t xml:space="preserve"> Order 710, Attach. D, ¶ C.2, available at </w:t>
      </w:r>
      <w:hyperlink r:id="rId2" w:history="1">
        <w:r w:rsidRPr="00183A12">
          <w:rPr>
            <w:rStyle w:val="Hyperlink"/>
            <w:rFonts w:ascii="Book Antiqua" w:hAnsi="Book Antiqua"/>
            <w:sz w:val="24"/>
            <w:szCs w:val="24"/>
          </w:rPr>
          <w:t>https://corrections.az.gov/sites/default/files/documents/policies/700/DO%20710%20-%20Eff.%205-20-25.pdf</w:t>
        </w:r>
      </w:hyperlink>
      <w:r w:rsidRPr="00183A12">
        <w:rPr>
          <w:rFonts w:ascii="Book Antiqua" w:hAnsi="Book Antiqua"/>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FC9"/>
    <w:multiLevelType w:val="hybridMultilevel"/>
    <w:tmpl w:val="996068DA"/>
    <w:lvl w:ilvl="0" w:tplc="E376AB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647BF"/>
    <w:multiLevelType w:val="hybridMultilevel"/>
    <w:tmpl w:val="11426682"/>
    <w:lvl w:ilvl="0" w:tplc="FFFFFFFF">
      <w:start w:val="1"/>
      <w:numFmt w:val="upperLetter"/>
      <w:lvlText w:val="(%1)"/>
      <w:lvlJc w:val="left"/>
      <w:pPr>
        <w:ind w:left="2160" w:hanging="360"/>
      </w:pPr>
      <w:rPr>
        <w:rFonts w:hint="default"/>
        <w:b/>
        <w:i w:val="0"/>
        <w:sz w:val="28"/>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0559612B"/>
    <w:multiLevelType w:val="hybridMultilevel"/>
    <w:tmpl w:val="103A02B2"/>
    <w:lvl w:ilvl="0" w:tplc="E9F02BB0">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D29BD"/>
    <w:multiLevelType w:val="hybridMultilevel"/>
    <w:tmpl w:val="88B8953C"/>
    <w:lvl w:ilvl="0" w:tplc="944A4772">
      <w:start w:val="1"/>
      <w:numFmt w:val="lowerLetter"/>
      <w:lvlText w:val="(%1)"/>
      <w:lvlJc w:val="left"/>
      <w:pPr>
        <w:ind w:left="780" w:hanging="4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93FFE"/>
    <w:multiLevelType w:val="hybridMultilevel"/>
    <w:tmpl w:val="95A41C34"/>
    <w:lvl w:ilvl="0" w:tplc="E6BEB1B0">
      <w:start w:val="1"/>
      <w:numFmt w:val="decimal"/>
      <w:lvlText w:val="%1."/>
      <w:lvlJc w:val="left"/>
      <w:pPr>
        <w:ind w:left="1152" w:hanging="360"/>
      </w:pPr>
      <w:rPr>
        <w:rFonts w:hint="default"/>
        <w:b/>
        <w:bCs/>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126846B3"/>
    <w:multiLevelType w:val="hybridMultilevel"/>
    <w:tmpl w:val="11426682"/>
    <w:lvl w:ilvl="0" w:tplc="BDE6B2F8">
      <w:start w:val="1"/>
      <w:numFmt w:val="upperLetter"/>
      <w:lvlText w:val="(%1)"/>
      <w:lvlJc w:val="left"/>
      <w:pPr>
        <w:ind w:left="2160" w:hanging="360"/>
      </w:pPr>
      <w:rPr>
        <w:rFonts w:hint="default"/>
        <w:b/>
        <w:i w:val="0"/>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6660725"/>
    <w:multiLevelType w:val="hybridMultilevel"/>
    <w:tmpl w:val="351E5180"/>
    <w:lvl w:ilvl="0" w:tplc="368C1A84">
      <w:start w:val="1"/>
      <w:numFmt w:val="decimal"/>
      <w:lvlText w:val="(%1)"/>
      <w:lvlJc w:val="left"/>
      <w:pPr>
        <w:ind w:left="0" w:firstLine="720"/>
      </w:pPr>
      <w:rPr>
        <w:rFonts w:hint="default"/>
        <w:b/>
        <w: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006BC7"/>
    <w:multiLevelType w:val="hybridMultilevel"/>
    <w:tmpl w:val="5E1A6B56"/>
    <w:lvl w:ilvl="0" w:tplc="5B5091C0">
      <w:start w:val="1"/>
      <w:numFmt w:val="lowerLetter"/>
      <w:lvlText w:val="(%1)"/>
      <w:lvlJc w:val="left"/>
      <w:pPr>
        <w:ind w:left="1152" w:hanging="360"/>
      </w:pPr>
      <w:rPr>
        <w:rFonts w:hint="default"/>
        <w:b/>
        <w:i/>
        <w:iCs/>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188A18FC"/>
    <w:multiLevelType w:val="hybridMultilevel"/>
    <w:tmpl w:val="2184310C"/>
    <w:lvl w:ilvl="0" w:tplc="4F804A84">
      <w:start w:val="2"/>
      <w:numFmt w:val="bullet"/>
      <w:lvlText w:val="-"/>
      <w:lvlJc w:val="left"/>
      <w:pPr>
        <w:ind w:left="1080" w:hanging="360"/>
      </w:pPr>
      <w:rPr>
        <w:rFonts w:ascii="Book Antiqua" w:eastAsiaTheme="minorHAnsi" w:hAnsi="Book Antiqua" w:cs="Book Antiqu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4E56C7"/>
    <w:multiLevelType w:val="hybridMultilevel"/>
    <w:tmpl w:val="F6608D56"/>
    <w:lvl w:ilvl="0" w:tplc="FFFFFFFF">
      <w:start w:val="1"/>
      <w:numFmt w:val="upperLetter"/>
      <w:lvlText w:val="(%1)"/>
      <w:lvlJc w:val="lef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1B1E7813"/>
    <w:multiLevelType w:val="hybridMultilevel"/>
    <w:tmpl w:val="7794D240"/>
    <w:lvl w:ilvl="0" w:tplc="6A66213E">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390978"/>
    <w:multiLevelType w:val="hybridMultilevel"/>
    <w:tmpl w:val="E702DCAE"/>
    <w:lvl w:ilvl="0" w:tplc="92041D14">
      <w:start w:val="1"/>
      <w:numFmt w:val="decimal"/>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8B4CDA"/>
    <w:multiLevelType w:val="hybridMultilevel"/>
    <w:tmpl w:val="82F6C0A0"/>
    <w:lvl w:ilvl="0" w:tplc="FFFFFFFF">
      <w:start w:val="1"/>
      <w:numFmt w:val="decimal"/>
      <w:lvlText w:val="(%1)"/>
      <w:lvlJc w:val="left"/>
      <w:pPr>
        <w:ind w:left="1440" w:hanging="360"/>
      </w:pPr>
      <w:rPr>
        <w:rFonts w:ascii="Times New Roman" w:hAnsi="Times New Roman" w:hint="default"/>
        <w:b/>
        <w:i/>
        <w:sz w:val="2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5137BA0"/>
    <w:multiLevelType w:val="hybridMultilevel"/>
    <w:tmpl w:val="7B3C148C"/>
    <w:lvl w:ilvl="0" w:tplc="1F3A713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FF7EDA"/>
    <w:multiLevelType w:val="hybridMultilevel"/>
    <w:tmpl w:val="82F6C0A0"/>
    <w:lvl w:ilvl="0" w:tplc="2086FE7C">
      <w:start w:val="1"/>
      <w:numFmt w:val="decimal"/>
      <w:lvlText w:val="(%1)"/>
      <w:lvlJc w:val="left"/>
      <w:pPr>
        <w:ind w:left="1440" w:hanging="360"/>
      </w:pPr>
      <w:rPr>
        <w:rFonts w:ascii="Times New Roman" w:hAnsi="Times New Roman" w:hint="default"/>
        <w:b/>
        <w:i/>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30D2590"/>
    <w:multiLevelType w:val="hybridMultilevel"/>
    <w:tmpl w:val="5740C854"/>
    <w:lvl w:ilvl="0" w:tplc="51AE065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5E1A8D"/>
    <w:multiLevelType w:val="hybridMultilevel"/>
    <w:tmpl w:val="6F3CB664"/>
    <w:lvl w:ilvl="0" w:tplc="1022561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E22CE0"/>
    <w:multiLevelType w:val="hybridMultilevel"/>
    <w:tmpl w:val="671861E0"/>
    <w:lvl w:ilvl="0" w:tplc="D16C9C2A">
      <w:start w:val="1"/>
      <w:numFmt w:val="decimal"/>
      <w:lvlText w:val="(%1)"/>
      <w:lvlJc w:val="left"/>
      <w:pPr>
        <w:ind w:left="720" w:firstLine="720"/>
      </w:pPr>
      <w:rPr>
        <w:rFonts w:hint="default"/>
        <w:b w:val="0"/>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8A71C88"/>
    <w:multiLevelType w:val="hybridMultilevel"/>
    <w:tmpl w:val="F6608D56"/>
    <w:lvl w:ilvl="0" w:tplc="AB8A7E08">
      <w:start w:val="1"/>
      <w:numFmt w:val="upp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8DD3A64"/>
    <w:multiLevelType w:val="hybridMultilevel"/>
    <w:tmpl w:val="DCB493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A370CE"/>
    <w:multiLevelType w:val="hybridMultilevel"/>
    <w:tmpl w:val="7722D11C"/>
    <w:lvl w:ilvl="0" w:tplc="D60ACAF6">
      <w:start w:val="1"/>
      <w:numFmt w:val="lowerLetter"/>
      <w:lvlText w:val="(%1)"/>
      <w:lvlJc w:val="left"/>
      <w:pPr>
        <w:ind w:left="126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033463"/>
    <w:multiLevelType w:val="hybridMultilevel"/>
    <w:tmpl w:val="D272DE8A"/>
    <w:lvl w:ilvl="0" w:tplc="742A06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EC301AB"/>
    <w:multiLevelType w:val="hybridMultilevel"/>
    <w:tmpl w:val="26E6ACD4"/>
    <w:lvl w:ilvl="0" w:tplc="4D2043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FA375F"/>
    <w:multiLevelType w:val="hybridMultilevel"/>
    <w:tmpl w:val="E628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156B64"/>
    <w:multiLevelType w:val="hybridMultilevel"/>
    <w:tmpl w:val="DF647AFA"/>
    <w:lvl w:ilvl="0" w:tplc="9F0C0BE0">
      <w:start w:val="1"/>
      <w:numFmt w:val="lowerLetter"/>
      <w:lvlText w:val="(%1)"/>
      <w:lvlJc w:val="left"/>
      <w:pPr>
        <w:ind w:left="1440" w:hanging="360"/>
      </w:pPr>
      <w:rPr>
        <w:rFonts w:ascii="Book Antiqua" w:hAnsi="Book Antiqua"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B4B4A6F"/>
    <w:multiLevelType w:val="hybridMultilevel"/>
    <w:tmpl w:val="9462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E48BD"/>
    <w:multiLevelType w:val="hybridMultilevel"/>
    <w:tmpl w:val="2454F99C"/>
    <w:lvl w:ilvl="0" w:tplc="877C22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FE0DAD"/>
    <w:multiLevelType w:val="hybridMultilevel"/>
    <w:tmpl w:val="9E8E34E0"/>
    <w:lvl w:ilvl="0" w:tplc="4AE81D3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51676"/>
    <w:multiLevelType w:val="hybridMultilevel"/>
    <w:tmpl w:val="A7CCB2B6"/>
    <w:lvl w:ilvl="0" w:tplc="D16C9C2A">
      <w:start w:val="1"/>
      <w:numFmt w:val="decimal"/>
      <w:lvlText w:val="(%1)"/>
      <w:lvlJc w:val="left"/>
      <w:pPr>
        <w:ind w:left="0" w:firstLine="72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6F3634E"/>
    <w:multiLevelType w:val="hybridMultilevel"/>
    <w:tmpl w:val="DCB49320"/>
    <w:lvl w:ilvl="0" w:tplc="253E3E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4A3216"/>
    <w:multiLevelType w:val="hybridMultilevel"/>
    <w:tmpl w:val="E5CC40FC"/>
    <w:lvl w:ilvl="0" w:tplc="FF4462EC">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192D09"/>
    <w:multiLevelType w:val="hybridMultilevel"/>
    <w:tmpl w:val="3A7ACBF4"/>
    <w:lvl w:ilvl="0" w:tplc="CE8A11C2">
      <w:start w:val="3"/>
      <w:numFmt w:val="lowerLetter"/>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B12CB2"/>
    <w:multiLevelType w:val="hybridMultilevel"/>
    <w:tmpl w:val="DA6610D6"/>
    <w:lvl w:ilvl="0" w:tplc="972AC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C00EE7"/>
    <w:multiLevelType w:val="hybridMultilevel"/>
    <w:tmpl w:val="CAAE21B8"/>
    <w:lvl w:ilvl="0" w:tplc="80EEC2AE">
      <w:start w:val="1"/>
      <w:numFmt w:val="upperRoman"/>
      <w:lvlText w:val="%1."/>
      <w:lvlJc w:val="left"/>
      <w:pPr>
        <w:ind w:left="1440" w:hanging="360"/>
      </w:pPr>
      <w:rPr>
        <w:rFonts w:hint="default"/>
        <w:b/>
      </w:rPr>
    </w:lvl>
    <w:lvl w:ilvl="1" w:tplc="B8065F72">
      <w:start w:val="1"/>
      <w:numFmt w:val="lowerLetter"/>
      <w:lvlText w:val="(%2)"/>
      <w:lvlJc w:val="left"/>
      <w:pPr>
        <w:ind w:left="3060" w:hanging="1260"/>
      </w:pPr>
      <w:rPr>
        <w:rFonts w:hint="default"/>
        <w:b/>
        <w:i/>
      </w:rPr>
    </w:lvl>
    <w:lvl w:ilvl="2" w:tplc="131A114A">
      <w:start w:val="1"/>
      <w:numFmt w:val="decimal"/>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7D46A79"/>
    <w:multiLevelType w:val="hybridMultilevel"/>
    <w:tmpl w:val="05EC68EA"/>
    <w:lvl w:ilvl="0" w:tplc="E9F02BB0">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A2FFE"/>
    <w:multiLevelType w:val="hybridMultilevel"/>
    <w:tmpl w:val="CD98CEA0"/>
    <w:lvl w:ilvl="0" w:tplc="4672E334">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B733FB"/>
    <w:multiLevelType w:val="hybridMultilevel"/>
    <w:tmpl w:val="C03EB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5785C98"/>
    <w:multiLevelType w:val="hybridMultilevel"/>
    <w:tmpl w:val="0330AA18"/>
    <w:lvl w:ilvl="0" w:tplc="E96ED38E">
      <w:start w:val="1"/>
      <w:numFmt w:val="decimal"/>
      <w:lvlText w:val="%1."/>
      <w:lvlJc w:val="left"/>
      <w:pPr>
        <w:ind w:left="120" w:hanging="228"/>
      </w:pPr>
      <w:rPr>
        <w:rFonts w:ascii="Book Antiqua" w:eastAsia="Book Antiqua" w:hAnsi="Book Antiqua" w:cs="Book Antiqua" w:hint="default"/>
        <w:b/>
        <w:bCs/>
        <w:i w:val="0"/>
        <w:iCs w:val="0"/>
        <w:w w:val="100"/>
        <w:sz w:val="26"/>
        <w:szCs w:val="26"/>
        <w:lang w:val="en-US" w:eastAsia="en-US" w:bidi="ar-SA"/>
      </w:rPr>
    </w:lvl>
    <w:lvl w:ilvl="1" w:tplc="DBEC8C46">
      <w:start w:val="1"/>
      <w:numFmt w:val="lowerLetter"/>
      <w:lvlText w:val="(%2)"/>
      <w:lvlJc w:val="left"/>
      <w:pPr>
        <w:ind w:left="720" w:hanging="720"/>
      </w:pPr>
      <w:rPr>
        <w:rFonts w:ascii="Book Antiqua" w:eastAsia="Book Antiqua" w:hAnsi="Book Antiqua" w:cs="Book Antiqua" w:hint="default"/>
        <w:b/>
        <w:bCs/>
        <w:i/>
        <w:iCs/>
        <w:spacing w:val="-1"/>
        <w:w w:val="100"/>
        <w:sz w:val="26"/>
        <w:szCs w:val="26"/>
        <w:lang w:val="en-US" w:eastAsia="en-US" w:bidi="ar-SA"/>
      </w:rPr>
    </w:lvl>
    <w:lvl w:ilvl="2" w:tplc="9F0E55D0">
      <w:numFmt w:val="bullet"/>
      <w:lvlText w:val="•"/>
      <w:lvlJc w:val="left"/>
      <w:pPr>
        <w:ind w:left="2016" w:hanging="720"/>
      </w:pPr>
      <w:rPr>
        <w:rFonts w:hint="default"/>
        <w:lang w:val="en-US" w:eastAsia="en-US" w:bidi="ar-SA"/>
      </w:rPr>
    </w:lvl>
    <w:lvl w:ilvl="3" w:tplc="85A6A220">
      <w:numFmt w:val="bullet"/>
      <w:lvlText w:val="•"/>
      <w:lvlJc w:val="left"/>
      <w:pPr>
        <w:ind w:left="2964" w:hanging="720"/>
      </w:pPr>
      <w:rPr>
        <w:rFonts w:hint="default"/>
        <w:lang w:val="en-US" w:eastAsia="en-US" w:bidi="ar-SA"/>
      </w:rPr>
    </w:lvl>
    <w:lvl w:ilvl="4" w:tplc="571660C0">
      <w:numFmt w:val="bullet"/>
      <w:lvlText w:val="•"/>
      <w:lvlJc w:val="left"/>
      <w:pPr>
        <w:ind w:left="3912" w:hanging="720"/>
      </w:pPr>
      <w:rPr>
        <w:rFonts w:hint="default"/>
        <w:lang w:val="en-US" w:eastAsia="en-US" w:bidi="ar-SA"/>
      </w:rPr>
    </w:lvl>
    <w:lvl w:ilvl="5" w:tplc="4552B6EC">
      <w:numFmt w:val="bullet"/>
      <w:lvlText w:val="•"/>
      <w:lvlJc w:val="left"/>
      <w:pPr>
        <w:ind w:left="4860" w:hanging="720"/>
      </w:pPr>
      <w:rPr>
        <w:rFonts w:hint="default"/>
        <w:lang w:val="en-US" w:eastAsia="en-US" w:bidi="ar-SA"/>
      </w:rPr>
    </w:lvl>
    <w:lvl w:ilvl="6" w:tplc="17240E40">
      <w:numFmt w:val="bullet"/>
      <w:lvlText w:val="•"/>
      <w:lvlJc w:val="left"/>
      <w:pPr>
        <w:ind w:left="5808" w:hanging="720"/>
      </w:pPr>
      <w:rPr>
        <w:rFonts w:hint="default"/>
        <w:lang w:val="en-US" w:eastAsia="en-US" w:bidi="ar-SA"/>
      </w:rPr>
    </w:lvl>
    <w:lvl w:ilvl="7" w:tplc="FD703CE6">
      <w:numFmt w:val="bullet"/>
      <w:lvlText w:val="•"/>
      <w:lvlJc w:val="left"/>
      <w:pPr>
        <w:ind w:left="6756" w:hanging="720"/>
      </w:pPr>
      <w:rPr>
        <w:rFonts w:hint="default"/>
        <w:lang w:val="en-US" w:eastAsia="en-US" w:bidi="ar-SA"/>
      </w:rPr>
    </w:lvl>
    <w:lvl w:ilvl="8" w:tplc="A7AC046E">
      <w:numFmt w:val="bullet"/>
      <w:lvlText w:val="•"/>
      <w:lvlJc w:val="left"/>
      <w:pPr>
        <w:ind w:left="7704" w:hanging="720"/>
      </w:pPr>
      <w:rPr>
        <w:rFonts w:hint="default"/>
        <w:lang w:val="en-US" w:eastAsia="en-US" w:bidi="ar-SA"/>
      </w:rPr>
    </w:lvl>
  </w:abstractNum>
  <w:abstractNum w:abstractNumId="38" w15:restartNumberingAfterBreak="0">
    <w:nsid w:val="7A322821"/>
    <w:multiLevelType w:val="hybridMultilevel"/>
    <w:tmpl w:val="9842C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EF144F"/>
    <w:multiLevelType w:val="hybridMultilevel"/>
    <w:tmpl w:val="3A7ACBF4"/>
    <w:lvl w:ilvl="0" w:tplc="FFFFFFFF">
      <w:start w:val="3"/>
      <w:numFmt w:val="lowerLetter"/>
      <w:lvlText w:val="(%1)"/>
      <w:lvlJc w:val="left"/>
      <w:pPr>
        <w:ind w:left="720" w:hanging="36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90769925">
    <w:abstractNumId w:val="36"/>
  </w:num>
  <w:num w:numId="2" w16cid:durableId="1059403087">
    <w:abstractNumId w:val="11"/>
  </w:num>
  <w:num w:numId="3" w16cid:durableId="1604455029">
    <w:abstractNumId w:val="21"/>
  </w:num>
  <w:num w:numId="4" w16cid:durableId="1319458192">
    <w:abstractNumId w:val="35"/>
  </w:num>
  <w:num w:numId="5" w16cid:durableId="954335689">
    <w:abstractNumId w:val="33"/>
  </w:num>
  <w:num w:numId="6" w16cid:durableId="499930264">
    <w:abstractNumId w:val="15"/>
  </w:num>
  <w:num w:numId="7" w16cid:durableId="423964552">
    <w:abstractNumId w:val="6"/>
  </w:num>
  <w:num w:numId="8" w16cid:durableId="790052554">
    <w:abstractNumId w:val="2"/>
  </w:num>
  <w:num w:numId="9" w16cid:durableId="2047216246">
    <w:abstractNumId w:val="34"/>
  </w:num>
  <w:num w:numId="10" w16cid:durableId="2059236207">
    <w:abstractNumId w:val="28"/>
  </w:num>
  <w:num w:numId="11" w16cid:durableId="1109162324">
    <w:abstractNumId w:val="17"/>
  </w:num>
  <w:num w:numId="12" w16cid:durableId="1437825843">
    <w:abstractNumId w:val="30"/>
  </w:num>
  <w:num w:numId="13" w16cid:durableId="604728240">
    <w:abstractNumId w:val="25"/>
  </w:num>
  <w:num w:numId="14" w16cid:durableId="19867836">
    <w:abstractNumId w:val="16"/>
  </w:num>
  <w:num w:numId="15" w16cid:durableId="1916358518">
    <w:abstractNumId w:val="26"/>
  </w:num>
  <w:num w:numId="16" w16cid:durableId="740174315">
    <w:abstractNumId w:val="24"/>
  </w:num>
  <w:num w:numId="17" w16cid:durableId="1420828892">
    <w:abstractNumId w:val="23"/>
  </w:num>
  <w:num w:numId="18" w16cid:durableId="1454909019">
    <w:abstractNumId w:val="32"/>
  </w:num>
  <w:num w:numId="19" w16cid:durableId="328870037">
    <w:abstractNumId w:val="22"/>
  </w:num>
  <w:num w:numId="20" w16cid:durableId="1544172329">
    <w:abstractNumId w:val="10"/>
  </w:num>
  <w:num w:numId="21" w16cid:durableId="376009729">
    <w:abstractNumId w:val="20"/>
  </w:num>
  <w:num w:numId="22" w16cid:durableId="821238859">
    <w:abstractNumId w:val="3"/>
  </w:num>
  <w:num w:numId="23" w16cid:durableId="360060078">
    <w:abstractNumId w:val="13"/>
  </w:num>
  <w:num w:numId="24" w16cid:durableId="2139714236">
    <w:abstractNumId w:val="4"/>
  </w:num>
  <w:num w:numId="25" w16cid:durableId="1462311322">
    <w:abstractNumId w:val="7"/>
  </w:num>
  <w:num w:numId="26" w16cid:durableId="180093477">
    <w:abstractNumId w:val="38"/>
  </w:num>
  <w:num w:numId="27" w16cid:durableId="2008357727">
    <w:abstractNumId w:val="37"/>
  </w:num>
  <w:num w:numId="28" w16cid:durableId="1483696190">
    <w:abstractNumId w:val="8"/>
  </w:num>
  <w:num w:numId="29" w16cid:durableId="756366121">
    <w:abstractNumId w:val="0"/>
  </w:num>
  <w:num w:numId="30" w16cid:durableId="1499661310">
    <w:abstractNumId w:val="27"/>
  </w:num>
  <w:num w:numId="31" w16cid:durableId="1975869007">
    <w:abstractNumId w:val="31"/>
  </w:num>
  <w:num w:numId="32" w16cid:durableId="234897679">
    <w:abstractNumId w:val="14"/>
  </w:num>
  <w:num w:numId="33" w16cid:durableId="298800069">
    <w:abstractNumId w:val="18"/>
  </w:num>
  <w:num w:numId="34" w16cid:durableId="1345591694">
    <w:abstractNumId w:val="5"/>
  </w:num>
  <w:num w:numId="35" w16cid:durableId="194387722">
    <w:abstractNumId w:val="29"/>
  </w:num>
  <w:num w:numId="36" w16cid:durableId="1307323296">
    <w:abstractNumId w:val="19"/>
  </w:num>
  <w:num w:numId="37" w16cid:durableId="1565138256">
    <w:abstractNumId w:val="39"/>
  </w:num>
  <w:num w:numId="38" w16cid:durableId="118686444">
    <w:abstractNumId w:val="12"/>
  </w:num>
  <w:num w:numId="39" w16cid:durableId="1618412838">
    <w:abstractNumId w:val="9"/>
  </w:num>
  <w:num w:numId="40" w16cid:durableId="799149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E3"/>
    <w:rsid w:val="00005B7C"/>
    <w:rsid w:val="00033D76"/>
    <w:rsid w:val="00056334"/>
    <w:rsid w:val="00065B9A"/>
    <w:rsid w:val="000A222B"/>
    <w:rsid w:val="000B46E2"/>
    <w:rsid w:val="000B7534"/>
    <w:rsid w:val="00105B60"/>
    <w:rsid w:val="001120B3"/>
    <w:rsid w:val="00136885"/>
    <w:rsid w:val="001369D2"/>
    <w:rsid w:val="00171BF3"/>
    <w:rsid w:val="00182519"/>
    <w:rsid w:val="001912E3"/>
    <w:rsid w:val="001A2A97"/>
    <w:rsid w:val="001A557C"/>
    <w:rsid w:val="001B72BA"/>
    <w:rsid w:val="001C5BDB"/>
    <w:rsid w:val="001C6ABF"/>
    <w:rsid w:val="001E0288"/>
    <w:rsid w:val="001F4DC5"/>
    <w:rsid w:val="00270CF8"/>
    <w:rsid w:val="002F5416"/>
    <w:rsid w:val="00307A9E"/>
    <w:rsid w:val="00351A20"/>
    <w:rsid w:val="00363A7C"/>
    <w:rsid w:val="00393EB8"/>
    <w:rsid w:val="003D76E5"/>
    <w:rsid w:val="003E40E2"/>
    <w:rsid w:val="00407852"/>
    <w:rsid w:val="00407AEC"/>
    <w:rsid w:val="00415326"/>
    <w:rsid w:val="004226B6"/>
    <w:rsid w:val="0045379A"/>
    <w:rsid w:val="00480503"/>
    <w:rsid w:val="004B26B0"/>
    <w:rsid w:val="004E01BB"/>
    <w:rsid w:val="004E361B"/>
    <w:rsid w:val="00504442"/>
    <w:rsid w:val="00516707"/>
    <w:rsid w:val="00555067"/>
    <w:rsid w:val="005561E5"/>
    <w:rsid w:val="005709B4"/>
    <w:rsid w:val="005847C0"/>
    <w:rsid w:val="005B735C"/>
    <w:rsid w:val="005E1A3E"/>
    <w:rsid w:val="005E418B"/>
    <w:rsid w:val="005E4191"/>
    <w:rsid w:val="005F12EF"/>
    <w:rsid w:val="005F28A1"/>
    <w:rsid w:val="0064627A"/>
    <w:rsid w:val="0066236E"/>
    <w:rsid w:val="006669BD"/>
    <w:rsid w:val="006C1C39"/>
    <w:rsid w:val="006F5861"/>
    <w:rsid w:val="007011CC"/>
    <w:rsid w:val="007151D1"/>
    <w:rsid w:val="00755EB7"/>
    <w:rsid w:val="007B25BF"/>
    <w:rsid w:val="007E0B49"/>
    <w:rsid w:val="00803FE5"/>
    <w:rsid w:val="00836D7E"/>
    <w:rsid w:val="008633A5"/>
    <w:rsid w:val="00891B19"/>
    <w:rsid w:val="00897DB1"/>
    <w:rsid w:val="008C42EE"/>
    <w:rsid w:val="008D0B57"/>
    <w:rsid w:val="008D6104"/>
    <w:rsid w:val="00996E90"/>
    <w:rsid w:val="009B4204"/>
    <w:rsid w:val="009D161C"/>
    <w:rsid w:val="00A0008E"/>
    <w:rsid w:val="00A7349A"/>
    <w:rsid w:val="00A93EE0"/>
    <w:rsid w:val="00B2651E"/>
    <w:rsid w:val="00B410C5"/>
    <w:rsid w:val="00B5309A"/>
    <w:rsid w:val="00B65983"/>
    <w:rsid w:val="00BC0FF0"/>
    <w:rsid w:val="00BE718B"/>
    <w:rsid w:val="00C00C13"/>
    <w:rsid w:val="00C26697"/>
    <w:rsid w:val="00C90B41"/>
    <w:rsid w:val="00C92AA1"/>
    <w:rsid w:val="00C943C1"/>
    <w:rsid w:val="00CB6E40"/>
    <w:rsid w:val="00CD557D"/>
    <w:rsid w:val="00CF20EC"/>
    <w:rsid w:val="00CF4D63"/>
    <w:rsid w:val="00D07774"/>
    <w:rsid w:val="00D633AA"/>
    <w:rsid w:val="00D81148"/>
    <w:rsid w:val="00DB0DFC"/>
    <w:rsid w:val="00E324C9"/>
    <w:rsid w:val="00E47AD1"/>
    <w:rsid w:val="00E76B31"/>
    <w:rsid w:val="00E93094"/>
    <w:rsid w:val="00EA1100"/>
    <w:rsid w:val="00EA30BC"/>
    <w:rsid w:val="00ED01CB"/>
    <w:rsid w:val="00EF6312"/>
    <w:rsid w:val="00F32D12"/>
    <w:rsid w:val="00F64458"/>
    <w:rsid w:val="00F66FC7"/>
    <w:rsid w:val="00F758DB"/>
    <w:rsid w:val="00FB5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DE3C5"/>
  <w15:chartTrackingRefBased/>
  <w15:docId w15:val="{4EAF3B3E-ACC1-42FB-9C95-59CFF575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8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8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8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probate">
    <w:name w:val="heading 3 probate"/>
    <w:basedOn w:val="Normal"/>
    <w:link w:val="heading3probateChar"/>
    <w:qFormat/>
    <w:rsid w:val="00136885"/>
    <w:pPr>
      <w:spacing w:after="0" w:line="240" w:lineRule="auto"/>
      <w:contextualSpacing/>
    </w:pPr>
    <w:rPr>
      <w:rFonts w:ascii="Arial" w:hAnsi="Arial" w:cs="Arial"/>
      <w:b/>
      <w:bCs/>
      <w:sz w:val="28"/>
      <w:szCs w:val="24"/>
      <w:u w:val="single"/>
    </w:rPr>
  </w:style>
  <w:style w:type="character" w:customStyle="1" w:styleId="heading3probateChar">
    <w:name w:val="heading 3 probate Char"/>
    <w:basedOn w:val="DefaultParagraphFont"/>
    <w:link w:val="heading3probate"/>
    <w:rsid w:val="00136885"/>
    <w:rPr>
      <w:rFonts w:ascii="Arial" w:hAnsi="Arial" w:cs="Arial"/>
      <w:b/>
      <w:bCs/>
      <w:sz w:val="28"/>
      <w:szCs w:val="24"/>
      <w:u w:val="single"/>
    </w:rPr>
  </w:style>
  <w:style w:type="paragraph" w:customStyle="1" w:styleId="Heading1Instructions">
    <w:name w:val="Heading 1 Instructions"/>
    <w:basedOn w:val="Heading1"/>
    <w:link w:val="Heading1InstructionsChar"/>
    <w:qFormat/>
    <w:rsid w:val="00136885"/>
    <w:pPr>
      <w:spacing w:before="240" w:after="0" w:line="240" w:lineRule="auto"/>
      <w:ind w:left="360" w:hanging="360"/>
      <w:contextualSpacing/>
      <w:jc w:val="center"/>
    </w:pPr>
    <w:rPr>
      <w:rFonts w:ascii="Arial" w:hAnsi="Arial" w:cs="Arial"/>
      <w:b/>
      <w:sz w:val="32"/>
      <w:szCs w:val="32"/>
    </w:rPr>
  </w:style>
  <w:style w:type="character" w:customStyle="1" w:styleId="Heading1InstructionsChar">
    <w:name w:val="Heading 1 Instructions Char"/>
    <w:basedOn w:val="Heading1Char"/>
    <w:link w:val="Heading1Instructions"/>
    <w:rsid w:val="00136885"/>
    <w:rPr>
      <w:rFonts w:ascii="Arial" w:eastAsiaTheme="majorEastAsia" w:hAnsi="Arial" w:cs="Arial"/>
      <w:b/>
      <w:color w:val="0F4761" w:themeColor="accent1" w:themeShade="BF"/>
      <w:sz w:val="32"/>
      <w:szCs w:val="32"/>
    </w:rPr>
  </w:style>
  <w:style w:type="character" w:customStyle="1" w:styleId="Heading1Char">
    <w:name w:val="Heading 1 Char"/>
    <w:basedOn w:val="DefaultParagraphFont"/>
    <w:link w:val="Heading1"/>
    <w:uiPriority w:val="9"/>
    <w:rsid w:val="00136885"/>
    <w:rPr>
      <w:rFonts w:asciiTheme="majorHAnsi" w:eastAsiaTheme="majorEastAsia" w:hAnsiTheme="majorHAnsi" w:cstheme="majorBidi"/>
      <w:color w:val="0F4761" w:themeColor="accent1" w:themeShade="BF"/>
      <w:sz w:val="40"/>
      <w:szCs w:val="40"/>
    </w:rPr>
  </w:style>
  <w:style w:type="paragraph" w:customStyle="1" w:styleId="1probate">
    <w:name w:val="1 probate"/>
    <w:basedOn w:val="Heading1"/>
    <w:link w:val="1probateChar"/>
    <w:qFormat/>
    <w:rsid w:val="00136885"/>
    <w:pPr>
      <w:spacing w:before="240" w:after="0" w:line="240" w:lineRule="auto"/>
      <w:contextualSpacing/>
      <w:jc w:val="both"/>
    </w:pPr>
    <w:rPr>
      <w:rFonts w:ascii="Arial" w:hAnsi="Arial" w:cs="Arial"/>
      <w:b/>
      <w:sz w:val="32"/>
      <w:szCs w:val="24"/>
    </w:rPr>
  </w:style>
  <w:style w:type="character" w:customStyle="1" w:styleId="1probateChar">
    <w:name w:val="1 probate Char"/>
    <w:basedOn w:val="Heading1Char"/>
    <w:link w:val="1probate"/>
    <w:rsid w:val="00136885"/>
    <w:rPr>
      <w:rFonts w:ascii="Arial" w:eastAsiaTheme="majorEastAsia" w:hAnsi="Arial" w:cs="Arial"/>
      <w:b/>
      <w:color w:val="0F4761" w:themeColor="accent1" w:themeShade="BF"/>
      <w:sz w:val="32"/>
      <w:szCs w:val="24"/>
    </w:rPr>
  </w:style>
  <w:style w:type="paragraph" w:customStyle="1" w:styleId="12probate">
    <w:name w:val="1.2 probate"/>
    <w:basedOn w:val="Heading1"/>
    <w:link w:val="12probateChar"/>
    <w:autoRedefine/>
    <w:qFormat/>
    <w:rsid w:val="00136885"/>
    <w:pPr>
      <w:spacing w:before="240" w:after="0" w:line="240" w:lineRule="auto"/>
      <w:ind w:left="2160" w:hanging="2160"/>
      <w:contextualSpacing/>
      <w:jc w:val="center"/>
    </w:pPr>
    <w:rPr>
      <w:rFonts w:ascii="Arial" w:hAnsi="Arial" w:cs="Times New Roman"/>
      <w:b/>
      <w:sz w:val="32"/>
      <w:szCs w:val="32"/>
    </w:rPr>
  </w:style>
  <w:style w:type="character" w:customStyle="1" w:styleId="12probateChar">
    <w:name w:val="1.2 probate Char"/>
    <w:basedOn w:val="Heading1Char"/>
    <w:link w:val="12probate"/>
    <w:rsid w:val="00136885"/>
    <w:rPr>
      <w:rFonts w:ascii="Arial" w:eastAsiaTheme="majorEastAsia" w:hAnsi="Arial" w:cs="Times New Roman"/>
      <w:b/>
      <w:color w:val="0F4761" w:themeColor="accent1" w:themeShade="BF"/>
      <w:sz w:val="32"/>
      <w:szCs w:val="32"/>
    </w:rPr>
  </w:style>
  <w:style w:type="paragraph" w:customStyle="1" w:styleId="21">
    <w:name w:val="2.1"/>
    <w:basedOn w:val="Heading2"/>
    <w:link w:val="21Char"/>
    <w:qFormat/>
    <w:rsid w:val="00136885"/>
    <w:pPr>
      <w:tabs>
        <w:tab w:val="left" w:pos="2520"/>
      </w:tabs>
      <w:spacing w:before="40" w:after="0" w:line="240" w:lineRule="auto"/>
      <w:contextualSpacing/>
      <w:jc w:val="both"/>
    </w:pPr>
    <w:rPr>
      <w:rFonts w:ascii="Arial" w:hAnsi="Arial" w:cs="Arial"/>
      <w:bCs/>
      <w:color w:val="000000" w:themeColor="text1"/>
      <w:sz w:val="24"/>
      <w:szCs w:val="24"/>
      <w:u w:val="single"/>
    </w:rPr>
  </w:style>
  <w:style w:type="character" w:customStyle="1" w:styleId="21Char">
    <w:name w:val="2.1 Char"/>
    <w:basedOn w:val="Heading2Char"/>
    <w:link w:val="21"/>
    <w:rsid w:val="00136885"/>
    <w:rPr>
      <w:rFonts w:ascii="Arial" w:eastAsiaTheme="majorEastAsia" w:hAnsi="Arial" w:cs="Arial"/>
      <w:bCs/>
      <w:color w:val="000000" w:themeColor="text1"/>
      <w:sz w:val="24"/>
      <w:szCs w:val="24"/>
      <w:u w:val="single"/>
    </w:rPr>
  </w:style>
  <w:style w:type="character" w:customStyle="1" w:styleId="Heading2Char">
    <w:name w:val="Heading 2 Char"/>
    <w:basedOn w:val="DefaultParagraphFont"/>
    <w:link w:val="Heading2"/>
    <w:uiPriority w:val="9"/>
    <w:semiHidden/>
    <w:rsid w:val="00136885"/>
    <w:rPr>
      <w:rFonts w:asciiTheme="majorHAnsi" w:eastAsiaTheme="majorEastAsia" w:hAnsiTheme="majorHAnsi" w:cstheme="majorBidi"/>
      <w:color w:val="0F4761" w:themeColor="accent1" w:themeShade="BF"/>
      <w:sz w:val="32"/>
      <w:szCs w:val="32"/>
    </w:rPr>
  </w:style>
  <w:style w:type="paragraph" w:customStyle="1" w:styleId="22probate">
    <w:name w:val="2.2 probate"/>
    <w:basedOn w:val="Heading2"/>
    <w:link w:val="22probateChar"/>
    <w:autoRedefine/>
    <w:qFormat/>
    <w:rsid w:val="00136885"/>
    <w:pPr>
      <w:tabs>
        <w:tab w:val="left" w:pos="2520"/>
      </w:tabs>
      <w:spacing w:before="40" w:after="0" w:line="240" w:lineRule="auto"/>
      <w:contextualSpacing/>
      <w:jc w:val="both"/>
    </w:pPr>
    <w:rPr>
      <w:rFonts w:ascii="Arial" w:hAnsi="Arial" w:cs="Times New Roman"/>
      <w:b/>
      <w:u w:val="single"/>
    </w:rPr>
  </w:style>
  <w:style w:type="character" w:customStyle="1" w:styleId="22probateChar">
    <w:name w:val="2.2 probate Char"/>
    <w:basedOn w:val="Heading2Char"/>
    <w:link w:val="22probate"/>
    <w:rsid w:val="00136885"/>
    <w:rPr>
      <w:rFonts w:ascii="Arial" w:eastAsiaTheme="majorEastAsia" w:hAnsi="Arial" w:cs="Times New Roman"/>
      <w:b/>
      <w:color w:val="0F4761" w:themeColor="accent1" w:themeShade="BF"/>
      <w:sz w:val="32"/>
      <w:szCs w:val="32"/>
      <w:u w:val="single"/>
    </w:rPr>
  </w:style>
  <w:style w:type="paragraph" w:customStyle="1" w:styleId="11probate">
    <w:name w:val="1.1 probate"/>
    <w:basedOn w:val="Heading1"/>
    <w:link w:val="11probateChar"/>
    <w:autoRedefine/>
    <w:qFormat/>
    <w:rsid w:val="00136885"/>
    <w:pPr>
      <w:spacing w:before="240" w:after="0" w:line="240" w:lineRule="auto"/>
      <w:contextualSpacing/>
      <w:jc w:val="both"/>
    </w:pPr>
    <w:rPr>
      <w:rFonts w:ascii="Arial" w:hAnsi="Arial" w:cs="Arial"/>
      <w:b/>
      <w:sz w:val="24"/>
      <w:szCs w:val="24"/>
    </w:rPr>
  </w:style>
  <w:style w:type="character" w:customStyle="1" w:styleId="11probateChar">
    <w:name w:val="1.1 probate Char"/>
    <w:basedOn w:val="Heading1Char"/>
    <w:link w:val="11probate"/>
    <w:rsid w:val="00136885"/>
    <w:rPr>
      <w:rFonts w:ascii="Arial" w:eastAsiaTheme="majorEastAsia" w:hAnsi="Arial" w:cs="Arial"/>
      <w:b/>
      <w:color w:val="0F4761" w:themeColor="accent1" w:themeShade="BF"/>
      <w:sz w:val="24"/>
      <w:szCs w:val="24"/>
    </w:rPr>
  </w:style>
  <w:style w:type="paragraph" w:customStyle="1" w:styleId="21probate">
    <w:name w:val="2.1 probate"/>
    <w:basedOn w:val="Heading2"/>
    <w:link w:val="21probateChar"/>
    <w:autoRedefine/>
    <w:qFormat/>
    <w:rsid w:val="00136885"/>
    <w:pPr>
      <w:tabs>
        <w:tab w:val="left" w:pos="2520"/>
      </w:tabs>
      <w:spacing w:before="40" w:after="0" w:line="240" w:lineRule="auto"/>
      <w:contextualSpacing/>
      <w:jc w:val="both"/>
    </w:pPr>
    <w:rPr>
      <w:rFonts w:ascii="Arial" w:hAnsi="Arial" w:cs="Arial"/>
      <w:bCs/>
      <w:color w:val="000000" w:themeColor="text1"/>
      <w:sz w:val="24"/>
      <w:szCs w:val="24"/>
      <w:u w:val="single"/>
    </w:rPr>
  </w:style>
  <w:style w:type="character" w:customStyle="1" w:styleId="21probateChar">
    <w:name w:val="2.1 probate Char"/>
    <w:basedOn w:val="Heading2Char"/>
    <w:link w:val="21probate"/>
    <w:rsid w:val="00136885"/>
    <w:rPr>
      <w:rFonts w:ascii="Arial" w:eastAsiaTheme="majorEastAsia" w:hAnsi="Arial" w:cs="Arial"/>
      <w:bCs/>
      <w:color w:val="000000" w:themeColor="text1"/>
      <w:sz w:val="24"/>
      <w:szCs w:val="24"/>
      <w:u w:val="single"/>
    </w:rPr>
  </w:style>
  <w:style w:type="paragraph" w:customStyle="1" w:styleId="4probate">
    <w:name w:val="4 probate"/>
    <w:basedOn w:val="Heading4"/>
    <w:link w:val="4probateChar"/>
    <w:autoRedefine/>
    <w:qFormat/>
    <w:rsid w:val="00136885"/>
    <w:pPr>
      <w:spacing w:before="40" w:after="0" w:line="240" w:lineRule="auto"/>
      <w:contextualSpacing/>
      <w:jc w:val="both"/>
    </w:pPr>
    <w:rPr>
      <w:rFonts w:ascii="Arial" w:hAnsi="Arial" w:cs="Times New Roman"/>
      <w:b/>
      <w:i w:val="0"/>
      <w:sz w:val="28"/>
      <w:szCs w:val="24"/>
      <w:u w:val="single"/>
    </w:rPr>
  </w:style>
  <w:style w:type="character" w:customStyle="1" w:styleId="4probateChar">
    <w:name w:val="4 probate Char"/>
    <w:basedOn w:val="Heading4Char"/>
    <w:link w:val="4probate"/>
    <w:rsid w:val="00136885"/>
    <w:rPr>
      <w:rFonts w:ascii="Arial" w:eastAsiaTheme="majorEastAsia" w:hAnsi="Arial" w:cs="Times New Roman"/>
      <w:b/>
      <w:i w:val="0"/>
      <w:iCs/>
      <w:color w:val="0F4761" w:themeColor="accent1" w:themeShade="BF"/>
      <w:sz w:val="28"/>
      <w:szCs w:val="24"/>
      <w:u w:val="single"/>
    </w:rPr>
  </w:style>
  <w:style w:type="character" w:customStyle="1" w:styleId="Heading4Char">
    <w:name w:val="Heading 4 Char"/>
    <w:basedOn w:val="DefaultParagraphFont"/>
    <w:link w:val="Heading4"/>
    <w:uiPriority w:val="9"/>
    <w:semiHidden/>
    <w:rsid w:val="00136885"/>
    <w:rPr>
      <w:rFonts w:eastAsiaTheme="majorEastAsia" w:cstheme="majorBidi"/>
      <w:i/>
      <w:iCs/>
      <w:color w:val="0F4761" w:themeColor="accent1" w:themeShade="BF"/>
    </w:rPr>
  </w:style>
  <w:style w:type="character" w:customStyle="1" w:styleId="Heading3Char">
    <w:name w:val="Heading 3 Char"/>
    <w:basedOn w:val="DefaultParagraphFont"/>
    <w:link w:val="Heading3"/>
    <w:uiPriority w:val="9"/>
    <w:semiHidden/>
    <w:rsid w:val="001912E3"/>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191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2E3"/>
    <w:rPr>
      <w:rFonts w:eastAsiaTheme="majorEastAsia" w:cstheme="majorBidi"/>
      <w:color w:val="272727" w:themeColor="text1" w:themeTint="D8"/>
    </w:rPr>
  </w:style>
  <w:style w:type="paragraph" w:styleId="Title">
    <w:name w:val="Title"/>
    <w:basedOn w:val="Normal"/>
    <w:next w:val="Normal"/>
    <w:link w:val="TitleChar"/>
    <w:uiPriority w:val="10"/>
    <w:qFormat/>
    <w:rsid w:val="00191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2E3"/>
    <w:pPr>
      <w:spacing w:before="160"/>
      <w:jc w:val="center"/>
    </w:pPr>
    <w:rPr>
      <w:i/>
      <w:iCs/>
      <w:color w:val="404040" w:themeColor="text1" w:themeTint="BF"/>
    </w:rPr>
  </w:style>
  <w:style w:type="character" w:customStyle="1" w:styleId="QuoteChar">
    <w:name w:val="Quote Char"/>
    <w:basedOn w:val="DefaultParagraphFont"/>
    <w:link w:val="Quote"/>
    <w:uiPriority w:val="29"/>
    <w:rsid w:val="001912E3"/>
    <w:rPr>
      <w:i/>
      <w:iCs/>
      <w:color w:val="404040" w:themeColor="text1" w:themeTint="BF"/>
    </w:rPr>
  </w:style>
  <w:style w:type="paragraph" w:styleId="ListParagraph">
    <w:name w:val="List Paragraph"/>
    <w:basedOn w:val="Normal"/>
    <w:uiPriority w:val="34"/>
    <w:qFormat/>
    <w:rsid w:val="001912E3"/>
    <w:pPr>
      <w:ind w:left="720"/>
      <w:contextualSpacing/>
    </w:pPr>
  </w:style>
  <w:style w:type="character" w:styleId="IntenseEmphasis">
    <w:name w:val="Intense Emphasis"/>
    <w:basedOn w:val="DefaultParagraphFont"/>
    <w:uiPriority w:val="21"/>
    <w:qFormat/>
    <w:rsid w:val="001912E3"/>
    <w:rPr>
      <w:i/>
      <w:iCs/>
      <w:color w:val="0F4761" w:themeColor="accent1" w:themeShade="BF"/>
    </w:rPr>
  </w:style>
  <w:style w:type="paragraph" w:styleId="IntenseQuote">
    <w:name w:val="Intense Quote"/>
    <w:basedOn w:val="Normal"/>
    <w:next w:val="Normal"/>
    <w:link w:val="IntenseQuoteChar"/>
    <w:uiPriority w:val="30"/>
    <w:qFormat/>
    <w:rsid w:val="00191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2E3"/>
    <w:rPr>
      <w:i/>
      <w:iCs/>
      <w:color w:val="0F4761" w:themeColor="accent1" w:themeShade="BF"/>
    </w:rPr>
  </w:style>
  <w:style w:type="character" w:styleId="IntenseReference">
    <w:name w:val="Intense Reference"/>
    <w:basedOn w:val="DefaultParagraphFont"/>
    <w:uiPriority w:val="32"/>
    <w:qFormat/>
    <w:rsid w:val="001912E3"/>
    <w:rPr>
      <w:b/>
      <w:bCs/>
      <w:smallCaps/>
      <w:color w:val="0F4761" w:themeColor="accent1" w:themeShade="BF"/>
      <w:spacing w:val="5"/>
    </w:rPr>
  </w:style>
  <w:style w:type="numbering" w:customStyle="1" w:styleId="NoList1">
    <w:name w:val="No List1"/>
    <w:next w:val="NoList"/>
    <w:uiPriority w:val="99"/>
    <w:semiHidden/>
    <w:unhideWhenUsed/>
    <w:rsid w:val="001912E3"/>
  </w:style>
  <w:style w:type="paragraph" w:styleId="Footer">
    <w:name w:val="footer"/>
    <w:basedOn w:val="Normal"/>
    <w:link w:val="FooterChar"/>
    <w:uiPriority w:val="99"/>
    <w:unhideWhenUsed/>
    <w:rsid w:val="001912E3"/>
    <w:pPr>
      <w:tabs>
        <w:tab w:val="center" w:pos="4680"/>
        <w:tab w:val="right" w:pos="9360"/>
      </w:tabs>
      <w:spacing w:after="0" w:line="240" w:lineRule="auto"/>
      <w:contextualSpacing/>
    </w:pPr>
    <w:rPr>
      <w:rFonts w:ascii="Times New Roman" w:eastAsia="Calibri" w:hAnsi="Times New Roman" w:cs="Times New Roman"/>
      <w:kern w:val="0"/>
      <w:sz w:val="24"/>
      <w14:ligatures w14:val="none"/>
    </w:rPr>
  </w:style>
  <w:style w:type="character" w:customStyle="1" w:styleId="FooterChar">
    <w:name w:val="Footer Char"/>
    <w:basedOn w:val="DefaultParagraphFont"/>
    <w:link w:val="Footer"/>
    <w:uiPriority w:val="99"/>
    <w:rsid w:val="001912E3"/>
    <w:rPr>
      <w:rFonts w:ascii="Times New Roman" w:eastAsia="Calibri" w:hAnsi="Times New Roman" w:cs="Times New Roman"/>
      <w:kern w:val="0"/>
      <w:sz w:val="24"/>
      <w14:ligatures w14:val="none"/>
    </w:rPr>
  </w:style>
  <w:style w:type="character" w:styleId="Hyperlink">
    <w:name w:val="Hyperlink"/>
    <w:uiPriority w:val="99"/>
    <w:unhideWhenUsed/>
    <w:rsid w:val="001912E3"/>
    <w:rPr>
      <w:color w:val="0000FF"/>
      <w:u w:val="single"/>
    </w:rPr>
  </w:style>
  <w:style w:type="paragraph" w:styleId="BalloonText">
    <w:name w:val="Balloon Text"/>
    <w:basedOn w:val="Normal"/>
    <w:link w:val="BalloonTextChar"/>
    <w:uiPriority w:val="99"/>
    <w:semiHidden/>
    <w:unhideWhenUsed/>
    <w:rsid w:val="001912E3"/>
    <w:pPr>
      <w:spacing w:after="0" w:line="240" w:lineRule="auto"/>
      <w:contextualSpacing/>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1912E3"/>
    <w:rPr>
      <w:rFonts w:ascii="Tahoma" w:eastAsia="Calibri" w:hAnsi="Tahoma" w:cs="Tahoma"/>
      <w:kern w:val="0"/>
      <w:sz w:val="16"/>
      <w:szCs w:val="16"/>
      <w14:ligatures w14:val="none"/>
    </w:rPr>
  </w:style>
  <w:style w:type="paragraph" w:styleId="Header">
    <w:name w:val="header"/>
    <w:basedOn w:val="Normal"/>
    <w:link w:val="HeaderChar"/>
    <w:uiPriority w:val="99"/>
    <w:unhideWhenUsed/>
    <w:rsid w:val="001912E3"/>
    <w:pPr>
      <w:tabs>
        <w:tab w:val="center" w:pos="4680"/>
        <w:tab w:val="right" w:pos="9360"/>
      </w:tabs>
      <w:spacing w:after="0" w:line="240" w:lineRule="auto"/>
      <w:contextualSpacing/>
    </w:pPr>
    <w:rPr>
      <w:rFonts w:ascii="Times New Roman" w:eastAsia="Calibri" w:hAnsi="Times New Roman" w:cs="Times New Roman"/>
      <w:kern w:val="0"/>
      <w:sz w:val="24"/>
      <w14:ligatures w14:val="none"/>
    </w:rPr>
  </w:style>
  <w:style w:type="character" w:customStyle="1" w:styleId="HeaderChar">
    <w:name w:val="Header Char"/>
    <w:basedOn w:val="DefaultParagraphFont"/>
    <w:link w:val="Header"/>
    <w:uiPriority w:val="99"/>
    <w:rsid w:val="001912E3"/>
    <w:rPr>
      <w:rFonts w:ascii="Times New Roman" w:eastAsia="Calibri" w:hAnsi="Times New Roman" w:cs="Times New Roman"/>
      <w:kern w:val="0"/>
      <w:sz w:val="24"/>
      <w14:ligatures w14:val="none"/>
    </w:rPr>
  </w:style>
  <w:style w:type="paragraph" w:styleId="FootnoteText">
    <w:name w:val="footnote text"/>
    <w:basedOn w:val="Normal"/>
    <w:link w:val="FootnoteTextChar"/>
    <w:uiPriority w:val="99"/>
    <w:unhideWhenUsed/>
    <w:rsid w:val="001912E3"/>
    <w:pPr>
      <w:spacing w:after="0" w:line="240" w:lineRule="auto"/>
      <w:contextualSpacing/>
    </w:pPr>
    <w:rPr>
      <w:rFonts w:ascii="Times New Roman" w:eastAsia="Calibri"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1912E3"/>
    <w:rPr>
      <w:rFonts w:ascii="Times New Roman" w:eastAsia="Calibri" w:hAnsi="Times New Roman" w:cs="Times New Roman"/>
      <w:kern w:val="0"/>
      <w:sz w:val="20"/>
      <w:szCs w:val="20"/>
      <w14:ligatures w14:val="none"/>
    </w:rPr>
  </w:style>
  <w:style w:type="character" w:styleId="FootnoteReference">
    <w:name w:val="footnote reference"/>
    <w:uiPriority w:val="99"/>
    <w:semiHidden/>
    <w:unhideWhenUsed/>
    <w:rsid w:val="001912E3"/>
    <w:rPr>
      <w:vertAlign w:val="superscript"/>
    </w:rPr>
  </w:style>
  <w:style w:type="character" w:styleId="CommentReference">
    <w:name w:val="annotation reference"/>
    <w:uiPriority w:val="99"/>
    <w:semiHidden/>
    <w:unhideWhenUsed/>
    <w:rsid w:val="001912E3"/>
    <w:rPr>
      <w:sz w:val="16"/>
      <w:szCs w:val="16"/>
    </w:rPr>
  </w:style>
  <w:style w:type="paragraph" w:styleId="CommentText">
    <w:name w:val="annotation text"/>
    <w:basedOn w:val="Normal"/>
    <w:link w:val="CommentTextChar"/>
    <w:uiPriority w:val="99"/>
    <w:semiHidden/>
    <w:unhideWhenUsed/>
    <w:rsid w:val="001912E3"/>
    <w:pPr>
      <w:spacing w:after="0" w:line="240" w:lineRule="auto"/>
      <w:contextualSpacing/>
    </w:pPr>
    <w:rPr>
      <w:rFonts w:ascii="Times New Roman" w:eastAsia="Calibri"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1912E3"/>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912E3"/>
    <w:rPr>
      <w:b/>
      <w:bCs/>
    </w:rPr>
  </w:style>
  <w:style w:type="character" w:customStyle="1" w:styleId="CommentSubjectChar">
    <w:name w:val="Comment Subject Char"/>
    <w:basedOn w:val="CommentTextChar"/>
    <w:link w:val="CommentSubject"/>
    <w:uiPriority w:val="99"/>
    <w:semiHidden/>
    <w:rsid w:val="001912E3"/>
    <w:rPr>
      <w:rFonts w:ascii="Times New Roman" w:eastAsia="Calibri" w:hAnsi="Times New Roman" w:cs="Times New Roman"/>
      <w:b/>
      <w:bCs/>
      <w:kern w:val="0"/>
      <w:sz w:val="20"/>
      <w:szCs w:val="20"/>
      <w14:ligatures w14:val="none"/>
    </w:rPr>
  </w:style>
  <w:style w:type="character" w:styleId="FollowedHyperlink">
    <w:name w:val="FollowedHyperlink"/>
    <w:uiPriority w:val="99"/>
    <w:semiHidden/>
    <w:unhideWhenUsed/>
    <w:rsid w:val="001912E3"/>
    <w:rPr>
      <w:color w:val="800080"/>
      <w:u w:val="single"/>
    </w:rPr>
  </w:style>
  <w:style w:type="character" w:styleId="Strong">
    <w:name w:val="Strong"/>
    <w:uiPriority w:val="22"/>
    <w:qFormat/>
    <w:rsid w:val="001912E3"/>
    <w:rPr>
      <w:b/>
      <w:bCs/>
    </w:rPr>
  </w:style>
  <w:style w:type="paragraph" w:customStyle="1" w:styleId="Default">
    <w:name w:val="Default"/>
    <w:rsid w:val="001912E3"/>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Revision">
    <w:name w:val="Revision"/>
    <w:hidden/>
    <w:uiPriority w:val="99"/>
    <w:semiHidden/>
    <w:rsid w:val="001912E3"/>
    <w:pPr>
      <w:spacing w:after="0" w:line="240" w:lineRule="auto"/>
    </w:pPr>
    <w:rPr>
      <w:rFonts w:ascii="Times New Roman" w:eastAsia="Calibri" w:hAnsi="Times New Roman" w:cs="Times New Roman"/>
      <w:kern w:val="0"/>
      <w:sz w:val="24"/>
      <w14:ligatures w14:val="none"/>
    </w:rPr>
  </w:style>
  <w:style w:type="character" w:customStyle="1" w:styleId="normaltextrun">
    <w:name w:val="normaltextrun"/>
    <w:basedOn w:val="DefaultParagraphFont"/>
    <w:rsid w:val="001912E3"/>
  </w:style>
  <w:style w:type="character" w:customStyle="1" w:styleId="findhit">
    <w:name w:val="findhit"/>
    <w:basedOn w:val="DefaultParagraphFont"/>
    <w:rsid w:val="001912E3"/>
  </w:style>
  <w:style w:type="character" w:customStyle="1" w:styleId="eop">
    <w:name w:val="eop"/>
    <w:basedOn w:val="DefaultParagraphFont"/>
    <w:rsid w:val="001912E3"/>
  </w:style>
  <w:style w:type="paragraph" w:customStyle="1" w:styleId="NoSpacing1">
    <w:name w:val="No Spacing1"/>
    <w:next w:val="NoSpacing"/>
    <w:uiPriority w:val="1"/>
    <w:qFormat/>
    <w:rsid w:val="001912E3"/>
    <w:pPr>
      <w:spacing w:after="0" w:line="240" w:lineRule="auto"/>
    </w:pPr>
    <w:rPr>
      <w:kern w:val="0"/>
      <w14:ligatures w14:val="none"/>
    </w:rPr>
  </w:style>
  <w:style w:type="character" w:styleId="UnresolvedMention">
    <w:name w:val="Unresolved Mention"/>
    <w:basedOn w:val="DefaultParagraphFont"/>
    <w:uiPriority w:val="99"/>
    <w:semiHidden/>
    <w:unhideWhenUsed/>
    <w:rsid w:val="001912E3"/>
    <w:rPr>
      <w:color w:val="605E5C"/>
      <w:shd w:val="clear" w:color="auto" w:fill="E1DFDD"/>
    </w:rPr>
  </w:style>
  <w:style w:type="character" w:customStyle="1" w:styleId="bumpedfont15">
    <w:name w:val="bumpedfont15"/>
    <w:basedOn w:val="DefaultParagraphFont"/>
    <w:rsid w:val="001912E3"/>
  </w:style>
  <w:style w:type="paragraph" w:styleId="NoSpacing">
    <w:name w:val="No Spacing"/>
    <w:uiPriority w:val="1"/>
    <w:qFormat/>
    <w:rsid w:val="001912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corrections.az.gov/sites/default/files/documents/policies/700/DO%20710%20-%20Eff.%205-20-25.pdf" TargetMode="External"/><Relationship Id="rId1" Type="http://schemas.openxmlformats.org/officeDocument/2006/relationships/hyperlink" Target="https://corrections.az.gov/sites/default/files/documents/policies/700/DO%20710%20-%20Eff.%205-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9" ma:contentTypeDescription="Create a new document." ma:contentTypeScope="" ma:versionID="e21610e0be4588891f86c5591939dfb9">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c3e4b10f52b10fd145f2ed8b402ca3c"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23D475-B93D-4AF8-B0C8-4CE7ED7FA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965C8D-0D42-4695-BE5B-2853E633F3EB}">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customXml/itemProps3.xml><?xml version="1.0" encoding="utf-8"?>
<ds:datastoreItem xmlns:ds="http://schemas.openxmlformats.org/officeDocument/2006/customXml" ds:itemID="{6EAE81DE-7FEE-4DC3-8166-9E4F129B16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3027</Words>
  <Characters>17256</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20243</CharactersWithSpaces>
  <SharedDoc>false</SharedDoc>
  <HLinks>
    <vt:vector size="12" baseType="variant">
      <vt:variant>
        <vt:i4>8192121</vt:i4>
      </vt:variant>
      <vt:variant>
        <vt:i4>3</vt:i4>
      </vt:variant>
      <vt:variant>
        <vt:i4>0</vt:i4>
      </vt:variant>
      <vt:variant>
        <vt:i4>5</vt:i4>
      </vt:variant>
      <vt:variant>
        <vt:lpwstr>https://corrections.az.gov/sites/default/files/documents/policies/700/DO 710 - Eff. 5-20-25.pdf</vt:lpwstr>
      </vt:variant>
      <vt:variant>
        <vt:lpwstr/>
      </vt:variant>
      <vt:variant>
        <vt:i4>8192121</vt:i4>
      </vt:variant>
      <vt:variant>
        <vt:i4>0</vt:i4>
      </vt:variant>
      <vt:variant>
        <vt:i4>0</vt:i4>
      </vt:variant>
      <vt:variant>
        <vt:i4>5</vt:i4>
      </vt:variant>
      <vt:variant>
        <vt:lpwstr>https://corrections.az.gov/sites/default/files/documents/policies/700/DO 710 - Eff. 5-20-25.pdf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Veronica</dc:creator>
  <cp:keywords/>
  <dc:description/>
  <cp:lastModifiedBy>Gonzales, Veronica</cp:lastModifiedBy>
  <cp:revision>56</cp:revision>
  <dcterms:created xsi:type="dcterms:W3CDTF">2026-04-15T22:57:00Z</dcterms:created>
  <dcterms:modified xsi:type="dcterms:W3CDTF">2026-04-30T16:18:00Z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MediaServiceImageTags">
    <vt:lpwstr/>
  </property>
</Properties>
</file>