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121E9" w14:textId="77777777" w:rsidR="00BE6C4D" w:rsidRDefault="00BE6C4D" w:rsidP="00BE6C4D">
      <w:pPr>
        <w:spacing w:line="240" w:lineRule="auto"/>
        <w:rPr>
          <w:b/>
          <w:sz w:val="28"/>
          <w:szCs w:val="28"/>
        </w:rPr>
      </w:pPr>
      <w:r>
        <w:rPr>
          <w:b/>
          <w:sz w:val="28"/>
          <w:szCs w:val="28"/>
        </w:rPr>
        <w:t>Elizabeth Burton Ortiz</w:t>
      </w:r>
    </w:p>
    <w:p w14:paraId="400EBD37" w14:textId="77777777" w:rsidR="00BE6C4D" w:rsidRDefault="00BE6C4D" w:rsidP="00BE6C4D">
      <w:pPr>
        <w:spacing w:line="240" w:lineRule="auto"/>
        <w:rPr>
          <w:bCs/>
          <w:sz w:val="28"/>
          <w:szCs w:val="28"/>
        </w:rPr>
      </w:pPr>
      <w:r>
        <w:rPr>
          <w:bCs/>
          <w:sz w:val="28"/>
          <w:szCs w:val="28"/>
        </w:rPr>
        <w:t>State Bar No. 012838</w:t>
      </w:r>
    </w:p>
    <w:p w14:paraId="107DAB18" w14:textId="77777777" w:rsidR="00BE6C4D" w:rsidRDefault="00BE6C4D" w:rsidP="00BE6C4D">
      <w:pPr>
        <w:spacing w:line="240" w:lineRule="auto"/>
        <w:rPr>
          <w:bCs/>
          <w:sz w:val="28"/>
          <w:szCs w:val="28"/>
        </w:rPr>
      </w:pPr>
      <w:r>
        <w:rPr>
          <w:bCs/>
          <w:sz w:val="28"/>
          <w:szCs w:val="28"/>
        </w:rPr>
        <w:t>ARIZONA PROSECUTING ATTORNEYS’</w:t>
      </w:r>
    </w:p>
    <w:p w14:paraId="40196F77" w14:textId="77777777" w:rsidR="00BE6C4D" w:rsidRDefault="00BE6C4D" w:rsidP="00BE6C4D">
      <w:pPr>
        <w:spacing w:line="240" w:lineRule="auto"/>
        <w:rPr>
          <w:bCs/>
          <w:sz w:val="28"/>
          <w:szCs w:val="28"/>
        </w:rPr>
      </w:pPr>
      <w:r>
        <w:rPr>
          <w:bCs/>
          <w:sz w:val="28"/>
          <w:szCs w:val="28"/>
        </w:rPr>
        <w:t>ADVISORY COUNCIL</w:t>
      </w:r>
    </w:p>
    <w:p w14:paraId="2AD60777" w14:textId="77777777" w:rsidR="00BE6C4D" w:rsidRDefault="00BE6C4D" w:rsidP="00BE6C4D">
      <w:pPr>
        <w:spacing w:line="240" w:lineRule="auto"/>
        <w:rPr>
          <w:bCs/>
          <w:sz w:val="28"/>
          <w:szCs w:val="28"/>
        </w:rPr>
      </w:pPr>
      <w:r>
        <w:rPr>
          <w:bCs/>
          <w:sz w:val="28"/>
          <w:szCs w:val="28"/>
        </w:rPr>
        <w:t>3838 N. Central Avenue, Suite 850</w:t>
      </w:r>
    </w:p>
    <w:p w14:paraId="6FE934E6" w14:textId="77777777" w:rsidR="00BE6C4D" w:rsidRDefault="00BE6C4D" w:rsidP="00BE6C4D">
      <w:pPr>
        <w:spacing w:line="240" w:lineRule="auto"/>
        <w:rPr>
          <w:bCs/>
          <w:sz w:val="28"/>
          <w:szCs w:val="28"/>
        </w:rPr>
      </w:pPr>
      <w:r>
        <w:rPr>
          <w:bCs/>
          <w:sz w:val="28"/>
          <w:szCs w:val="28"/>
        </w:rPr>
        <w:t>Phoenix, Arizona 85012</w:t>
      </w:r>
    </w:p>
    <w:p w14:paraId="609F3F22" w14:textId="77777777" w:rsidR="00BE6C4D" w:rsidRDefault="00BE6C4D" w:rsidP="00BE6C4D">
      <w:pPr>
        <w:spacing w:line="240" w:lineRule="auto"/>
        <w:rPr>
          <w:bCs/>
          <w:sz w:val="28"/>
          <w:szCs w:val="28"/>
        </w:rPr>
      </w:pPr>
      <w:r>
        <w:rPr>
          <w:bCs/>
          <w:sz w:val="28"/>
          <w:szCs w:val="28"/>
        </w:rPr>
        <w:t>Tel. (602) 542-7222</w:t>
      </w:r>
    </w:p>
    <w:p w14:paraId="5845E4A0" w14:textId="77777777" w:rsidR="00BE6C4D" w:rsidRPr="0011149A" w:rsidRDefault="00BE6C4D" w:rsidP="00BE6C4D">
      <w:pPr>
        <w:spacing w:line="240" w:lineRule="auto"/>
        <w:rPr>
          <w:bCs/>
          <w:sz w:val="28"/>
          <w:szCs w:val="28"/>
        </w:rPr>
      </w:pPr>
      <w:r>
        <w:rPr>
          <w:bCs/>
          <w:sz w:val="28"/>
          <w:szCs w:val="28"/>
        </w:rPr>
        <w:t>Fax. (602) 274-4215</w:t>
      </w:r>
    </w:p>
    <w:p w14:paraId="0C60AFD6" w14:textId="77777777" w:rsidR="00BE6C4D" w:rsidRPr="005A5BAF" w:rsidRDefault="00BE6C4D" w:rsidP="00BE6C4D">
      <w:pPr>
        <w:spacing w:line="240" w:lineRule="auto"/>
        <w:rPr>
          <w:sz w:val="28"/>
          <w:szCs w:val="28"/>
        </w:rPr>
      </w:pPr>
    </w:p>
    <w:p w14:paraId="744652D2" w14:textId="77777777" w:rsidR="00BE6C4D" w:rsidRPr="00C058A6" w:rsidRDefault="00BE6C4D" w:rsidP="00BE6C4D">
      <w:pPr>
        <w:spacing w:line="240" w:lineRule="auto"/>
        <w:jc w:val="center"/>
        <w:rPr>
          <w:b/>
          <w:bCs/>
          <w:sz w:val="28"/>
          <w:szCs w:val="28"/>
        </w:rPr>
      </w:pPr>
      <w:r w:rsidRPr="00C058A6">
        <w:rPr>
          <w:b/>
          <w:bCs/>
          <w:sz w:val="28"/>
          <w:szCs w:val="28"/>
        </w:rPr>
        <w:t>IN THE SUPR</w:t>
      </w:r>
      <w:r>
        <w:rPr>
          <w:b/>
          <w:bCs/>
          <w:sz w:val="28"/>
          <w:szCs w:val="28"/>
        </w:rPr>
        <w:t>EME</w:t>
      </w:r>
      <w:r w:rsidRPr="00C058A6">
        <w:rPr>
          <w:b/>
          <w:bCs/>
          <w:sz w:val="28"/>
          <w:szCs w:val="28"/>
        </w:rPr>
        <w:t xml:space="preserve"> COURT OF THE STATE OF ARIZONA</w:t>
      </w:r>
    </w:p>
    <w:p w14:paraId="48E43754" w14:textId="77777777" w:rsidR="00BE6C4D" w:rsidRPr="00C058A6" w:rsidRDefault="00BE6C4D" w:rsidP="00BE6C4D">
      <w:pPr>
        <w:spacing w:line="240" w:lineRule="auto"/>
        <w:rPr>
          <w:b/>
          <w:bCs/>
          <w:sz w:val="28"/>
          <w:szCs w:val="28"/>
        </w:rPr>
      </w:pPr>
    </w:p>
    <w:p w14:paraId="762B60DD" w14:textId="77777777" w:rsidR="00BE6C4D" w:rsidRPr="005A5BAF" w:rsidRDefault="00BE6C4D" w:rsidP="00BE6C4D">
      <w:pPr>
        <w:spacing w:line="240" w:lineRule="auto"/>
        <w:jc w:val="center"/>
        <w:rPr>
          <w:sz w:val="28"/>
          <w:szCs w:val="28"/>
        </w:rPr>
      </w:pPr>
    </w:p>
    <w:tbl>
      <w:tblPr>
        <w:tblW w:w="9138" w:type="dxa"/>
        <w:tblLayout w:type="fixed"/>
        <w:tblCellMar>
          <w:left w:w="0" w:type="dxa"/>
          <w:right w:w="0" w:type="dxa"/>
        </w:tblCellMar>
        <w:tblLook w:val="0000" w:firstRow="0" w:lastRow="0" w:firstColumn="0" w:lastColumn="0" w:noHBand="0" w:noVBand="0"/>
      </w:tblPr>
      <w:tblGrid>
        <w:gridCol w:w="4968"/>
        <w:gridCol w:w="4170"/>
      </w:tblGrid>
      <w:tr w:rsidR="00BE6C4D" w:rsidRPr="00366DB2" w14:paraId="63C4249B" w14:textId="77777777" w:rsidTr="002513BE">
        <w:trPr>
          <w:trHeight w:val="1425"/>
        </w:trPr>
        <w:tc>
          <w:tcPr>
            <w:tcW w:w="4968" w:type="dxa"/>
            <w:tcBorders>
              <w:right w:val="single" w:sz="4" w:space="0" w:color="auto"/>
            </w:tcBorders>
          </w:tcPr>
          <w:p w14:paraId="792FE5D5" w14:textId="77777777" w:rsidR="00BE6C4D" w:rsidRDefault="00BE6C4D" w:rsidP="002513BE">
            <w:pPr>
              <w:spacing w:line="240" w:lineRule="auto"/>
              <w:rPr>
                <w:sz w:val="28"/>
                <w:szCs w:val="28"/>
              </w:rPr>
            </w:pPr>
            <w:bookmarkStart w:id="0" w:name="Parties"/>
            <w:bookmarkEnd w:id="0"/>
            <w:r>
              <w:rPr>
                <w:sz w:val="28"/>
                <w:szCs w:val="28"/>
              </w:rPr>
              <w:t xml:space="preserve">In the Matter of </w:t>
            </w:r>
          </w:p>
          <w:p w14:paraId="3D911DC8" w14:textId="77777777" w:rsidR="00BE6C4D" w:rsidRDefault="00BE6C4D" w:rsidP="002513BE">
            <w:pPr>
              <w:spacing w:line="240" w:lineRule="auto"/>
              <w:rPr>
                <w:sz w:val="28"/>
                <w:szCs w:val="28"/>
              </w:rPr>
            </w:pPr>
          </w:p>
          <w:p w14:paraId="03304FCF" w14:textId="37D3E5CA" w:rsidR="00BE6C4D" w:rsidRPr="005A5BAF" w:rsidRDefault="00BE6C4D" w:rsidP="002513BE">
            <w:pPr>
              <w:spacing w:line="240" w:lineRule="auto"/>
              <w:ind w:right="279"/>
              <w:jc w:val="both"/>
              <w:rPr>
                <w:sz w:val="28"/>
                <w:szCs w:val="28"/>
              </w:rPr>
            </w:pPr>
            <w:r>
              <w:rPr>
                <w:sz w:val="28"/>
                <w:szCs w:val="28"/>
              </w:rPr>
              <w:t xml:space="preserve">PETITION TO AMEND </w:t>
            </w:r>
            <w:r w:rsidR="008F5CAD">
              <w:rPr>
                <w:sz w:val="28"/>
                <w:szCs w:val="28"/>
              </w:rPr>
              <w:t>RULES OF CRIMINAL PROCEDURE 1.9, 15.1, 32.6, AND 33.6</w:t>
            </w:r>
          </w:p>
        </w:tc>
        <w:tc>
          <w:tcPr>
            <w:tcW w:w="4170" w:type="dxa"/>
            <w:tcBorders>
              <w:left w:val="single" w:sz="4" w:space="0" w:color="auto"/>
            </w:tcBorders>
          </w:tcPr>
          <w:p w14:paraId="6F727CFB" w14:textId="5DB8D88E" w:rsidR="00BE6C4D" w:rsidRDefault="00BE6C4D" w:rsidP="002513BE">
            <w:pPr>
              <w:spacing w:line="240" w:lineRule="auto"/>
              <w:ind w:left="180"/>
              <w:rPr>
                <w:sz w:val="28"/>
                <w:szCs w:val="28"/>
              </w:rPr>
            </w:pPr>
            <w:bookmarkStart w:id="1" w:name="CaseNumber"/>
            <w:bookmarkEnd w:id="1"/>
            <w:r>
              <w:rPr>
                <w:sz w:val="28"/>
                <w:szCs w:val="28"/>
              </w:rPr>
              <w:t>In Re: R-</w:t>
            </w:r>
            <w:r w:rsidR="008F5CAD">
              <w:rPr>
                <w:sz w:val="28"/>
                <w:szCs w:val="28"/>
              </w:rPr>
              <w:t>26</w:t>
            </w:r>
            <w:r>
              <w:rPr>
                <w:sz w:val="28"/>
                <w:szCs w:val="28"/>
              </w:rPr>
              <w:t>-</w:t>
            </w:r>
            <w:r w:rsidR="008F5CAD">
              <w:rPr>
                <w:sz w:val="28"/>
                <w:szCs w:val="28"/>
              </w:rPr>
              <w:t>0024</w:t>
            </w:r>
          </w:p>
          <w:p w14:paraId="16319FA7" w14:textId="77777777" w:rsidR="00BE6C4D" w:rsidRPr="005A5BAF" w:rsidRDefault="00BE6C4D" w:rsidP="002513BE">
            <w:pPr>
              <w:spacing w:line="240" w:lineRule="auto"/>
              <w:ind w:left="180"/>
              <w:rPr>
                <w:sz w:val="28"/>
                <w:szCs w:val="28"/>
              </w:rPr>
            </w:pPr>
          </w:p>
          <w:p w14:paraId="08C67475" w14:textId="72DBFB77" w:rsidR="00BE6C4D" w:rsidRDefault="00BE6C4D" w:rsidP="002254AE">
            <w:pPr>
              <w:spacing w:line="240" w:lineRule="auto"/>
              <w:ind w:left="180"/>
              <w:rPr>
                <w:b/>
                <w:sz w:val="28"/>
                <w:szCs w:val="28"/>
              </w:rPr>
            </w:pPr>
            <w:r>
              <w:rPr>
                <w:b/>
                <w:sz w:val="28"/>
                <w:szCs w:val="28"/>
              </w:rPr>
              <w:t xml:space="preserve">ARIZONA PROSECUTING ATTORNEYS’ ADVISORY COUNCIL COMMENT IN </w:t>
            </w:r>
            <w:r w:rsidR="008F5CAD">
              <w:rPr>
                <w:b/>
                <w:sz w:val="28"/>
                <w:szCs w:val="28"/>
              </w:rPr>
              <w:t>OPPOSTION</w:t>
            </w:r>
          </w:p>
          <w:p w14:paraId="406E551E" w14:textId="77777777" w:rsidR="00BE6C4D" w:rsidRPr="005A5BAF" w:rsidRDefault="00BE6C4D" w:rsidP="002513BE">
            <w:pPr>
              <w:spacing w:line="240" w:lineRule="auto"/>
              <w:ind w:left="180"/>
              <w:jc w:val="both"/>
              <w:rPr>
                <w:sz w:val="28"/>
                <w:szCs w:val="28"/>
              </w:rPr>
            </w:pPr>
          </w:p>
        </w:tc>
      </w:tr>
      <w:tr w:rsidR="00BE6C4D" w:rsidRPr="00366DB2" w14:paraId="6287E059" w14:textId="77777777" w:rsidTr="002513BE">
        <w:trPr>
          <w:trHeight w:val="645"/>
        </w:trPr>
        <w:tc>
          <w:tcPr>
            <w:tcW w:w="4968" w:type="dxa"/>
            <w:tcBorders>
              <w:bottom w:val="single" w:sz="4" w:space="0" w:color="auto"/>
              <w:right w:val="single" w:sz="4" w:space="0" w:color="auto"/>
            </w:tcBorders>
          </w:tcPr>
          <w:p w14:paraId="76BD3DCD" w14:textId="77777777" w:rsidR="00BE6C4D" w:rsidRPr="005A5BAF" w:rsidRDefault="00BE6C4D" w:rsidP="002513BE">
            <w:pPr>
              <w:spacing w:line="240" w:lineRule="auto"/>
              <w:rPr>
                <w:sz w:val="28"/>
                <w:szCs w:val="28"/>
              </w:rPr>
            </w:pPr>
          </w:p>
          <w:p w14:paraId="54F8C61A" w14:textId="77777777" w:rsidR="00BE6C4D" w:rsidRPr="005A5BAF" w:rsidRDefault="00BE6C4D" w:rsidP="002513BE">
            <w:pPr>
              <w:spacing w:line="240" w:lineRule="auto"/>
              <w:rPr>
                <w:sz w:val="28"/>
                <w:szCs w:val="28"/>
              </w:rPr>
            </w:pPr>
          </w:p>
          <w:p w14:paraId="66D4AB2F" w14:textId="77777777" w:rsidR="00BE6C4D" w:rsidRPr="005A5BAF" w:rsidRDefault="00BE6C4D" w:rsidP="002513BE">
            <w:pPr>
              <w:spacing w:line="240" w:lineRule="auto"/>
              <w:rPr>
                <w:sz w:val="28"/>
                <w:szCs w:val="28"/>
              </w:rPr>
            </w:pPr>
          </w:p>
        </w:tc>
        <w:tc>
          <w:tcPr>
            <w:tcW w:w="4170" w:type="dxa"/>
            <w:tcBorders>
              <w:left w:val="single" w:sz="4" w:space="0" w:color="auto"/>
              <w:bottom w:val="single" w:sz="4" w:space="0" w:color="auto"/>
            </w:tcBorders>
          </w:tcPr>
          <w:p w14:paraId="07B81ED1" w14:textId="77777777" w:rsidR="00BE6C4D" w:rsidRPr="005A5BAF" w:rsidRDefault="00BE6C4D" w:rsidP="002513BE">
            <w:pPr>
              <w:spacing w:line="240" w:lineRule="auto"/>
              <w:ind w:left="180"/>
              <w:rPr>
                <w:sz w:val="28"/>
                <w:szCs w:val="28"/>
              </w:rPr>
            </w:pPr>
          </w:p>
          <w:p w14:paraId="3D82EB41" w14:textId="77777777" w:rsidR="00BE6C4D" w:rsidRPr="005A5BAF" w:rsidRDefault="00BE6C4D" w:rsidP="002513BE">
            <w:pPr>
              <w:spacing w:line="240" w:lineRule="auto"/>
              <w:ind w:left="180"/>
              <w:rPr>
                <w:sz w:val="28"/>
                <w:szCs w:val="28"/>
              </w:rPr>
            </w:pPr>
          </w:p>
        </w:tc>
      </w:tr>
    </w:tbl>
    <w:p w14:paraId="36C25304" w14:textId="77777777" w:rsidR="008F5CAD" w:rsidRDefault="008F5CAD" w:rsidP="008F5CAD">
      <w:pPr>
        <w:spacing w:line="480" w:lineRule="auto"/>
        <w:jc w:val="both"/>
        <w:rPr>
          <w:sz w:val="26"/>
          <w:szCs w:val="26"/>
        </w:rPr>
      </w:pPr>
      <w:r>
        <w:rPr>
          <w:sz w:val="26"/>
          <w:szCs w:val="26"/>
        </w:rPr>
        <w:tab/>
        <w:t>The Arizona Prosecuting Attorneys’ Advisory Council (“APAAC”) respectfully submits the following comment opposing Petition R-26-0024, which proposes to amend Rules 1.9, 15.1, 32.6, and 33.6, of the Arizona Rules of Criminal Procedure, to expand the use of ex parte hearings by criminal defendants for discovery purposes.</w:t>
      </w:r>
    </w:p>
    <w:p w14:paraId="57F7920D" w14:textId="77777777" w:rsidR="008F5CAD" w:rsidRDefault="008F5CAD" w:rsidP="008F5CAD">
      <w:pPr>
        <w:spacing w:line="480" w:lineRule="auto"/>
        <w:jc w:val="both"/>
        <w:rPr>
          <w:sz w:val="26"/>
          <w:szCs w:val="26"/>
        </w:rPr>
      </w:pPr>
      <w:r>
        <w:rPr>
          <w:sz w:val="26"/>
          <w:szCs w:val="26"/>
        </w:rPr>
        <w:tab/>
        <w:t xml:space="preserve">The use of ex parte hearings in criminal matters should be restricted, not expanded.  “Ex parte hearings are not required by due process or equal protection, and they are inherently harmful.  Not only can they give the appearance of judicial bias and favoritism, but they also create a risk of erroneous rulings based on one-sided information.”  </w:t>
      </w:r>
      <w:r>
        <w:rPr>
          <w:i/>
          <w:sz w:val="26"/>
          <w:szCs w:val="26"/>
        </w:rPr>
        <w:t>State v. Smith</w:t>
      </w:r>
      <w:r>
        <w:rPr>
          <w:sz w:val="26"/>
          <w:szCs w:val="26"/>
        </w:rPr>
        <w:t xml:space="preserve">, --- Ariz. ---. 1 CA-SA 25-0281, 2025 WL 3899501, *2, ¶ 10 (Ariz. Ct. App., Dec. 31, 2025).  This Court has also expressed concerns with ex parte hearings.  In </w:t>
      </w:r>
      <w:r>
        <w:rPr>
          <w:i/>
          <w:sz w:val="26"/>
          <w:szCs w:val="26"/>
        </w:rPr>
        <w:t xml:space="preserve">San Carlos </w:t>
      </w:r>
      <w:r>
        <w:rPr>
          <w:i/>
          <w:sz w:val="26"/>
          <w:szCs w:val="26"/>
        </w:rPr>
        <w:lastRenderedPageBreak/>
        <w:t>Apache Tribe v. Bolton</w:t>
      </w:r>
      <w:r>
        <w:rPr>
          <w:sz w:val="26"/>
          <w:szCs w:val="26"/>
        </w:rPr>
        <w:t>, 194 Ariz. 68, 72, ¶ 8 (1999), this Court stated that “Ex parte communications with a judge are prohibited for several reasons.  They cast doubt upon the adversary system and give the appearance of favoritism.”  This Court expanded upon those concerns in more detail:</w:t>
      </w:r>
    </w:p>
    <w:p w14:paraId="4FAACF25" w14:textId="77777777" w:rsidR="008F5CAD" w:rsidRDefault="008F5CAD" w:rsidP="008F5CAD">
      <w:pPr>
        <w:spacing w:line="240" w:lineRule="auto"/>
        <w:ind w:left="720" w:right="720"/>
        <w:jc w:val="both"/>
        <w:rPr>
          <w:sz w:val="26"/>
          <w:szCs w:val="26"/>
        </w:rPr>
      </w:pPr>
      <w:r>
        <w:rPr>
          <w:sz w:val="26"/>
          <w:szCs w:val="26"/>
        </w:rPr>
        <w:t>Ex parte communications also deprive the absent party of the right to respond and be heard.  They suggest bias or partiality on the part of the judge.  Ex parte conversations or correspondence can be misleading.  At the very least, participation in ex parte communications will expose the judge to one-sided argumentation, which carries the attendant risk of an erroneous ruling on the law or facts.  At worst, ex parte communications is an invitation to improper influence if not outright corruption.</w:t>
      </w:r>
    </w:p>
    <w:p w14:paraId="19CAB354" w14:textId="77777777" w:rsidR="008F5CAD" w:rsidRDefault="008F5CAD" w:rsidP="008F5CAD">
      <w:pPr>
        <w:spacing w:line="240" w:lineRule="auto"/>
        <w:ind w:left="720" w:right="720"/>
        <w:jc w:val="both"/>
        <w:rPr>
          <w:sz w:val="26"/>
          <w:szCs w:val="26"/>
        </w:rPr>
      </w:pPr>
    </w:p>
    <w:p w14:paraId="66D990C9" w14:textId="77777777" w:rsidR="008F5CAD" w:rsidRDefault="008F5CAD" w:rsidP="008F5CAD">
      <w:pPr>
        <w:spacing w:line="480" w:lineRule="auto"/>
        <w:ind w:right="720"/>
        <w:jc w:val="both"/>
        <w:rPr>
          <w:sz w:val="26"/>
          <w:szCs w:val="26"/>
        </w:rPr>
      </w:pPr>
      <w:r>
        <w:rPr>
          <w:i/>
          <w:sz w:val="26"/>
          <w:szCs w:val="26"/>
        </w:rPr>
        <w:t xml:space="preserve">Id. </w:t>
      </w:r>
      <w:r>
        <w:rPr>
          <w:sz w:val="26"/>
          <w:szCs w:val="26"/>
        </w:rPr>
        <w:t xml:space="preserve">(cleaned up).  </w:t>
      </w:r>
    </w:p>
    <w:p w14:paraId="439460C3" w14:textId="698AC8D0" w:rsidR="008F5CAD" w:rsidRDefault="008F5CAD" w:rsidP="008F5CAD">
      <w:pPr>
        <w:spacing w:line="480" w:lineRule="auto"/>
        <w:jc w:val="both"/>
        <w:rPr>
          <w:sz w:val="26"/>
          <w:szCs w:val="26"/>
        </w:rPr>
      </w:pPr>
      <w:r>
        <w:rPr>
          <w:sz w:val="26"/>
          <w:szCs w:val="26"/>
        </w:rPr>
        <w:tab/>
        <w:t xml:space="preserve">These concerns are not small or insignificant.  They go to the core purpose of why we use an adversarial system of justice.  It functions on the premise that outcomes will be more accurate when both parties are present, both parties are aware of what information and evidence the judge is basing their decisions on, and both parties can make their best arguments.  The risk of bias or misleading information being presented to the judge is present in every ex parte hearing.  It does not even have to be intentional on the part of the party engaging in ex parte communications with the judge.  We often see a case from a specific point of view and provide facts and information from that perspective.  Our opponents often see the case differently.  As the saying goes, “there are always two sides to every story.”  What is irrelevant information to one party is relevant to the other.  What is prejudicial to one party is viewed differently by the other party.  Whose rights and interests are being affected often depends on the point of view being expressed.  The </w:t>
      </w:r>
      <w:r>
        <w:rPr>
          <w:sz w:val="26"/>
          <w:szCs w:val="26"/>
        </w:rPr>
        <w:lastRenderedPageBreak/>
        <w:t>adversarial system was designed to provide a more well-rounded version of the facts and legal arguments relevant to every issue litigated.</w:t>
      </w:r>
    </w:p>
    <w:p w14:paraId="2E50E857" w14:textId="77777777" w:rsidR="008F5CAD" w:rsidRDefault="008F5CAD" w:rsidP="008F5CAD">
      <w:pPr>
        <w:spacing w:line="480" w:lineRule="auto"/>
        <w:jc w:val="both"/>
        <w:rPr>
          <w:sz w:val="26"/>
          <w:szCs w:val="26"/>
        </w:rPr>
      </w:pPr>
      <w:r>
        <w:rPr>
          <w:sz w:val="26"/>
          <w:szCs w:val="26"/>
        </w:rPr>
        <w:tab/>
        <w:t xml:space="preserve">The petitioner’s concept of fairness is at odds with the purpose of an adversarial system and the purpose of a criminal trial.  A trial is supposed to result in a fair verdict.  One that reflects a search for the truth.  The goal is to provide the trier of fact with as much accurate and reliable information as possible in which to base their decision.  It is not a game to be won or lost.  The United States Supreme Court stated this principle clearly in </w:t>
      </w:r>
      <w:r>
        <w:rPr>
          <w:i/>
          <w:sz w:val="26"/>
          <w:szCs w:val="26"/>
        </w:rPr>
        <w:t>Wardius v. Oregon</w:t>
      </w:r>
      <w:r>
        <w:rPr>
          <w:sz w:val="26"/>
          <w:szCs w:val="26"/>
        </w:rPr>
        <w:t>, 412 U.S. 470, 474 (1973) when it said:</w:t>
      </w:r>
    </w:p>
    <w:p w14:paraId="70EE20BA" w14:textId="77777777" w:rsidR="008F5CAD" w:rsidRDefault="008F5CAD" w:rsidP="008F5CAD">
      <w:pPr>
        <w:spacing w:line="240" w:lineRule="auto"/>
        <w:ind w:left="720" w:right="720"/>
        <w:jc w:val="both"/>
        <w:rPr>
          <w:sz w:val="26"/>
          <w:szCs w:val="26"/>
        </w:rPr>
      </w:pPr>
      <w:r>
        <w:rPr>
          <w:sz w:val="26"/>
          <w:szCs w:val="26"/>
        </w:rPr>
        <w:t>The adversary system of trial is hardly an end in itself; it is not yet a poker game in which players enjoy an absolute right always to conceal their cards until played.  We find ample room in that system, at least as far as due process is concerned, for (a rule) which is designed to enhance the search for the truth in the criminal trial by insuring both the defendant and the State ample opportunity to investigate certain facts crucial to the determination of guilt or innocence.</w:t>
      </w:r>
    </w:p>
    <w:p w14:paraId="0FDB8A0F" w14:textId="77777777" w:rsidR="008F5CAD" w:rsidRDefault="008F5CAD" w:rsidP="008F5CAD">
      <w:pPr>
        <w:spacing w:line="240" w:lineRule="auto"/>
        <w:ind w:left="720" w:right="720"/>
        <w:jc w:val="both"/>
        <w:rPr>
          <w:sz w:val="26"/>
          <w:szCs w:val="26"/>
        </w:rPr>
      </w:pPr>
    </w:p>
    <w:p w14:paraId="61A0AD17" w14:textId="00A84199" w:rsidR="008F5CAD" w:rsidRDefault="008F5CAD" w:rsidP="008F5CAD">
      <w:pPr>
        <w:spacing w:line="480" w:lineRule="auto"/>
        <w:jc w:val="both"/>
        <w:rPr>
          <w:sz w:val="26"/>
          <w:szCs w:val="26"/>
        </w:rPr>
      </w:pPr>
      <w:r>
        <w:rPr>
          <w:sz w:val="26"/>
          <w:szCs w:val="26"/>
        </w:rPr>
        <w:t xml:space="preserve">Arizona judges have echoed the same sentiments.  </w:t>
      </w:r>
      <w:r>
        <w:rPr>
          <w:i/>
          <w:sz w:val="26"/>
          <w:szCs w:val="26"/>
        </w:rPr>
        <w:t>See State v. Huerta</w:t>
      </w:r>
      <w:r>
        <w:rPr>
          <w:sz w:val="26"/>
          <w:szCs w:val="26"/>
        </w:rPr>
        <w:t>, 175 Ariz. 262, 271-72 (1993) (Martone, J. dissenting) (“A trial is not a game to be won or lost, the fairness of which is measured by weighing collateral characteristics.  A trial is an effort to find the truth.”).</w:t>
      </w:r>
    </w:p>
    <w:p w14:paraId="6C1D37C6" w14:textId="2367420F" w:rsidR="008F5CAD" w:rsidRDefault="008F5CAD" w:rsidP="008F5CAD">
      <w:pPr>
        <w:spacing w:line="480" w:lineRule="auto"/>
        <w:ind w:firstLine="720"/>
        <w:jc w:val="both"/>
        <w:rPr>
          <w:i/>
          <w:sz w:val="26"/>
          <w:szCs w:val="26"/>
        </w:rPr>
      </w:pPr>
      <w:r>
        <w:rPr>
          <w:sz w:val="26"/>
          <w:szCs w:val="26"/>
        </w:rPr>
        <w:t xml:space="preserve">Neither side should be entitled to </w:t>
      </w:r>
      <w:proofErr w:type="gramStart"/>
      <w:r>
        <w:rPr>
          <w:sz w:val="26"/>
          <w:szCs w:val="26"/>
        </w:rPr>
        <w:t>ex parte</w:t>
      </w:r>
      <w:proofErr w:type="gramEnd"/>
      <w:r>
        <w:rPr>
          <w:sz w:val="26"/>
          <w:szCs w:val="26"/>
        </w:rPr>
        <w:t xml:space="preserve"> hearings with the courts</w:t>
      </w:r>
      <w:r w:rsidR="00E02984">
        <w:rPr>
          <w:sz w:val="26"/>
          <w:szCs w:val="26"/>
        </w:rPr>
        <w:t>, as a matter of course</w:t>
      </w:r>
      <w:r>
        <w:rPr>
          <w:sz w:val="26"/>
          <w:szCs w:val="26"/>
        </w:rPr>
        <w:t xml:space="preserve">.  This Court has considered this issue in the past and concluded that the small benefits from allowing such hearings are outweighed by the harm caused.  </w:t>
      </w:r>
      <w:r>
        <w:rPr>
          <w:i/>
          <w:sz w:val="26"/>
          <w:szCs w:val="26"/>
        </w:rPr>
        <w:t>See State v. Apelt</w:t>
      </w:r>
      <w:r>
        <w:rPr>
          <w:sz w:val="26"/>
          <w:szCs w:val="26"/>
        </w:rPr>
        <w:t xml:space="preserve">, 176 Ariz. 349, 365 (1993) (stating that “[w]hen we balance the potential benefit in some few cases against the harm inherent in ex parte proceedings, we cannot conclude such a proceeding is constitutionally required.”).  </w:t>
      </w:r>
      <w:r>
        <w:rPr>
          <w:i/>
          <w:sz w:val="26"/>
          <w:szCs w:val="26"/>
        </w:rPr>
        <w:t>See also Snyder v. Massachusetts</w:t>
      </w:r>
      <w:r>
        <w:rPr>
          <w:sz w:val="26"/>
          <w:szCs w:val="26"/>
        </w:rPr>
        <w:t xml:space="preserve">, 291 U.S. </w:t>
      </w:r>
      <w:r>
        <w:rPr>
          <w:sz w:val="26"/>
          <w:szCs w:val="26"/>
        </w:rPr>
        <w:lastRenderedPageBreak/>
        <w:t xml:space="preserve">97, 122 (1934) (“But justice, though due to the accused, is due to the accuser also.  The concept of fairness must not be strained till it is narrowed to a filament.  We are to keep the balance true.”).  </w:t>
      </w:r>
      <w:r>
        <w:rPr>
          <w:i/>
          <w:sz w:val="26"/>
          <w:szCs w:val="26"/>
        </w:rPr>
        <w:t xml:space="preserve"> </w:t>
      </w:r>
    </w:p>
    <w:p w14:paraId="13EEA010" w14:textId="77777777" w:rsidR="005B16E8" w:rsidRDefault="008F5CAD" w:rsidP="008F5CAD">
      <w:pPr>
        <w:spacing w:line="480" w:lineRule="auto"/>
        <w:jc w:val="both"/>
        <w:rPr>
          <w:sz w:val="26"/>
          <w:szCs w:val="26"/>
        </w:rPr>
      </w:pPr>
      <w:r>
        <w:rPr>
          <w:sz w:val="26"/>
          <w:szCs w:val="26"/>
        </w:rPr>
        <w:tab/>
        <w:t xml:space="preserve">The risk of inaccurate and one-sided information being provided to the court which may lead to erroneous rulings is too substantial to justify the creation of the rule sought by the petitioner.  This risk is only exacerbated by the appearance of impropriety that such hearings will bring to the legal process.  The parties and the public will have the highest level of confidence in the criminal justice system only when they are convinced that the basic tenants of due process are being </w:t>
      </w:r>
      <w:r w:rsidR="00E02666">
        <w:rPr>
          <w:sz w:val="26"/>
          <w:szCs w:val="26"/>
        </w:rPr>
        <w:t>followed</w:t>
      </w:r>
      <w:r>
        <w:rPr>
          <w:sz w:val="26"/>
          <w:szCs w:val="26"/>
        </w:rPr>
        <w:t xml:space="preserve">—the right to be present, the right to be heard, and to have their arguments considered by a neutral judicial officer.  Ex parte hearings are </w:t>
      </w:r>
      <w:r w:rsidR="00E02666">
        <w:rPr>
          <w:sz w:val="26"/>
          <w:szCs w:val="26"/>
        </w:rPr>
        <w:t>antithetical</w:t>
      </w:r>
      <w:r>
        <w:rPr>
          <w:sz w:val="26"/>
          <w:szCs w:val="26"/>
        </w:rPr>
        <w:t xml:space="preserve"> to all of this.  </w:t>
      </w:r>
    </w:p>
    <w:p w14:paraId="37F1A0C4" w14:textId="5850197C" w:rsidR="008F5CAD" w:rsidRPr="00862B98" w:rsidRDefault="008F5CAD" w:rsidP="005B16E8">
      <w:pPr>
        <w:spacing w:line="480" w:lineRule="auto"/>
        <w:ind w:firstLine="720"/>
        <w:jc w:val="both"/>
        <w:rPr>
          <w:sz w:val="26"/>
          <w:szCs w:val="26"/>
        </w:rPr>
      </w:pPr>
      <w:r>
        <w:rPr>
          <w:sz w:val="26"/>
          <w:szCs w:val="26"/>
        </w:rPr>
        <w:t>Accordingly, for these reasons stated herein, APAAC respectfully opposes the proposed amendment to Rules 1.9, 15.1, 32.6, and 33.6, of the Arizona Rules of Criminal Procedure.</w:t>
      </w:r>
    </w:p>
    <w:p w14:paraId="773934FE" w14:textId="3D8CB128" w:rsidR="00BE6C4D" w:rsidRPr="004F4F8C" w:rsidRDefault="00BE6C4D" w:rsidP="00BE6C4D">
      <w:pPr>
        <w:spacing w:line="480" w:lineRule="auto"/>
        <w:ind w:firstLine="1440"/>
        <w:rPr>
          <w:sz w:val="28"/>
          <w:szCs w:val="28"/>
        </w:rPr>
      </w:pPr>
      <w:r w:rsidRPr="004F4F8C">
        <w:rPr>
          <w:sz w:val="28"/>
          <w:szCs w:val="28"/>
        </w:rPr>
        <w:t xml:space="preserve">Respectfully submitted </w:t>
      </w:r>
      <w:r w:rsidRPr="007D25F2">
        <w:rPr>
          <w:sz w:val="28"/>
          <w:szCs w:val="28"/>
        </w:rPr>
        <w:t>this</w:t>
      </w:r>
      <w:r w:rsidRPr="002254AE">
        <w:rPr>
          <w:sz w:val="28"/>
          <w:szCs w:val="28"/>
        </w:rPr>
        <w:t xml:space="preserve"> </w:t>
      </w:r>
      <w:r w:rsidR="007D25F2" w:rsidRPr="002254AE">
        <w:rPr>
          <w:sz w:val="28"/>
          <w:szCs w:val="28"/>
        </w:rPr>
        <w:t>30</w:t>
      </w:r>
      <w:r w:rsidR="00D2123C" w:rsidRPr="002254AE">
        <w:rPr>
          <w:sz w:val="28"/>
          <w:szCs w:val="28"/>
        </w:rPr>
        <w:t>th</w:t>
      </w:r>
      <w:r w:rsidRPr="004F4F8C">
        <w:rPr>
          <w:sz w:val="28"/>
          <w:szCs w:val="28"/>
        </w:rPr>
        <w:t xml:space="preserve"> day of </w:t>
      </w:r>
      <w:r w:rsidR="007D25F2">
        <w:rPr>
          <w:sz w:val="28"/>
          <w:szCs w:val="28"/>
        </w:rPr>
        <w:t>April</w:t>
      </w:r>
      <w:r w:rsidRPr="004F4F8C">
        <w:rPr>
          <w:sz w:val="28"/>
          <w:szCs w:val="28"/>
        </w:rPr>
        <w:t xml:space="preserve">, </w:t>
      </w:r>
      <w:r w:rsidR="00E02666">
        <w:rPr>
          <w:sz w:val="28"/>
          <w:szCs w:val="28"/>
        </w:rPr>
        <w:t>2026</w:t>
      </w:r>
      <w:r w:rsidRPr="004F4F8C">
        <w:rPr>
          <w:sz w:val="28"/>
          <w:szCs w:val="28"/>
        </w:rPr>
        <w:t>.</w:t>
      </w:r>
    </w:p>
    <w:p w14:paraId="68B2EC02" w14:textId="77777777" w:rsidR="00BE6C4D" w:rsidRPr="004F4F8C" w:rsidRDefault="00BE6C4D" w:rsidP="00BE6C4D">
      <w:pPr>
        <w:spacing w:line="240" w:lineRule="auto"/>
        <w:ind w:left="4320"/>
        <w:rPr>
          <w:sz w:val="28"/>
          <w:szCs w:val="28"/>
        </w:rPr>
      </w:pPr>
    </w:p>
    <w:p w14:paraId="3314ECC2" w14:textId="7B30A153" w:rsidR="00BE6C4D" w:rsidRPr="00331A9C" w:rsidRDefault="00BE6C4D" w:rsidP="00BE6C4D">
      <w:pPr>
        <w:spacing w:line="240" w:lineRule="auto"/>
        <w:ind w:left="4320"/>
        <w:rPr>
          <w:sz w:val="28"/>
          <w:szCs w:val="28"/>
          <w:u w:val="single"/>
        </w:rPr>
      </w:pPr>
      <w:r>
        <w:rPr>
          <w:sz w:val="28"/>
          <w:szCs w:val="28"/>
          <w:u w:val="single"/>
        </w:rPr>
        <w:t xml:space="preserve">  /s/</w:t>
      </w:r>
      <w:r>
        <w:rPr>
          <w:sz w:val="28"/>
          <w:szCs w:val="28"/>
          <w:u w:val="single"/>
        </w:rPr>
        <w:tab/>
      </w:r>
      <w:r w:rsidR="007D25F2" w:rsidRPr="002254AE">
        <w:rPr>
          <w:rFonts w:ascii="Lucida Handwriting" w:hAnsi="Lucida Handwriting"/>
          <w:sz w:val="28"/>
          <w:szCs w:val="28"/>
          <w:u w:val="single"/>
        </w:rPr>
        <w:t>Elizabeth Burton Ortiz</w:t>
      </w:r>
    </w:p>
    <w:p w14:paraId="44CB94C2" w14:textId="77777777" w:rsidR="00BE6C4D" w:rsidRPr="00800CF2" w:rsidRDefault="00BE6C4D" w:rsidP="00BE6C4D">
      <w:pPr>
        <w:spacing w:line="240" w:lineRule="auto"/>
        <w:ind w:left="4320"/>
        <w:rPr>
          <w:sz w:val="28"/>
          <w:szCs w:val="28"/>
        </w:rPr>
      </w:pPr>
      <w:r>
        <w:rPr>
          <w:sz w:val="28"/>
          <w:szCs w:val="28"/>
        </w:rPr>
        <w:t>Elizabeth Burton Ortiz</w:t>
      </w:r>
    </w:p>
    <w:p w14:paraId="5116BEDA" w14:textId="77777777" w:rsidR="00BE6C4D" w:rsidRDefault="00BE6C4D" w:rsidP="00BE6C4D"/>
    <w:p w14:paraId="731BA59F" w14:textId="77777777" w:rsidR="007D4915" w:rsidRDefault="007D4915"/>
    <w:sectPr w:rsidR="007D4915" w:rsidSect="00BE6C4D">
      <w:headerReference w:type="default" r:id="rId6"/>
      <w:footerReference w:type="default" r:id="rId7"/>
      <w:headerReference w:type="first" r:id="rId8"/>
      <w:pgSz w:w="12240" w:h="15840"/>
      <w:pgMar w:top="1440" w:right="1440" w:bottom="1368" w:left="1440" w:header="432" w:footer="432" w:gutter="0"/>
      <w:pgNumType w:fmt="numberInDash"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C4C2" w14:textId="77777777" w:rsidR="00034F03" w:rsidRDefault="00034F03">
      <w:pPr>
        <w:spacing w:line="240" w:lineRule="auto"/>
      </w:pPr>
      <w:r>
        <w:separator/>
      </w:r>
    </w:p>
  </w:endnote>
  <w:endnote w:type="continuationSeparator" w:id="0">
    <w:p w14:paraId="731856CB" w14:textId="77777777" w:rsidR="00034F03" w:rsidRDefault="00034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2A46" w14:textId="77777777" w:rsidR="00CB69E0" w:rsidRDefault="00AC5464">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w:t>
    </w:r>
    <w:r>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32B0" w14:textId="77777777" w:rsidR="00034F03" w:rsidRDefault="00034F03">
      <w:pPr>
        <w:spacing w:line="240" w:lineRule="auto"/>
      </w:pPr>
      <w:r>
        <w:separator/>
      </w:r>
    </w:p>
  </w:footnote>
  <w:footnote w:type="continuationSeparator" w:id="0">
    <w:p w14:paraId="2ECBB1C9" w14:textId="77777777" w:rsidR="00034F03" w:rsidRDefault="00034F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AD0C" w14:textId="77777777" w:rsidR="00CB69E0" w:rsidRDefault="00AC5464">
    <w:pPr>
      <w:tabs>
        <w:tab w:val="right" w:pos="9342"/>
      </w:tabs>
      <w:spacing w:line="240" w:lineRule="auto"/>
      <w:ind w:right="18"/>
      <w:rPr>
        <w:sz w:val="18"/>
        <w:szCs w:val="18"/>
      </w:rPr>
    </w:pPr>
    <w:r>
      <w:rPr>
        <w:noProof/>
      </w:rPr>
      <mc:AlternateContent>
        <mc:Choice Requires="wps">
          <w:drawing>
            <wp:anchor distT="0" distB="0" distL="114300" distR="114300" simplePos="0" relativeHeight="251662336" behindDoc="0" locked="0" layoutInCell="1" allowOverlap="1" wp14:anchorId="00D2AB93" wp14:editId="2D0CCFD7">
              <wp:simplePos x="0" y="0"/>
              <wp:positionH relativeFrom="margin">
                <wp:posOffset>-105410</wp:posOffset>
              </wp:positionH>
              <wp:positionV relativeFrom="page">
                <wp:posOffset>414655</wp:posOffset>
              </wp:positionV>
              <wp:extent cx="0" cy="1021080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05EB3857" id="Line 10"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page" from="-8.3pt,32.65pt" to="-8.3pt,8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">
              <w10:wrap anchorx="margin" anchory="page"/>
            </v:line>
          </w:pict>
        </mc:Fallback>
      </mc:AlternateContent>
    </w:r>
    <w:r>
      <w:rPr>
        <w:b/>
        <w:bCs/>
        <w:sz w:val="18"/>
        <w:szCs w:val="18"/>
      </w:rPr>
      <w:tab/>
    </w:r>
    <w:r>
      <w:rPr>
        <w:noProof/>
        <w:sz w:val="18"/>
        <w:szCs w:val="18"/>
      </w:rPr>
      <mc:AlternateContent>
        <mc:Choice Requires="wps">
          <w:drawing>
            <wp:anchor distT="0" distB="0" distL="114300" distR="114300" simplePos="0" relativeHeight="251663360" behindDoc="0" locked="0" layoutInCell="1" allowOverlap="1" wp14:anchorId="5F8E2FBD" wp14:editId="6CCA59AF">
              <wp:simplePos x="0" y="0"/>
              <wp:positionH relativeFrom="margin">
                <wp:posOffset>-638175</wp:posOffset>
              </wp:positionH>
              <wp:positionV relativeFrom="margin">
                <wp:posOffset>0</wp:posOffset>
              </wp:positionV>
              <wp:extent cx="457200" cy="843915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439150"/>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0A48C01" w14:textId="77777777" w:rsidR="00CB69E0" w:rsidRPr="00262457" w:rsidRDefault="00AC5464" w:rsidP="00262457">
                          <w:pPr>
                            <w:spacing w:line="480" w:lineRule="auto"/>
                            <w:jc w:val="right"/>
                            <w:rPr>
                              <w:sz w:val="28"/>
                              <w:szCs w:val="28"/>
                            </w:rPr>
                          </w:pPr>
                          <w:r w:rsidRPr="00262457">
                            <w:rPr>
                              <w:sz w:val="28"/>
                              <w:szCs w:val="28"/>
                            </w:rPr>
                            <w:t>1</w:t>
                          </w:r>
                        </w:p>
                        <w:p w14:paraId="739C0842" w14:textId="77777777" w:rsidR="00CB69E0" w:rsidRPr="00262457" w:rsidRDefault="00AC5464" w:rsidP="00262457">
                          <w:pPr>
                            <w:spacing w:line="480" w:lineRule="auto"/>
                            <w:jc w:val="right"/>
                            <w:rPr>
                              <w:sz w:val="28"/>
                              <w:szCs w:val="28"/>
                            </w:rPr>
                          </w:pPr>
                          <w:r w:rsidRPr="00262457">
                            <w:rPr>
                              <w:sz w:val="28"/>
                              <w:szCs w:val="28"/>
                            </w:rPr>
                            <w:t>2</w:t>
                          </w:r>
                        </w:p>
                        <w:p w14:paraId="43F5BC98" w14:textId="77777777" w:rsidR="00CB69E0" w:rsidRPr="00262457" w:rsidRDefault="00AC5464" w:rsidP="00262457">
                          <w:pPr>
                            <w:spacing w:line="480" w:lineRule="auto"/>
                            <w:jc w:val="right"/>
                            <w:rPr>
                              <w:sz w:val="28"/>
                              <w:szCs w:val="28"/>
                            </w:rPr>
                          </w:pPr>
                          <w:r w:rsidRPr="00262457">
                            <w:rPr>
                              <w:sz w:val="28"/>
                              <w:szCs w:val="28"/>
                            </w:rPr>
                            <w:t>3</w:t>
                          </w:r>
                        </w:p>
                        <w:p w14:paraId="4550ED5C" w14:textId="77777777" w:rsidR="00CB69E0" w:rsidRPr="00262457" w:rsidRDefault="00AC5464" w:rsidP="00262457">
                          <w:pPr>
                            <w:spacing w:line="480" w:lineRule="auto"/>
                            <w:jc w:val="right"/>
                            <w:rPr>
                              <w:sz w:val="28"/>
                              <w:szCs w:val="28"/>
                            </w:rPr>
                          </w:pPr>
                          <w:r w:rsidRPr="00262457">
                            <w:rPr>
                              <w:sz w:val="28"/>
                              <w:szCs w:val="28"/>
                            </w:rPr>
                            <w:t>4</w:t>
                          </w:r>
                        </w:p>
                        <w:p w14:paraId="4CAEA99A" w14:textId="77777777" w:rsidR="00CB69E0" w:rsidRPr="00262457" w:rsidRDefault="00AC5464" w:rsidP="00262457">
                          <w:pPr>
                            <w:spacing w:line="480" w:lineRule="auto"/>
                            <w:jc w:val="right"/>
                            <w:rPr>
                              <w:sz w:val="28"/>
                              <w:szCs w:val="28"/>
                            </w:rPr>
                          </w:pPr>
                          <w:r w:rsidRPr="00262457">
                            <w:rPr>
                              <w:sz w:val="28"/>
                              <w:szCs w:val="28"/>
                            </w:rPr>
                            <w:t>5</w:t>
                          </w:r>
                        </w:p>
                        <w:p w14:paraId="63AD6836" w14:textId="77777777" w:rsidR="00CB69E0" w:rsidRPr="00262457" w:rsidRDefault="00AC5464" w:rsidP="00262457">
                          <w:pPr>
                            <w:spacing w:line="480" w:lineRule="auto"/>
                            <w:jc w:val="right"/>
                            <w:rPr>
                              <w:sz w:val="28"/>
                              <w:szCs w:val="28"/>
                            </w:rPr>
                          </w:pPr>
                          <w:r w:rsidRPr="00262457">
                            <w:rPr>
                              <w:sz w:val="28"/>
                              <w:szCs w:val="28"/>
                            </w:rPr>
                            <w:t>6</w:t>
                          </w:r>
                        </w:p>
                        <w:p w14:paraId="0E83D5B5" w14:textId="77777777" w:rsidR="00CB69E0" w:rsidRPr="00262457" w:rsidRDefault="00AC5464" w:rsidP="00262457">
                          <w:pPr>
                            <w:spacing w:line="480" w:lineRule="auto"/>
                            <w:jc w:val="right"/>
                            <w:rPr>
                              <w:sz w:val="28"/>
                              <w:szCs w:val="28"/>
                            </w:rPr>
                          </w:pPr>
                          <w:r w:rsidRPr="00262457">
                            <w:rPr>
                              <w:sz w:val="28"/>
                              <w:szCs w:val="28"/>
                            </w:rPr>
                            <w:t>7</w:t>
                          </w:r>
                        </w:p>
                        <w:p w14:paraId="72AA3E6B" w14:textId="77777777" w:rsidR="00CB69E0" w:rsidRPr="00262457" w:rsidRDefault="00AC5464" w:rsidP="00262457">
                          <w:pPr>
                            <w:spacing w:line="480" w:lineRule="auto"/>
                            <w:jc w:val="right"/>
                            <w:rPr>
                              <w:sz w:val="28"/>
                              <w:szCs w:val="28"/>
                            </w:rPr>
                          </w:pPr>
                          <w:r w:rsidRPr="00262457">
                            <w:rPr>
                              <w:sz w:val="28"/>
                              <w:szCs w:val="28"/>
                            </w:rPr>
                            <w:t>8</w:t>
                          </w:r>
                        </w:p>
                        <w:p w14:paraId="08297B85" w14:textId="77777777" w:rsidR="00CB69E0" w:rsidRPr="00262457" w:rsidRDefault="00AC5464" w:rsidP="00262457">
                          <w:pPr>
                            <w:spacing w:line="480" w:lineRule="auto"/>
                            <w:jc w:val="right"/>
                            <w:rPr>
                              <w:sz w:val="28"/>
                              <w:szCs w:val="28"/>
                            </w:rPr>
                          </w:pPr>
                          <w:r w:rsidRPr="00262457">
                            <w:rPr>
                              <w:sz w:val="28"/>
                              <w:szCs w:val="28"/>
                            </w:rPr>
                            <w:t>9</w:t>
                          </w:r>
                        </w:p>
                        <w:p w14:paraId="3A745F7B" w14:textId="77777777" w:rsidR="00CB69E0" w:rsidRPr="00262457" w:rsidRDefault="00AC5464" w:rsidP="00262457">
                          <w:pPr>
                            <w:spacing w:line="480" w:lineRule="auto"/>
                            <w:jc w:val="right"/>
                            <w:rPr>
                              <w:sz w:val="28"/>
                              <w:szCs w:val="28"/>
                            </w:rPr>
                          </w:pPr>
                          <w:r w:rsidRPr="00262457">
                            <w:rPr>
                              <w:sz w:val="28"/>
                              <w:szCs w:val="28"/>
                            </w:rPr>
                            <w:t>10</w:t>
                          </w:r>
                        </w:p>
                        <w:p w14:paraId="1D7FB413" w14:textId="77777777" w:rsidR="00CB69E0" w:rsidRPr="00262457" w:rsidRDefault="00AC5464" w:rsidP="00262457">
                          <w:pPr>
                            <w:spacing w:line="480" w:lineRule="auto"/>
                            <w:jc w:val="right"/>
                            <w:rPr>
                              <w:sz w:val="28"/>
                              <w:szCs w:val="28"/>
                            </w:rPr>
                          </w:pPr>
                          <w:r w:rsidRPr="00262457">
                            <w:rPr>
                              <w:sz w:val="28"/>
                              <w:szCs w:val="28"/>
                            </w:rPr>
                            <w:t>11</w:t>
                          </w:r>
                        </w:p>
                        <w:p w14:paraId="472BEDD5" w14:textId="77777777" w:rsidR="00CB69E0" w:rsidRPr="00262457" w:rsidRDefault="00AC5464" w:rsidP="00262457">
                          <w:pPr>
                            <w:spacing w:line="480" w:lineRule="auto"/>
                            <w:jc w:val="right"/>
                            <w:rPr>
                              <w:sz w:val="28"/>
                              <w:szCs w:val="28"/>
                            </w:rPr>
                          </w:pPr>
                          <w:r w:rsidRPr="00262457">
                            <w:rPr>
                              <w:sz w:val="28"/>
                              <w:szCs w:val="28"/>
                            </w:rPr>
                            <w:t>12</w:t>
                          </w:r>
                        </w:p>
                        <w:p w14:paraId="7B4FCF4E" w14:textId="77777777" w:rsidR="00CB69E0" w:rsidRPr="00262457" w:rsidRDefault="00AC5464" w:rsidP="00262457">
                          <w:pPr>
                            <w:spacing w:line="480" w:lineRule="auto"/>
                            <w:jc w:val="right"/>
                            <w:rPr>
                              <w:sz w:val="28"/>
                              <w:szCs w:val="28"/>
                            </w:rPr>
                          </w:pPr>
                          <w:r w:rsidRPr="00262457">
                            <w:rPr>
                              <w:sz w:val="28"/>
                              <w:szCs w:val="28"/>
                            </w:rPr>
                            <w:t>13</w:t>
                          </w:r>
                        </w:p>
                        <w:p w14:paraId="3FD0D5C0" w14:textId="77777777" w:rsidR="00CB69E0" w:rsidRPr="00262457" w:rsidRDefault="00AC5464" w:rsidP="00262457">
                          <w:pPr>
                            <w:spacing w:line="480" w:lineRule="auto"/>
                            <w:jc w:val="right"/>
                            <w:rPr>
                              <w:sz w:val="28"/>
                              <w:szCs w:val="28"/>
                            </w:rPr>
                          </w:pPr>
                          <w:r w:rsidRPr="00262457">
                            <w:rPr>
                              <w:sz w:val="28"/>
                              <w:szCs w:val="28"/>
                            </w:rPr>
                            <w:t>14</w:t>
                          </w:r>
                        </w:p>
                        <w:p w14:paraId="49A50EAD" w14:textId="77777777" w:rsidR="00CB69E0" w:rsidRPr="00262457" w:rsidRDefault="00AC5464" w:rsidP="00262457">
                          <w:pPr>
                            <w:spacing w:line="480" w:lineRule="auto"/>
                            <w:jc w:val="right"/>
                            <w:rPr>
                              <w:sz w:val="28"/>
                              <w:szCs w:val="28"/>
                            </w:rPr>
                          </w:pPr>
                          <w:r w:rsidRPr="00262457">
                            <w:rPr>
                              <w:sz w:val="28"/>
                              <w:szCs w:val="28"/>
                            </w:rPr>
                            <w:t>15</w:t>
                          </w:r>
                        </w:p>
                        <w:p w14:paraId="5C30DA36" w14:textId="77777777" w:rsidR="00CB69E0" w:rsidRPr="00262457" w:rsidRDefault="00AC5464" w:rsidP="00262457">
                          <w:pPr>
                            <w:spacing w:line="480" w:lineRule="auto"/>
                            <w:jc w:val="right"/>
                            <w:rPr>
                              <w:sz w:val="28"/>
                              <w:szCs w:val="28"/>
                            </w:rPr>
                          </w:pPr>
                          <w:r w:rsidRPr="00262457">
                            <w:rPr>
                              <w:sz w:val="28"/>
                              <w:szCs w:val="28"/>
                            </w:rPr>
                            <w:t>16</w:t>
                          </w:r>
                        </w:p>
                        <w:p w14:paraId="593041E0" w14:textId="77777777" w:rsidR="00CB69E0" w:rsidRPr="00262457" w:rsidRDefault="00AC5464" w:rsidP="00262457">
                          <w:pPr>
                            <w:spacing w:line="480" w:lineRule="auto"/>
                            <w:jc w:val="right"/>
                            <w:rPr>
                              <w:sz w:val="28"/>
                              <w:szCs w:val="28"/>
                            </w:rPr>
                          </w:pPr>
                          <w:r w:rsidRPr="00262457">
                            <w:rPr>
                              <w:sz w:val="28"/>
                              <w:szCs w:val="28"/>
                            </w:rPr>
                            <w:t>17</w:t>
                          </w:r>
                        </w:p>
                        <w:p w14:paraId="2B5C1CAC" w14:textId="77777777" w:rsidR="00CB69E0" w:rsidRPr="00262457" w:rsidRDefault="00AC5464" w:rsidP="00262457">
                          <w:pPr>
                            <w:spacing w:line="480" w:lineRule="auto"/>
                            <w:jc w:val="right"/>
                            <w:rPr>
                              <w:sz w:val="28"/>
                              <w:szCs w:val="28"/>
                            </w:rPr>
                          </w:pPr>
                          <w:r w:rsidRPr="00262457">
                            <w:rPr>
                              <w:sz w:val="28"/>
                              <w:szCs w:val="28"/>
                            </w:rPr>
                            <w:t>18</w:t>
                          </w:r>
                        </w:p>
                        <w:p w14:paraId="07C4B45A" w14:textId="77777777" w:rsidR="00CB69E0" w:rsidRPr="00262457" w:rsidRDefault="00AC5464" w:rsidP="00262457">
                          <w:pPr>
                            <w:spacing w:line="480" w:lineRule="auto"/>
                            <w:jc w:val="right"/>
                            <w:rPr>
                              <w:sz w:val="28"/>
                              <w:szCs w:val="28"/>
                            </w:rPr>
                          </w:pPr>
                          <w:r w:rsidRPr="00262457">
                            <w:rPr>
                              <w:sz w:val="28"/>
                              <w:szCs w:val="28"/>
                            </w:rPr>
                            <w:t>19</w:t>
                          </w:r>
                        </w:p>
                        <w:p w14:paraId="20478736" w14:textId="77777777" w:rsidR="00CB69E0" w:rsidRPr="00262457" w:rsidRDefault="00AC5464"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5F8E2FBD" id="_x0000_t202" coordsize="21600,21600" o:spt="202" path="m,l,21600r21600,l21600,xe">
              <v:stroke joinstyle="miter"/>
              <v:path gradientshapeok="t" o:connecttype="rect"/>
            </v:shapetype>
            <v:shape id="Text Box 16" o:spid="_x0000_s1026" type="#_x0000_t202" style="position:absolute;margin-left:-50.25pt;margin-top:0;width:36pt;height:664.5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" stroked="f">
              <v:textbox inset="0,0,0,0">
                <w:txbxContent>
                  <w:p w14:paraId="70A48C01" w14:textId="77777777" w:rsidR="00CB69E0" w:rsidRPr="00262457" w:rsidRDefault="00000000" w:rsidP="00262457">
                    <w:pPr>
                      <w:spacing w:line="480" w:lineRule="auto"/>
                      <w:jc w:val="right"/>
                      <w:rPr>
                        <w:sz w:val="28"/>
                        <w:szCs w:val="28"/>
                      </w:rPr>
                    </w:pPr>
                    <w:r w:rsidRPr="00262457">
                      <w:rPr>
                        <w:sz w:val="28"/>
                        <w:szCs w:val="28"/>
                      </w:rPr>
                      <w:t>1</w:t>
                    </w:r>
                  </w:p>
                  <w:p w14:paraId="739C0842" w14:textId="77777777" w:rsidR="00CB69E0" w:rsidRPr="00262457" w:rsidRDefault="00000000" w:rsidP="00262457">
                    <w:pPr>
                      <w:spacing w:line="480" w:lineRule="auto"/>
                      <w:jc w:val="right"/>
                      <w:rPr>
                        <w:sz w:val="28"/>
                        <w:szCs w:val="28"/>
                      </w:rPr>
                    </w:pPr>
                    <w:r w:rsidRPr="00262457">
                      <w:rPr>
                        <w:sz w:val="28"/>
                        <w:szCs w:val="28"/>
                      </w:rPr>
                      <w:t>2</w:t>
                    </w:r>
                  </w:p>
                  <w:p w14:paraId="43F5BC98" w14:textId="77777777" w:rsidR="00CB69E0" w:rsidRPr="00262457" w:rsidRDefault="00000000" w:rsidP="00262457">
                    <w:pPr>
                      <w:spacing w:line="480" w:lineRule="auto"/>
                      <w:jc w:val="right"/>
                      <w:rPr>
                        <w:sz w:val="28"/>
                        <w:szCs w:val="28"/>
                      </w:rPr>
                    </w:pPr>
                    <w:r w:rsidRPr="00262457">
                      <w:rPr>
                        <w:sz w:val="28"/>
                        <w:szCs w:val="28"/>
                      </w:rPr>
                      <w:t>3</w:t>
                    </w:r>
                  </w:p>
                  <w:p w14:paraId="4550ED5C" w14:textId="77777777" w:rsidR="00CB69E0" w:rsidRPr="00262457" w:rsidRDefault="00000000" w:rsidP="00262457">
                    <w:pPr>
                      <w:spacing w:line="480" w:lineRule="auto"/>
                      <w:jc w:val="right"/>
                      <w:rPr>
                        <w:sz w:val="28"/>
                        <w:szCs w:val="28"/>
                      </w:rPr>
                    </w:pPr>
                    <w:r w:rsidRPr="00262457">
                      <w:rPr>
                        <w:sz w:val="28"/>
                        <w:szCs w:val="28"/>
                      </w:rPr>
                      <w:t>4</w:t>
                    </w:r>
                  </w:p>
                  <w:p w14:paraId="4CAEA99A" w14:textId="77777777" w:rsidR="00CB69E0" w:rsidRPr="00262457" w:rsidRDefault="00000000" w:rsidP="00262457">
                    <w:pPr>
                      <w:spacing w:line="480" w:lineRule="auto"/>
                      <w:jc w:val="right"/>
                      <w:rPr>
                        <w:sz w:val="28"/>
                        <w:szCs w:val="28"/>
                      </w:rPr>
                    </w:pPr>
                    <w:r w:rsidRPr="00262457">
                      <w:rPr>
                        <w:sz w:val="28"/>
                        <w:szCs w:val="28"/>
                      </w:rPr>
                      <w:t>5</w:t>
                    </w:r>
                  </w:p>
                  <w:p w14:paraId="63AD6836" w14:textId="77777777" w:rsidR="00CB69E0" w:rsidRPr="00262457" w:rsidRDefault="00000000" w:rsidP="00262457">
                    <w:pPr>
                      <w:spacing w:line="480" w:lineRule="auto"/>
                      <w:jc w:val="right"/>
                      <w:rPr>
                        <w:sz w:val="28"/>
                        <w:szCs w:val="28"/>
                      </w:rPr>
                    </w:pPr>
                    <w:r w:rsidRPr="00262457">
                      <w:rPr>
                        <w:sz w:val="28"/>
                        <w:szCs w:val="28"/>
                      </w:rPr>
                      <w:t>6</w:t>
                    </w:r>
                  </w:p>
                  <w:p w14:paraId="0E83D5B5" w14:textId="77777777" w:rsidR="00CB69E0" w:rsidRPr="00262457" w:rsidRDefault="00000000" w:rsidP="00262457">
                    <w:pPr>
                      <w:spacing w:line="480" w:lineRule="auto"/>
                      <w:jc w:val="right"/>
                      <w:rPr>
                        <w:sz w:val="28"/>
                        <w:szCs w:val="28"/>
                      </w:rPr>
                    </w:pPr>
                    <w:r w:rsidRPr="00262457">
                      <w:rPr>
                        <w:sz w:val="28"/>
                        <w:szCs w:val="28"/>
                      </w:rPr>
                      <w:t>7</w:t>
                    </w:r>
                  </w:p>
                  <w:p w14:paraId="72AA3E6B" w14:textId="77777777" w:rsidR="00CB69E0" w:rsidRPr="00262457" w:rsidRDefault="00000000" w:rsidP="00262457">
                    <w:pPr>
                      <w:spacing w:line="480" w:lineRule="auto"/>
                      <w:jc w:val="right"/>
                      <w:rPr>
                        <w:sz w:val="28"/>
                        <w:szCs w:val="28"/>
                      </w:rPr>
                    </w:pPr>
                    <w:r w:rsidRPr="00262457">
                      <w:rPr>
                        <w:sz w:val="28"/>
                        <w:szCs w:val="28"/>
                      </w:rPr>
                      <w:t>8</w:t>
                    </w:r>
                  </w:p>
                  <w:p w14:paraId="08297B85" w14:textId="77777777" w:rsidR="00CB69E0" w:rsidRPr="00262457" w:rsidRDefault="00000000" w:rsidP="00262457">
                    <w:pPr>
                      <w:spacing w:line="480" w:lineRule="auto"/>
                      <w:jc w:val="right"/>
                      <w:rPr>
                        <w:sz w:val="28"/>
                        <w:szCs w:val="28"/>
                      </w:rPr>
                    </w:pPr>
                    <w:r w:rsidRPr="00262457">
                      <w:rPr>
                        <w:sz w:val="28"/>
                        <w:szCs w:val="28"/>
                      </w:rPr>
                      <w:t>9</w:t>
                    </w:r>
                  </w:p>
                  <w:p w14:paraId="3A745F7B" w14:textId="77777777" w:rsidR="00CB69E0" w:rsidRPr="00262457" w:rsidRDefault="00000000" w:rsidP="00262457">
                    <w:pPr>
                      <w:spacing w:line="480" w:lineRule="auto"/>
                      <w:jc w:val="right"/>
                      <w:rPr>
                        <w:sz w:val="28"/>
                        <w:szCs w:val="28"/>
                      </w:rPr>
                    </w:pPr>
                    <w:r w:rsidRPr="00262457">
                      <w:rPr>
                        <w:sz w:val="28"/>
                        <w:szCs w:val="28"/>
                      </w:rPr>
                      <w:t>10</w:t>
                    </w:r>
                  </w:p>
                  <w:p w14:paraId="1D7FB413" w14:textId="77777777" w:rsidR="00CB69E0" w:rsidRPr="00262457" w:rsidRDefault="00000000" w:rsidP="00262457">
                    <w:pPr>
                      <w:spacing w:line="480" w:lineRule="auto"/>
                      <w:jc w:val="right"/>
                      <w:rPr>
                        <w:sz w:val="28"/>
                        <w:szCs w:val="28"/>
                      </w:rPr>
                    </w:pPr>
                    <w:r w:rsidRPr="00262457">
                      <w:rPr>
                        <w:sz w:val="28"/>
                        <w:szCs w:val="28"/>
                      </w:rPr>
                      <w:t>11</w:t>
                    </w:r>
                  </w:p>
                  <w:p w14:paraId="472BEDD5" w14:textId="77777777" w:rsidR="00CB69E0" w:rsidRPr="00262457" w:rsidRDefault="00000000" w:rsidP="00262457">
                    <w:pPr>
                      <w:spacing w:line="480" w:lineRule="auto"/>
                      <w:jc w:val="right"/>
                      <w:rPr>
                        <w:sz w:val="28"/>
                        <w:szCs w:val="28"/>
                      </w:rPr>
                    </w:pPr>
                    <w:r w:rsidRPr="00262457">
                      <w:rPr>
                        <w:sz w:val="28"/>
                        <w:szCs w:val="28"/>
                      </w:rPr>
                      <w:t>12</w:t>
                    </w:r>
                  </w:p>
                  <w:p w14:paraId="7B4FCF4E" w14:textId="77777777" w:rsidR="00CB69E0" w:rsidRPr="00262457" w:rsidRDefault="00000000" w:rsidP="00262457">
                    <w:pPr>
                      <w:spacing w:line="480" w:lineRule="auto"/>
                      <w:jc w:val="right"/>
                      <w:rPr>
                        <w:sz w:val="28"/>
                        <w:szCs w:val="28"/>
                      </w:rPr>
                    </w:pPr>
                    <w:r w:rsidRPr="00262457">
                      <w:rPr>
                        <w:sz w:val="28"/>
                        <w:szCs w:val="28"/>
                      </w:rPr>
                      <w:t>13</w:t>
                    </w:r>
                  </w:p>
                  <w:p w14:paraId="3FD0D5C0" w14:textId="77777777" w:rsidR="00CB69E0" w:rsidRPr="00262457" w:rsidRDefault="00000000" w:rsidP="00262457">
                    <w:pPr>
                      <w:spacing w:line="480" w:lineRule="auto"/>
                      <w:jc w:val="right"/>
                      <w:rPr>
                        <w:sz w:val="28"/>
                        <w:szCs w:val="28"/>
                      </w:rPr>
                    </w:pPr>
                    <w:r w:rsidRPr="00262457">
                      <w:rPr>
                        <w:sz w:val="28"/>
                        <w:szCs w:val="28"/>
                      </w:rPr>
                      <w:t>14</w:t>
                    </w:r>
                  </w:p>
                  <w:p w14:paraId="49A50EAD" w14:textId="77777777" w:rsidR="00CB69E0" w:rsidRPr="00262457" w:rsidRDefault="00000000" w:rsidP="00262457">
                    <w:pPr>
                      <w:spacing w:line="480" w:lineRule="auto"/>
                      <w:jc w:val="right"/>
                      <w:rPr>
                        <w:sz w:val="28"/>
                        <w:szCs w:val="28"/>
                      </w:rPr>
                    </w:pPr>
                    <w:r w:rsidRPr="00262457">
                      <w:rPr>
                        <w:sz w:val="28"/>
                        <w:szCs w:val="28"/>
                      </w:rPr>
                      <w:t>15</w:t>
                    </w:r>
                  </w:p>
                  <w:p w14:paraId="5C30DA36" w14:textId="77777777" w:rsidR="00CB69E0" w:rsidRPr="00262457" w:rsidRDefault="00000000" w:rsidP="00262457">
                    <w:pPr>
                      <w:spacing w:line="480" w:lineRule="auto"/>
                      <w:jc w:val="right"/>
                      <w:rPr>
                        <w:sz w:val="28"/>
                        <w:szCs w:val="28"/>
                      </w:rPr>
                    </w:pPr>
                    <w:r w:rsidRPr="00262457">
                      <w:rPr>
                        <w:sz w:val="28"/>
                        <w:szCs w:val="28"/>
                      </w:rPr>
                      <w:t>16</w:t>
                    </w:r>
                  </w:p>
                  <w:p w14:paraId="593041E0" w14:textId="77777777" w:rsidR="00CB69E0" w:rsidRPr="00262457" w:rsidRDefault="00000000" w:rsidP="00262457">
                    <w:pPr>
                      <w:spacing w:line="480" w:lineRule="auto"/>
                      <w:jc w:val="right"/>
                      <w:rPr>
                        <w:sz w:val="28"/>
                        <w:szCs w:val="28"/>
                      </w:rPr>
                    </w:pPr>
                    <w:r w:rsidRPr="00262457">
                      <w:rPr>
                        <w:sz w:val="28"/>
                        <w:szCs w:val="28"/>
                      </w:rPr>
                      <w:t>17</w:t>
                    </w:r>
                  </w:p>
                  <w:p w14:paraId="2B5C1CAC" w14:textId="77777777" w:rsidR="00CB69E0" w:rsidRPr="00262457" w:rsidRDefault="00000000" w:rsidP="00262457">
                    <w:pPr>
                      <w:spacing w:line="480" w:lineRule="auto"/>
                      <w:jc w:val="right"/>
                      <w:rPr>
                        <w:sz w:val="28"/>
                        <w:szCs w:val="28"/>
                      </w:rPr>
                    </w:pPr>
                    <w:r w:rsidRPr="00262457">
                      <w:rPr>
                        <w:sz w:val="28"/>
                        <w:szCs w:val="28"/>
                      </w:rPr>
                      <w:t>18</w:t>
                    </w:r>
                  </w:p>
                  <w:p w14:paraId="07C4B45A" w14:textId="77777777" w:rsidR="00CB69E0" w:rsidRPr="00262457" w:rsidRDefault="00000000" w:rsidP="00262457">
                    <w:pPr>
                      <w:spacing w:line="480" w:lineRule="auto"/>
                      <w:jc w:val="right"/>
                      <w:rPr>
                        <w:sz w:val="28"/>
                        <w:szCs w:val="28"/>
                      </w:rPr>
                    </w:pPr>
                    <w:r w:rsidRPr="00262457">
                      <w:rPr>
                        <w:sz w:val="28"/>
                        <w:szCs w:val="28"/>
                      </w:rPr>
                      <w:t>19</w:t>
                    </w:r>
                  </w:p>
                  <w:p w14:paraId="20478736" w14:textId="77777777" w:rsidR="00CB69E0" w:rsidRPr="00262457" w:rsidRDefault="00000000"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sz w:val="18"/>
        <w:szCs w:val="18"/>
      </w:rPr>
      <mc:AlternateContent>
        <mc:Choice Requires="wps">
          <w:drawing>
            <wp:anchor distT="0" distB="0" distL="114300" distR="114300" simplePos="0" relativeHeight="251659264" behindDoc="0" locked="0" layoutInCell="1" allowOverlap="1" wp14:anchorId="29DF8603" wp14:editId="7F24E93E">
              <wp:simplePos x="0" y="0"/>
              <wp:positionH relativeFrom="margin">
                <wp:posOffset>5943600</wp:posOffset>
              </wp:positionH>
              <wp:positionV relativeFrom="page">
                <wp:posOffset>0</wp:posOffset>
              </wp:positionV>
              <wp:extent cx="0" cy="10058400"/>
              <wp:effectExtent l="9525" t="9525" r="9525" b="9525"/>
              <wp:wrapNone/>
              <wp:docPr id="4" name="Line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15762701" id="Line 15" o:spid="_x0000_s1026" style="position:absolute;z-index:251659264;visibility:hidden;mso-wrap-style:square;mso-wrap-distance-left:9pt;mso-wrap-distance-top:0;mso-wrap-distance-right:9pt;mso-wrap-distance-bottom:0;mso-position-horizontal:absolute;mso-position-horizontal-relative:margin;mso-position-vertical:absolute;mso-position-vertical-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34D6" w14:textId="77777777" w:rsidR="00CB69E0" w:rsidRDefault="00AC5464">
    <w:pPr>
      <w:tabs>
        <w:tab w:val="right" w:pos="8910"/>
      </w:tabs>
      <w:spacing w:line="240" w:lineRule="auto"/>
      <w:ind w:right="14"/>
      <w:rPr>
        <w:sz w:val="18"/>
        <w:szCs w:val="18"/>
      </w:rPr>
    </w:pPr>
    <w:r>
      <w:rPr>
        <w:noProof/>
        <w:sz w:val="18"/>
        <w:szCs w:val="18"/>
      </w:rPr>
      <mc:AlternateContent>
        <mc:Choice Requires="wps">
          <w:drawing>
            <wp:anchor distT="0" distB="0" distL="114300" distR="114300" simplePos="0" relativeHeight="251660288" behindDoc="0" locked="0" layoutInCell="1" allowOverlap="1" wp14:anchorId="4614ECA7" wp14:editId="2BC7A9B2">
              <wp:simplePos x="0" y="0"/>
              <wp:positionH relativeFrom="margin">
                <wp:posOffset>-581025</wp:posOffset>
              </wp:positionH>
              <wp:positionV relativeFrom="margin">
                <wp:posOffset>0</wp:posOffset>
              </wp:positionV>
              <wp:extent cx="407670" cy="83343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8334375"/>
                      </a:xfrm>
                      <a:prstGeom prst="rect">
                        <a:avLst/>
                      </a:prstGeom>
                      <a:solidFill>
                        <a:srgbClr val="FFFFFF"/>
                      </a:solid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69AAD055" w14:textId="77777777" w:rsidR="00CB69E0" w:rsidRPr="00262457" w:rsidRDefault="00AC5464" w:rsidP="00262457">
                          <w:pPr>
                            <w:spacing w:line="480" w:lineRule="auto"/>
                            <w:jc w:val="right"/>
                            <w:rPr>
                              <w:sz w:val="28"/>
                              <w:szCs w:val="28"/>
                            </w:rPr>
                          </w:pPr>
                          <w:r w:rsidRPr="00262457">
                            <w:rPr>
                              <w:sz w:val="28"/>
                              <w:szCs w:val="28"/>
                            </w:rPr>
                            <w:t>1</w:t>
                          </w:r>
                        </w:p>
                        <w:p w14:paraId="59074D61" w14:textId="77777777" w:rsidR="00CB69E0" w:rsidRPr="00262457" w:rsidRDefault="00AC5464" w:rsidP="00262457">
                          <w:pPr>
                            <w:spacing w:line="480" w:lineRule="auto"/>
                            <w:jc w:val="right"/>
                            <w:rPr>
                              <w:sz w:val="28"/>
                              <w:szCs w:val="28"/>
                            </w:rPr>
                          </w:pPr>
                          <w:r w:rsidRPr="00262457">
                            <w:rPr>
                              <w:sz w:val="28"/>
                              <w:szCs w:val="28"/>
                            </w:rPr>
                            <w:t>2</w:t>
                          </w:r>
                        </w:p>
                        <w:p w14:paraId="08306FCA" w14:textId="77777777" w:rsidR="00CB69E0" w:rsidRPr="00262457" w:rsidRDefault="00AC5464" w:rsidP="00262457">
                          <w:pPr>
                            <w:spacing w:line="480" w:lineRule="auto"/>
                            <w:jc w:val="right"/>
                            <w:rPr>
                              <w:sz w:val="28"/>
                              <w:szCs w:val="28"/>
                            </w:rPr>
                          </w:pPr>
                          <w:r w:rsidRPr="00262457">
                            <w:rPr>
                              <w:sz w:val="28"/>
                              <w:szCs w:val="28"/>
                            </w:rPr>
                            <w:t>3</w:t>
                          </w:r>
                        </w:p>
                        <w:p w14:paraId="453D3AED" w14:textId="77777777" w:rsidR="00CB69E0" w:rsidRPr="00262457" w:rsidRDefault="00AC5464" w:rsidP="00262457">
                          <w:pPr>
                            <w:spacing w:line="480" w:lineRule="auto"/>
                            <w:jc w:val="right"/>
                            <w:rPr>
                              <w:sz w:val="28"/>
                              <w:szCs w:val="28"/>
                            </w:rPr>
                          </w:pPr>
                          <w:r w:rsidRPr="00262457">
                            <w:rPr>
                              <w:sz w:val="28"/>
                              <w:szCs w:val="28"/>
                            </w:rPr>
                            <w:t>4</w:t>
                          </w:r>
                        </w:p>
                        <w:p w14:paraId="590A65D2" w14:textId="77777777" w:rsidR="00CB69E0" w:rsidRPr="00262457" w:rsidRDefault="00AC5464" w:rsidP="00262457">
                          <w:pPr>
                            <w:spacing w:line="480" w:lineRule="auto"/>
                            <w:jc w:val="right"/>
                            <w:rPr>
                              <w:sz w:val="28"/>
                              <w:szCs w:val="28"/>
                            </w:rPr>
                          </w:pPr>
                          <w:r w:rsidRPr="00262457">
                            <w:rPr>
                              <w:sz w:val="28"/>
                              <w:szCs w:val="28"/>
                            </w:rPr>
                            <w:t>5</w:t>
                          </w:r>
                        </w:p>
                        <w:p w14:paraId="7EF10D51" w14:textId="77777777" w:rsidR="00CB69E0" w:rsidRPr="00262457" w:rsidRDefault="00AC5464" w:rsidP="00262457">
                          <w:pPr>
                            <w:spacing w:line="480" w:lineRule="auto"/>
                            <w:jc w:val="right"/>
                            <w:rPr>
                              <w:sz w:val="28"/>
                              <w:szCs w:val="28"/>
                            </w:rPr>
                          </w:pPr>
                          <w:r w:rsidRPr="00262457">
                            <w:rPr>
                              <w:sz w:val="28"/>
                              <w:szCs w:val="28"/>
                            </w:rPr>
                            <w:t>6</w:t>
                          </w:r>
                        </w:p>
                        <w:p w14:paraId="0098C913" w14:textId="77777777" w:rsidR="00CB69E0" w:rsidRPr="00262457" w:rsidRDefault="00AC5464" w:rsidP="00262457">
                          <w:pPr>
                            <w:spacing w:line="480" w:lineRule="auto"/>
                            <w:jc w:val="right"/>
                            <w:rPr>
                              <w:sz w:val="28"/>
                              <w:szCs w:val="28"/>
                            </w:rPr>
                          </w:pPr>
                          <w:r w:rsidRPr="00262457">
                            <w:rPr>
                              <w:sz w:val="28"/>
                              <w:szCs w:val="28"/>
                            </w:rPr>
                            <w:t>7</w:t>
                          </w:r>
                        </w:p>
                        <w:p w14:paraId="0066A011" w14:textId="77777777" w:rsidR="00CB69E0" w:rsidRPr="00262457" w:rsidRDefault="00AC5464" w:rsidP="00262457">
                          <w:pPr>
                            <w:spacing w:line="480" w:lineRule="auto"/>
                            <w:jc w:val="right"/>
                            <w:rPr>
                              <w:sz w:val="28"/>
                              <w:szCs w:val="28"/>
                            </w:rPr>
                          </w:pPr>
                          <w:r w:rsidRPr="00262457">
                            <w:rPr>
                              <w:sz w:val="28"/>
                              <w:szCs w:val="28"/>
                            </w:rPr>
                            <w:t>8</w:t>
                          </w:r>
                        </w:p>
                        <w:p w14:paraId="7C176E8F" w14:textId="77777777" w:rsidR="00CB69E0" w:rsidRPr="00262457" w:rsidRDefault="00AC5464" w:rsidP="00262457">
                          <w:pPr>
                            <w:spacing w:line="480" w:lineRule="auto"/>
                            <w:jc w:val="right"/>
                            <w:rPr>
                              <w:sz w:val="28"/>
                              <w:szCs w:val="28"/>
                            </w:rPr>
                          </w:pPr>
                          <w:r w:rsidRPr="00262457">
                            <w:rPr>
                              <w:sz w:val="28"/>
                              <w:szCs w:val="28"/>
                            </w:rPr>
                            <w:t>9</w:t>
                          </w:r>
                        </w:p>
                        <w:p w14:paraId="29F96D1B" w14:textId="77777777" w:rsidR="00CB69E0" w:rsidRPr="00262457" w:rsidRDefault="00AC5464" w:rsidP="00262457">
                          <w:pPr>
                            <w:spacing w:line="480" w:lineRule="auto"/>
                            <w:jc w:val="right"/>
                            <w:rPr>
                              <w:sz w:val="28"/>
                              <w:szCs w:val="28"/>
                            </w:rPr>
                          </w:pPr>
                          <w:r w:rsidRPr="00262457">
                            <w:rPr>
                              <w:sz w:val="28"/>
                              <w:szCs w:val="28"/>
                            </w:rPr>
                            <w:t>10</w:t>
                          </w:r>
                        </w:p>
                        <w:p w14:paraId="60DB6A44" w14:textId="77777777" w:rsidR="00CB69E0" w:rsidRPr="00262457" w:rsidRDefault="00AC5464" w:rsidP="00262457">
                          <w:pPr>
                            <w:spacing w:line="480" w:lineRule="auto"/>
                            <w:jc w:val="right"/>
                            <w:rPr>
                              <w:sz w:val="28"/>
                              <w:szCs w:val="28"/>
                            </w:rPr>
                          </w:pPr>
                          <w:r w:rsidRPr="00262457">
                            <w:rPr>
                              <w:sz w:val="28"/>
                              <w:szCs w:val="28"/>
                            </w:rPr>
                            <w:t>11</w:t>
                          </w:r>
                        </w:p>
                        <w:p w14:paraId="5C889B27" w14:textId="77777777" w:rsidR="00CB69E0" w:rsidRPr="00262457" w:rsidRDefault="00AC5464" w:rsidP="00262457">
                          <w:pPr>
                            <w:spacing w:line="480" w:lineRule="auto"/>
                            <w:jc w:val="right"/>
                            <w:rPr>
                              <w:sz w:val="28"/>
                              <w:szCs w:val="28"/>
                            </w:rPr>
                          </w:pPr>
                          <w:r w:rsidRPr="00262457">
                            <w:rPr>
                              <w:sz w:val="28"/>
                              <w:szCs w:val="28"/>
                            </w:rPr>
                            <w:t>12</w:t>
                          </w:r>
                        </w:p>
                        <w:p w14:paraId="7FB508F2" w14:textId="77777777" w:rsidR="00CB69E0" w:rsidRPr="00262457" w:rsidRDefault="00AC5464" w:rsidP="00262457">
                          <w:pPr>
                            <w:spacing w:line="480" w:lineRule="auto"/>
                            <w:jc w:val="right"/>
                            <w:rPr>
                              <w:sz w:val="28"/>
                              <w:szCs w:val="28"/>
                            </w:rPr>
                          </w:pPr>
                          <w:r w:rsidRPr="00262457">
                            <w:rPr>
                              <w:sz w:val="28"/>
                              <w:szCs w:val="28"/>
                            </w:rPr>
                            <w:t>13</w:t>
                          </w:r>
                        </w:p>
                        <w:p w14:paraId="5F252DB0" w14:textId="77777777" w:rsidR="00CB69E0" w:rsidRPr="00262457" w:rsidRDefault="00AC5464" w:rsidP="00262457">
                          <w:pPr>
                            <w:spacing w:line="480" w:lineRule="auto"/>
                            <w:jc w:val="right"/>
                            <w:rPr>
                              <w:sz w:val="28"/>
                              <w:szCs w:val="28"/>
                            </w:rPr>
                          </w:pPr>
                          <w:r w:rsidRPr="00262457">
                            <w:rPr>
                              <w:sz w:val="28"/>
                              <w:szCs w:val="28"/>
                            </w:rPr>
                            <w:t>14</w:t>
                          </w:r>
                        </w:p>
                        <w:p w14:paraId="3056A9DB" w14:textId="77777777" w:rsidR="00CB69E0" w:rsidRPr="00262457" w:rsidRDefault="00AC5464" w:rsidP="00262457">
                          <w:pPr>
                            <w:spacing w:line="480" w:lineRule="auto"/>
                            <w:jc w:val="right"/>
                            <w:rPr>
                              <w:sz w:val="28"/>
                              <w:szCs w:val="28"/>
                            </w:rPr>
                          </w:pPr>
                          <w:r w:rsidRPr="00262457">
                            <w:rPr>
                              <w:sz w:val="28"/>
                              <w:szCs w:val="28"/>
                            </w:rPr>
                            <w:t>15</w:t>
                          </w:r>
                        </w:p>
                        <w:p w14:paraId="07BF0623" w14:textId="77777777" w:rsidR="00CB69E0" w:rsidRPr="00262457" w:rsidRDefault="00AC5464" w:rsidP="00262457">
                          <w:pPr>
                            <w:spacing w:line="480" w:lineRule="auto"/>
                            <w:jc w:val="right"/>
                            <w:rPr>
                              <w:sz w:val="28"/>
                              <w:szCs w:val="28"/>
                            </w:rPr>
                          </w:pPr>
                          <w:r w:rsidRPr="00262457">
                            <w:rPr>
                              <w:sz w:val="28"/>
                              <w:szCs w:val="28"/>
                            </w:rPr>
                            <w:t>16</w:t>
                          </w:r>
                        </w:p>
                        <w:p w14:paraId="465B1C72" w14:textId="77777777" w:rsidR="00CB69E0" w:rsidRPr="00262457" w:rsidRDefault="00AC5464" w:rsidP="00262457">
                          <w:pPr>
                            <w:spacing w:line="480" w:lineRule="auto"/>
                            <w:jc w:val="right"/>
                            <w:rPr>
                              <w:sz w:val="28"/>
                              <w:szCs w:val="28"/>
                            </w:rPr>
                          </w:pPr>
                          <w:r w:rsidRPr="00262457">
                            <w:rPr>
                              <w:sz w:val="28"/>
                              <w:szCs w:val="28"/>
                            </w:rPr>
                            <w:t>17</w:t>
                          </w:r>
                        </w:p>
                        <w:p w14:paraId="305F0FF1" w14:textId="77777777" w:rsidR="00CB69E0" w:rsidRPr="00262457" w:rsidRDefault="00AC5464" w:rsidP="00262457">
                          <w:pPr>
                            <w:spacing w:line="480" w:lineRule="auto"/>
                            <w:jc w:val="right"/>
                            <w:rPr>
                              <w:sz w:val="28"/>
                              <w:szCs w:val="28"/>
                            </w:rPr>
                          </w:pPr>
                          <w:r w:rsidRPr="00262457">
                            <w:rPr>
                              <w:sz w:val="28"/>
                              <w:szCs w:val="28"/>
                            </w:rPr>
                            <w:t>18</w:t>
                          </w:r>
                        </w:p>
                        <w:p w14:paraId="49F351D0" w14:textId="77777777" w:rsidR="00CB69E0" w:rsidRPr="00262457" w:rsidRDefault="00AC5464" w:rsidP="00262457">
                          <w:pPr>
                            <w:spacing w:line="480" w:lineRule="auto"/>
                            <w:jc w:val="right"/>
                            <w:rPr>
                              <w:sz w:val="28"/>
                              <w:szCs w:val="28"/>
                            </w:rPr>
                          </w:pPr>
                          <w:r w:rsidRPr="00262457">
                            <w:rPr>
                              <w:sz w:val="28"/>
                              <w:szCs w:val="28"/>
                            </w:rPr>
                            <w:t>19</w:t>
                          </w:r>
                        </w:p>
                        <w:p w14:paraId="16967A6C" w14:textId="77777777" w:rsidR="00CB69E0" w:rsidRPr="00262457" w:rsidRDefault="00AC5464" w:rsidP="00262457">
                          <w:pPr>
                            <w:spacing w:line="480" w:lineRule="auto"/>
                            <w:jc w:val="right"/>
                            <w:rPr>
                              <w:sz w:val="28"/>
                              <w:szCs w:val="28"/>
                            </w:rPr>
                          </w:pPr>
                          <w:r w:rsidRPr="00262457">
                            <w:rPr>
                              <w:sz w:val="28"/>
                              <w:szCs w:val="28"/>
                            </w:rPr>
                            <w:t>20</w:t>
                          </w:r>
                        </w:p>
                      </w:txbxContent>
                    </wps:txbx>
                    <wps:bodyPr rot="0" vert="horz" wrap="square" lIns="0" tIns="0" rIns="0" bIns="0" anchor="t" anchorCtr="0">
                      <a:noAutofit/>
                    </wps:bodyPr>
                  </wps:wsp>
                </a:graphicData>
              </a:graphic>
            </wp:anchor>
          </w:drawing>
        </mc:Choice>
        <mc:Fallback>
          <w:pict>
            <v:shapetype w14:anchorId="4614ECA7" id="_x0000_t202" coordsize="21600,21600" o:spt="202" path="m,l,21600r21600,l21600,xe">
              <v:stroke joinstyle="miter"/>
              <v:path gradientshapeok="t" o:connecttype="rect"/>
            </v:shapetype>
            <v:shape id="Text Box 9" o:spid="_x0000_s1027" type="#_x0000_t202" style="position:absolute;margin-left:-45.75pt;margin-top:0;width:32.1pt;height:656.2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" stroked="f">
              <v:textbox inset="0,0,0,0">
                <w:txbxContent>
                  <w:p w14:paraId="69AAD055" w14:textId="77777777" w:rsidR="00CB69E0" w:rsidRPr="00262457" w:rsidRDefault="00000000" w:rsidP="00262457">
                    <w:pPr>
                      <w:spacing w:line="480" w:lineRule="auto"/>
                      <w:jc w:val="right"/>
                      <w:rPr>
                        <w:sz w:val="28"/>
                        <w:szCs w:val="28"/>
                      </w:rPr>
                    </w:pPr>
                    <w:r w:rsidRPr="00262457">
                      <w:rPr>
                        <w:sz w:val="28"/>
                        <w:szCs w:val="28"/>
                      </w:rPr>
                      <w:t>1</w:t>
                    </w:r>
                  </w:p>
                  <w:p w14:paraId="59074D61" w14:textId="77777777" w:rsidR="00CB69E0" w:rsidRPr="00262457" w:rsidRDefault="00000000" w:rsidP="00262457">
                    <w:pPr>
                      <w:spacing w:line="480" w:lineRule="auto"/>
                      <w:jc w:val="right"/>
                      <w:rPr>
                        <w:sz w:val="28"/>
                        <w:szCs w:val="28"/>
                      </w:rPr>
                    </w:pPr>
                    <w:r w:rsidRPr="00262457">
                      <w:rPr>
                        <w:sz w:val="28"/>
                        <w:szCs w:val="28"/>
                      </w:rPr>
                      <w:t>2</w:t>
                    </w:r>
                  </w:p>
                  <w:p w14:paraId="08306FCA" w14:textId="77777777" w:rsidR="00CB69E0" w:rsidRPr="00262457" w:rsidRDefault="00000000" w:rsidP="00262457">
                    <w:pPr>
                      <w:spacing w:line="480" w:lineRule="auto"/>
                      <w:jc w:val="right"/>
                      <w:rPr>
                        <w:sz w:val="28"/>
                        <w:szCs w:val="28"/>
                      </w:rPr>
                    </w:pPr>
                    <w:r w:rsidRPr="00262457">
                      <w:rPr>
                        <w:sz w:val="28"/>
                        <w:szCs w:val="28"/>
                      </w:rPr>
                      <w:t>3</w:t>
                    </w:r>
                  </w:p>
                  <w:p w14:paraId="453D3AED" w14:textId="77777777" w:rsidR="00CB69E0" w:rsidRPr="00262457" w:rsidRDefault="00000000" w:rsidP="00262457">
                    <w:pPr>
                      <w:spacing w:line="480" w:lineRule="auto"/>
                      <w:jc w:val="right"/>
                      <w:rPr>
                        <w:sz w:val="28"/>
                        <w:szCs w:val="28"/>
                      </w:rPr>
                    </w:pPr>
                    <w:r w:rsidRPr="00262457">
                      <w:rPr>
                        <w:sz w:val="28"/>
                        <w:szCs w:val="28"/>
                      </w:rPr>
                      <w:t>4</w:t>
                    </w:r>
                  </w:p>
                  <w:p w14:paraId="590A65D2" w14:textId="77777777" w:rsidR="00CB69E0" w:rsidRPr="00262457" w:rsidRDefault="00000000" w:rsidP="00262457">
                    <w:pPr>
                      <w:spacing w:line="480" w:lineRule="auto"/>
                      <w:jc w:val="right"/>
                      <w:rPr>
                        <w:sz w:val="28"/>
                        <w:szCs w:val="28"/>
                      </w:rPr>
                    </w:pPr>
                    <w:r w:rsidRPr="00262457">
                      <w:rPr>
                        <w:sz w:val="28"/>
                        <w:szCs w:val="28"/>
                      </w:rPr>
                      <w:t>5</w:t>
                    </w:r>
                  </w:p>
                  <w:p w14:paraId="7EF10D51" w14:textId="77777777" w:rsidR="00CB69E0" w:rsidRPr="00262457" w:rsidRDefault="00000000" w:rsidP="00262457">
                    <w:pPr>
                      <w:spacing w:line="480" w:lineRule="auto"/>
                      <w:jc w:val="right"/>
                      <w:rPr>
                        <w:sz w:val="28"/>
                        <w:szCs w:val="28"/>
                      </w:rPr>
                    </w:pPr>
                    <w:r w:rsidRPr="00262457">
                      <w:rPr>
                        <w:sz w:val="28"/>
                        <w:szCs w:val="28"/>
                      </w:rPr>
                      <w:t>6</w:t>
                    </w:r>
                  </w:p>
                  <w:p w14:paraId="0098C913" w14:textId="77777777" w:rsidR="00CB69E0" w:rsidRPr="00262457" w:rsidRDefault="00000000" w:rsidP="00262457">
                    <w:pPr>
                      <w:spacing w:line="480" w:lineRule="auto"/>
                      <w:jc w:val="right"/>
                      <w:rPr>
                        <w:sz w:val="28"/>
                        <w:szCs w:val="28"/>
                      </w:rPr>
                    </w:pPr>
                    <w:r w:rsidRPr="00262457">
                      <w:rPr>
                        <w:sz w:val="28"/>
                        <w:szCs w:val="28"/>
                      </w:rPr>
                      <w:t>7</w:t>
                    </w:r>
                  </w:p>
                  <w:p w14:paraId="0066A011" w14:textId="77777777" w:rsidR="00CB69E0" w:rsidRPr="00262457" w:rsidRDefault="00000000" w:rsidP="00262457">
                    <w:pPr>
                      <w:spacing w:line="480" w:lineRule="auto"/>
                      <w:jc w:val="right"/>
                      <w:rPr>
                        <w:sz w:val="28"/>
                        <w:szCs w:val="28"/>
                      </w:rPr>
                    </w:pPr>
                    <w:r w:rsidRPr="00262457">
                      <w:rPr>
                        <w:sz w:val="28"/>
                        <w:szCs w:val="28"/>
                      </w:rPr>
                      <w:t>8</w:t>
                    </w:r>
                  </w:p>
                  <w:p w14:paraId="7C176E8F" w14:textId="77777777" w:rsidR="00CB69E0" w:rsidRPr="00262457" w:rsidRDefault="00000000" w:rsidP="00262457">
                    <w:pPr>
                      <w:spacing w:line="480" w:lineRule="auto"/>
                      <w:jc w:val="right"/>
                      <w:rPr>
                        <w:sz w:val="28"/>
                        <w:szCs w:val="28"/>
                      </w:rPr>
                    </w:pPr>
                    <w:r w:rsidRPr="00262457">
                      <w:rPr>
                        <w:sz w:val="28"/>
                        <w:szCs w:val="28"/>
                      </w:rPr>
                      <w:t>9</w:t>
                    </w:r>
                  </w:p>
                  <w:p w14:paraId="29F96D1B" w14:textId="77777777" w:rsidR="00CB69E0" w:rsidRPr="00262457" w:rsidRDefault="00000000" w:rsidP="00262457">
                    <w:pPr>
                      <w:spacing w:line="480" w:lineRule="auto"/>
                      <w:jc w:val="right"/>
                      <w:rPr>
                        <w:sz w:val="28"/>
                        <w:szCs w:val="28"/>
                      </w:rPr>
                    </w:pPr>
                    <w:r w:rsidRPr="00262457">
                      <w:rPr>
                        <w:sz w:val="28"/>
                        <w:szCs w:val="28"/>
                      </w:rPr>
                      <w:t>10</w:t>
                    </w:r>
                  </w:p>
                  <w:p w14:paraId="60DB6A44" w14:textId="77777777" w:rsidR="00CB69E0" w:rsidRPr="00262457" w:rsidRDefault="00000000" w:rsidP="00262457">
                    <w:pPr>
                      <w:spacing w:line="480" w:lineRule="auto"/>
                      <w:jc w:val="right"/>
                      <w:rPr>
                        <w:sz w:val="28"/>
                        <w:szCs w:val="28"/>
                      </w:rPr>
                    </w:pPr>
                    <w:r w:rsidRPr="00262457">
                      <w:rPr>
                        <w:sz w:val="28"/>
                        <w:szCs w:val="28"/>
                      </w:rPr>
                      <w:t>11</w:t>
                    </w:r>
                  </w:p>
                  <w:p w14:paraId="5C889B27" w14:textId="77777777" w:rsidR="00CB69E0" w:rsidRPr="00262457" w:rsidRDefault="00000000" w:rsidP="00262457">
                    <w:pPr>
                      <w:spacing w:line="480" w:lineRule="auto"/>
                      <w:jc w:val="right"/>
                      <w:rPr>
                        <w:sz w:val="28"/>
                        <w:szCs w:val="28"/>
                      </w:rPr>
                    </w:pPr>
                    <w:r w:rsidRPr="00262457">
                      <w:rPr>
                        <w:sz w:val="28"/>
                        <w:szCs w:val="28"/>
                      </w:rPr>
                      <w:t>12</w:t>
                    </w:r>
                  </w:p>
                  <w:p w14:paraId="7FB508F2" w14:textId="77777777" w:rsidR="00CB69E0" w:rsidRPr="00262457" w:rsidRDefault="00000000" w:rsidP="00262457">
                    <w:pPr>
                      <w:spacing w:line="480" w:lineRule="auto"/>
                      <w:jc w:val="right"/>
                      <w:rPr>
                        <w:sz w:val="28"/>
                        <w:szCs w:val="28"/>
                      </w:rPr>
                    </w:pPr>
                    <w:r w:rsidRPr="00262457">
                      <w:rPr>
                        <w:sz w:val="28"/>
                        <w:szCs w:val="28"/>
                      </w:rPr>
                      <w:t>13</w:t>
                    </w:r>
                  </w:p>
                  <w:p w14:paraId="5F252DB0" w14:textId="77777777" w:rsidR="00CB69E0" w:rsidRPr="00262457" w:rsidRDefault="00000000" w:rsidP="00262457">
                    <w:pPr>
                      <w:spacing w:line="480" w:lineRule="auto"/>
                      <w:jc w:val="right"/>
                      <w:rPr>
                        <w:sz w:val="28"/>
                        <w:szCs w:val="28"/>
                      </w:rPr>
                    </w:pPr>
                    <w:r w:rsidRPr="00262457">
                      <w:rPr>
                        <w:sz w:val="28"/>
                        <w:szCs w:val="28"/>
                      </w:rPr>
                      <w:t>14</w:t>
                    </w:r>
                  </w:p>
                  <w:p w14:paraId="3056A9DB" w14:textId="77777777" w:rsidR="00CB69E0" w:rsidRPr="00262457" w:rsidRDefault="00000000" w:rsidP="00262457">
                    <w:pPr>
                      <w:spacing w:line="480" w:lineRule="auto"/>
                      <w:jc w:val="right"/>
                      <w:rPr>
                        <w:sz w:val="28"/>
                        <w:szCs w:val="28"/>
                      </w:rPr>
                    </w:pPr>
                    <w:r w:rsidRPr="00262457">
                      <w:rPr>
                        <w:sz w:val="28"/>
                        <w:szCs w:val="28"/>
                      </w:rPr>
                      <w:t>15</w:t>
                    </w:r>
                  </w:p>
                  <w:p w14:paraId="07BF0623" w14:textId="77777777" w:rsidR="00CB69E0" w:rsidRPr="00262457" w:rsidRDefault="00000000" w:rsidP="00262457">
                    <w:pPr>
                      <w:spacing w:line="480" w:lineRule="auto"/>
                      <w:jc w:val="right"/>
                      <w:rPr>
                        <w:sz w:val="28"/>
                        <w:szCs w:val="28"/>
                      </w:rPr>
                    </w:pPr>
                    <w:r w:rsidRPr="00262457">
                      <w:rPr>
                        <w:sz w:val="28"/>
                        <w:szCs w:val="28"/>
                      </w:rPr>
                      <w:t>16</w:t>
                    </w:r>
                  </w:p>
                  <w:p w14:paraId="465B1C72" w14:textId="77777777" w:rsidR="00CB69E0" w:rsidRPr="00262457" w:rsidRDefault="00000000" w:rsidP="00262457">
                    <w:pPr>
                      <w:spacing w:line="480" w:lineRule="auto"/>
                      <w:jc w:val="right"/>
                      <w:rPr>
                        <w:sz w:val="28"/>
                        <w:szCs w:val="28"/>
                      </w:rPr>
                    </w:pPr>
                    <w:r w:rsidRPr="00262457">
                      <w:rPr>
                        <w:sz w:val="28"/>
                        <w:szCs w:val="28"/>
                      </w:rPr>
                      <w:t>17</w:t>
                    </w:r>
                  </w:p>
                  <w:p w14:paraId="305F0FF1" w14:textId="77777777" w:rsidR="00CB69E0" w:rsidRPr="00262457" w:rsidRDefault="00000000" w:rsidP="00262457">
                    <w:pPr>
                      <w:spacing w:line="480" w:lineRule="auto"/>
                      <w:jc w:val="right"/>
                      <w:rPr>
                        <w:sz w:val="28"/>
                        <w:szCs w:val="28"/>
                      </w:rPr>
                    </w:pPr>
                    <w:r w:rsidRPr="00262457">
                      <w:rPr>
                        <w:sz w:val="28"/>
                        <w:szCs w:val="28"/>
                      </w:rPr>
                      <w:t>18</w:t>
                    </w:r>
                  </w:p>
                  <w:p w14:paraId="49F351D0" w14:textId="77777777" w:rsidR="00CB69E0" w:rsidRPr="00262457" w:rsidRDefault="00000000" w:rsidP="00262457">
                    <w:pPr>
                      <w:spacing w:line="480" w:lineRule="auto"/>
                      <w:jc w:val="right"/>
                      <w:rPr>
                        <w:sz w:val="28"/>
                        <w:szCs w:val="28"/>
                      </w:rPr>
                    </w:pPr>
                    <w:r w:rsidRPr="00262457">
                      <w:rPr>
                        <w:sz w:val="28"/>
                        <w:szCs w:val="28"/>
                      </w:rPr>
                      <w:t>19</w:t>
                    </w:r>
                  </w:p>
                  <w:p w14:paraId="16967A6C" w14:textId="77777777" w:rsidR="00CB69E0" w:rsidRPr="00262457" w:rsidRDefault="00000000" w:rsidP="00262457">
                    <w:pPr>
                      <w:spacing w:line="480" w:lineRule="auto"/>
                      <w:jc w:val="right"/>
                      <w:rPr>
                        <w:sz w:val="28"/>
                        <w:szCs w:val="28"/>
                      </w:rPr>
                    </w:pPr>
                    <w:r w:rsidRPr="00262457">
                      <w:rPr>
                        <w:sz w:val="28"/>
                        <w:szCs w:val="28"/>
                      </w:rPr>
                      <w:t>20</w:t>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25C5E224" wp14:editId="338135B4">
              <wp:simplePos x="0" y="0"/>
              <wp:positionH relativeFrom="margin">
                <wp:posOffset>-104775</wp:posOffset>
              </wp:positionH>
              <wp:positionV relativeFrom="page">
                <wp:posOffset>283845</wp:posOffset>
              </wp:positionV>
              <wp:extent cx="0" cy="1021080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0"/>
                      </a:xfrm>
                      <a:prstGeom prst="line">
                        <a:avLst/>
                      </a:prstGeom>
                      <a:noFill/>
                      <a:ln w="952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w14:anchorId="706B0054" id="Line 10"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page" from="-8.25pt,22.35pt" to="-8.25pt,8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">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4D"/>
    <w:rsid w:val="00002B3D"/>
    <w:rsid w:val="00014E57"/>
    <w:rsid w:val="00017F37"/>
    <w:rsid w:val="00034F03"/>
    <w:rsid w:val="00037046"/>
    <w:rsid w:val="00073C55"/>
    <w:rsid w:val="000952C2"/>
    <w:rsid w:val="001512BC"/>
    <w:rsid w:val="001A631C"/>
    <w:rsid w:val="00206CBD"/>
    <w:rsid w:val="002254AE"/>
    <w:rsid w:val="00253725"/>
    <w:rsid w:val="00262DE7"/>
    <w:rsid w:val="0029584D"/>
    <w:rsid w:val="002B5555"/>
    <w:rsid w:val="002F30D3"/>
    <w:rsid w:val="00361D19"/>
    <w:rsid w:val="003D760B"/>
    <w:rsid w:val="004408E3"/>
    <w:rsid w:val="00443748"/>
    <w:rsid w:val="00450265"/>
    <w:rsid w:val="005677B4"/>
    <w:rsid w:val="00576925"/>
    <w:rsid w:val="00581002"/>
    <w:rsid w:val="00597D89"/>
    <w:rsid w:val="005A2353"/>
    <w:rsid w:val="005B102A"/>
    <w:rsid w:val="005B16E8"/>
    <w:rsid w:val="005B6674"/>
    <w:rsid w:val="005C038D"/>
    <w:rsid w:val="005F11F1"/>
    <w:rsid w:val="005F13A5"/>
    <w:rsid w:val="006814BF"/>
    <w:rsid w:val="00683488"/>
    <w:rsid w:val="006A3A23"/>
    <w:rsid w:val="006B7E6E"/>
    <w:rsid w:val="00726BD3"/>
    <w:rsid w:val="0073272C"/>
    <w:rsid w:val="007B6375"/>
    <w:rsid w:val="007D222B"/>
    <w:rsid w:val="007D25F2"/>
    <w:rsid w:val="007D4915"/>
    <w:rsid w:val="008159CE"/>
    <w:rsid w:val="00830B0B"/>
    <w:rsid w:val="008B2AD3"/>
    <w:rsid w:val="008E78BA"/>
    <w:rsid w:val="008F5CAD"/>
    <w:rsid w:val="00991BE0"/>
    <w:rsid w:val="00A62553"/>
    <w:rsid w:val="00A92153"/>
    <w:rsid w:val="00AA21FB"/>
    <w:rsid w:val="00AA6491"/>
    <w:rsid w:val="00AC0DDB"/>
    <w:rsid w:val="00AC5464"/>
    <w:rsid w:val="00B36661"/>
    <w:rsid w:val="00B955AF"/>
    <w:rsid w:val="00BD2F41"/>
    <w:rsid w:val="00BE6C4D"/>
    <w:rsid w:val="00C560CE"/>
    <w:rsid w:val="00C93C29"/>
    <w:rsid w:val="00C94939"/>
    <w:rsid w:val="00CA52AF"/>
    <w:rsid w:val="00CB69E0"/>
    <w:rsid w:val="00CC0BDF"/>
    <w:rsid w:val="00CF17AF"/>
    <w:rsid w:val="00D2123C"/>
    <w:rsid w:val="00D34C73"/>
    <w:rsid w:val="00D810C6"/>
    <w:rsid w:val="00D83816"/>
    <w:rsid w:val="00D936DC"/>
    <w:rsid w:val="00DA6EF4"/>
    <w:rsid w:val="00E02666"/>
    <w:rsid w:val="00E02984"/>
    <w:rsid w:val="00EA7708"/>
    <w:rsid w:val="00F13E86"/>
    <w:rsid w:val="00F23E24"/>
    <w:rsid w:val="00F6249C"/>
    <w:rsid w:val="00F81FB8"/>
    <w:rsid w:val="00F82519"/>
    <w:rsid w:val="00F872BA"/>
    <w:rsid w:val="00F90146"/>
    <w:rsid w:val="00FB3CEE"/>
    <w:rsid w:val="00FE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D40F"/>
  <w15:chartTrackingRefBased/>
  <w15:docId w15:val="{D5BFFD84-235D-4D51-A155-70037EC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C4D"/>
    <w:pPr>
      <w:spacing w:after="0" w:line="424" w:lineRule="exact"/>
    </w:pPr>
    <w:rPr>
      <w:rFonts w:ascii="Times New Roman" w:eastAsia="Times New Roman" w:hAnsi="Times New Roman" w:cs="Times New Roman"/>
      <w:kern w:val="0"/>
      <w:sz w:val="16"/>
      <w:szCs w:val="22"/>
      <w14:ligatures w14:val="none"/>
    </w:rPr>
  </w:style>
  <w:style w:type="paragraph" w:styleId="Heading1">
    <w:name w:val="heading 1"/>
    <w:basedOn w:val="Normal"/>
    <w:next w:val="Normal"/>
    <w:link w:val="Heading1Char"/>
    <w:uiPriority w:val="9"/>
    <w:qFormat/>
    <w:rsid w:val="00BE6C4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6C4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6C4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6C4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6C4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6C4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6C4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6C4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6C4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C4D"/>
    <w:rPr>
      <w:rFonts w:eastAsiaTheme="majorEastAsia" w:cstheme="majorBidi"/>
      <w:color w:val="272727" w:themeColor="text1" w:themeTint="D8"/>
    </w:rPr>
  </w:style>
  <w:style w:type="paragraph" w:styleId="Title">
    <w:name w:val="Title"/>
    <w:basedOn w:val="Normal"/>
    <w:next w:val="Normal"/>
    <w:link w:val="TitleChar"/>
    <w:uiPriority w:val="10"/>
    <w:qFormat/>
    <w:rsid w:val="00BE6C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6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C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6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C4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6C4D"/>
    <w:rPr>
      <w:i/>
      <w:iCs/>
      <w:color w:val="404040" w:themeColor="text1" w:themeTint="BF"/>
    </w:rPr>
  </w:style>
  <w:style w:type="paragraph" w:styleId="ListParagraph">
    <w:name w:val="List Paragraph"/>
    <w:basedOn w:val="Normal"/>
    <w:uiPriority w:val="34"/>
    <w:qFormat/>
    <w:rsid w:val="00BE6C4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E6C4D"/>
    <w:rPr>
      <w:i/>
      <w:iCs/>
      <w:color w:val="2F5496" w:themeColor="accent1" w:themeShade="BF"/>
    </w:rPr>
  </w:style>
  <w:style w:type="paragraph" w:styleId="IntenseQuote">
    <w:name w:val="Intense Quote"/>
    <w:basedOn w:val="Normal"/>
    <w:next w:val="Normal"/>
    <w:link w:val="IntenseQuoteChar"/>
    <w:uiPriority w:val="30"/>
    <w:qFormat/>
    <w:rsid w:val="00BE6C4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6C4D"/>
    <w:rPr>
      <w:i/>
      <w:iCs/>
      <w:color w:val="2F5496" w:themeColor="accent1" w:themeShade="BF"/>
    </w:rPr>
  </w:style>
  <w:style w:type="character" w:styleId="IntenseReference">
    <w:name w:val="Intense Reference"/>
    <w:basedOn w:val="DefaultParagraphFont"/>
    <w:uiPriority w:val="32"/>
    <w:qFormat/>
    <w:rsid w:val="00BE6C4D"/>
    <w:rPr>
      <w:b/>
      <w:bCs/>
      <w:smallCaps/>
      <w:color w:val="2F5496" w:themeColor="accent1" w:themeShade="BF"/>
      <w:spacing w:val="5"/>
    </w:rPr>
  </w:style>
  <w:style w:type="paragraph" w:styleId="Footer">
    <w:name w:val="footer"/>
    <w:basedOn w:val="Normal"/>
    <w:link w:val="FooterChar"/>
    <w:rsid w:val="00BE6C4D"/>
    <w:pPr>
      <w:tabs>
        <w:tab w:val="center" w:pos="4320"/>
        <w:tab w:val="right" w:pos="8640"/>
      </w:tabs>
    </w:pPr>
  </w:style>
  <w:style w:type="character" w:customStyle="1" w:styleId="FooterChar">
    <w:name w:val="Footer Char"/>
    <w:basedOn w:val="DefaultParagraphFont"/>
    <w:link w:val="Footer"/>
    <w:rsid w:val="00BE6C4D"/>
    <w:rPr>
      <w:rFonts w:ascii="Times New Roman" w:eastAsia="Times New Roman" w:hAnsi="Times New Roman" w:cs="Times New Roman"/>
      <w:kern w:val="0"/>
      <w:sz w:val="16"/>
      <w:szCs w:val="22"/>
      <w14:ligatures w14:val="none"/>
    </w:rPr>
  </w:style>
  <w:style w:type="character" w:styleId="CommentReference">
    <w:name w:val="annotation reference"/>
    <w:basedOn w:val="DefaultParagraphFont"/>
    <w:uiPriority w:val="99"/>
    <w:semiHidden/>
    <w:unhideWhenUsed/>
    <w:rsid w:val="00E02984"/>
    <w:rPr>
      <w:sz w:val="16"/>
      <w:szCs w:val="16"/>
    </w:rPr>
  </w:style>
  <w:style w:type="paragraph" w:styleId="CommentText">
    <w:name w:val="annotation text"/>
    <w:basedOn w:val="Normal"/>
    <w:link w:val="CommentTextChar"/>
    <w:uiPriority w:val="99"/>
    <w:semiHidden/>
    <w:unhideWhenUsed/>
    <w:rsid w:val="00E02984"/>
    <w:pPr>
      <w:spacing w:line="240" w:lineRule="auto"/>
    </w:pPr>
    <w:rPr>
      <w:sz w:val="20"/>
      <w:szCs w:val="20"/>
    </w:rPr>
  </w:style>
  <w:style w:type="character" w:customStyle="1" w:styleId="CommentTextChar">
    <w:name w:val="Comment Text Char"/>
    <w:basedOn w:val="DefaultParagraphFont"/>
    <w:link w:val="CommentText"/>
    <w:uiPriority w:val="99"/>
    <w:semiHidden/>
    <w:rsid w:val="00E0298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2984"/>
    <w:rPr>
      <w:b/>
      <w:bCs/>
    </w:rPr>
  </w:style>
  <w:style w:type="character" w:customStyle="1" w:styleId="CommentSubjectChar">
    <w:name w:val="Comment Subject Char"/>
    <w:basedOn w:val="CommentTextChar"/>
    <w:link w:val="CommentSubject"/>
    <w:uiPriority w:val="99"/>
    <w:semiHidden/>
    <w:rsid w:val="00E02984"/>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62DE7"/>
    <w:pPr>
      <w:spacing w:after="0" w:line="240" w:lineRule="auto"/>
    </w:pPr>
    <w:rPr>
      <w:rFonts w:ascii="Times New Roman" w:eastAsia="Times New Roman" w:hAnsi="Times New Roman" w:cs="Times New Roman"/>
      <w:kern w:val="0"/>
      <w:sz w:val="1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1045</Words>
  <Characters>5158</Characters>
  <Application>Microsoft Office Word</Application>
  <DocSecurity>0</DocSecurity>
  <Lines>109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Braccio</dc:creator>
  <cp:keywords/>
  <dc:description/>
  <cp:lastModifiedBy>Susan Morgan</cp:lastModifiedBy>
  <cp:revision>6</cp:revision>
  <cp:lastPrinted>2026-04-30T16:59:00Z</cp:lastPrinted>
  <dcterms:created xsi:type="dcterms:W3CDTF">2026-04-10T17:18:00Z</dcterms:created>
  <dcterms:modified xsi:type="dcterms:W3CDTF">2026-04-30T17:00:00Z</dcterms:modified>
</cp:coreProperties>
</file>