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121E9" w14:textId="77777777" w:rsidR="00BE6C4D" w:rsidRDefault="00BE6C4D" w:rsidP="00BE6C4D">
      <w:pPr>
        <w:spacing w:line="240" w:lineRule="auto"/>
        <w:rPr>
          <w:b/>
          <w:sz w:val="28"/>
          <w:szCs w:val="28"/>
        </w:rPr>
      </w:pPr>
      <w:r>
        <w:rPr>
          <w:b/>
          <w:sz w:val="28"/>
          <w:szCs w:val="28"/>
        </w:rPr>
        <w:t>Elizabeth Burton Ortiz</w:t>
      </w:r>
    </w:p>
    <w:p w14:paraId="400EBD37" w14:textId="77777777" w:rsidR="00BE6C4D" w:rsidRDefault="00BE6C4D" w:rsidP="00BE6C4D">
      <w:pPr>
        <w:spacing w:line="240" w:lineRule="auto"/>
        <w:rPr>
          <w:bCs/>
          <w:sz w:val="28"/>
          <w:szCs w:val="28"/>
        </w:rPr>
      </w:pPr>
      <w:r>
        <w:rPr>
          <w:bCs/>
          <w:sz w:val="28"/>
          <w:szCs w:val="28"/>
        </w:rPr>
        <w:t>State Bar No. 012838</w:t>
      </w:r>
    </w:p>
    <w:p w14:paraId="107DAB18" w14:textId="77777777" w:rsidR="00BE6C4D" w:rsidRDefault="00BE6C4D" w:rsidP="00BE6C4D">
      <w:pPr>
        <w:spacing w:line="240" w:lineRule="auto"/>
        <w:rPr>
          <w:bCs/>
          <w:sz w:val="28"/>
          <w:szCs w:val="28"/>
        </w:rPr>
      </w:pPr>
      <w:r>
        <w:rPr>
          <w:bCs/>
          <w:sz w:val="28"/>
          <w:szCs w:val="28"/>
        </w:rPr>
        <w:t>ARIZONA PROSECUTING ATTORNEYS’</w:t>
      </w:r>
    </w:p>
    <w:p w14:paraId="40196F77" w14:textId="77777777" w:rsidR="00BE6C4D" w:rsidRDefault="00BE6C4D" w:rsidP="00BE6C4D">
      <w:pPr>
        <w:spacing w:line="240" w:lineRule="auto"/>
        <w:rPr>
          <w:bCs/>
          <w:sz w:val="28"/>
          <w:szCs w:val="28"/>
        </w:rPr>
      </w:pPr>
      <w:r>
        <w:rPr>
          <w:bCs/>
          <w:sz w:val="28"/>
          <w:szCs w:val="28"/>
        </w:rPr>
        <w:t>ADVISORY COUNCIL</w:t>
      </w:r>
    </w:p>
    <w:p w14:paraId="2AD60777" w14:textId="77777777" w:rsidR="00BE6C4D" w:rsidRDefault="00BE6C4D" w:rsidP="00BE6C4D">
      <w:pPr>
        <w:spacing w:line="240" w:lineRule="auto"/>
        <w:rPr>
          <w:bCs/>
          <w:sz w:val="28"/>
          <w:szCs w:val="28"/>
        </w:rPr>
      </w:pPr>
      <w:r>
        <w:rPr>
          <w:bCs/>
          <w:sz w:val="28"/>
          <w:szCs w:val="28"/>
        </w:rPr>
        <w:t>3838 N. Central Avenue, Suite 850</w:t>
      </w:r>
    </w:p>
    <w:p w14:paraId="6FE934E6" w14:textId="77777777" w:rsidR="00BE6C4D" w:rsidRDefault="00BE6C4D" w:rsidP="00BE6C4D">
      <w:pPr>
        <w:spacing w:line="240" w:lineRule="auto"/>
        <w:rPr>
          <w:bCs/>
          <w:sz w:val="28"/>
          <w:szCs w:val="28"/>
        </w:rPr>
      </w:pPr>
      <w:r>
        <w:rPr>
          <w:bCs/>
          <w:sz w:val="28"/>
          <w:szCs w:val="28"/>
        </w:rPr>
        <w:t>Phoenix, Arizona 85012</w:t>
      </w:r>
    </w:p>
    <w:p w14:paraId="609F3F22" w14:textId="77777777" w:rsidR="00BE6C4D" w:rsidRDefault="00BE6C4D" w:rsidP="00BE6C4D">
      <w:pPr>
        <w:spacing w:line="240" w:lineRule="auto"/>
        <w:rPr>
          <w:bCs/>
          <w:sz w:val="28"/>
          <w:szCs w:val="28"/>
        </w:rPr>
      </w:pPr>
      <w:r>
        <w:rPr>
          <w:bCs/>
          <w:sz w:val="28"/>
          <w:szCs w:val="28"/>
        </w:rPr>
        <w:t>Tel. (602) 542-7222</w:t>
      </w:r>
    </w:p>
    <w:p w14:paraId="5845E4A0" w14:textId="77777777" w:rsidR="00BE6C4D" w:rsidRPr="0011149A" w:rsidRDefault="00BE6C4D" w:rsidP="00BE6C4D">
      <w:pPr>
        <w:spacing w:line="240" w:lineRule="auto"/>
        <w:rPr>
          <w:bCs/>
          <w:sz w:val="28"/>
          <w:szCs w:val="28"/>
        </w:rPr>
      </w:pPr>
      <w:r>
        <w:rPr>
          <w:bCs/>
          <w:sz w:val="28"/>
          <w:szCs w:val="28"/>
        </w:rPr>
        <w:t>Fax. (602) 274-4215</w:t>
      </w:r>
    </w:p>
    <w:p w14:paraId="0C60AFD6" w14:textId="77777777" w:rsidR="00BE6C4D" w:rsidRPr="005A5BAF" w:rsidRDefault="00BE6C4D" w:rsidP="00BE6C4D">
      <w:pPr>
        <w:spacing w:line="240" w:lineRule="auto"/>
        <w:rPr>
          <w:sz w:val="28"/>
          <w:szCs w:val="28"/>
        </w:rPr>
      </w:pPr>
    </w:p>
    <w:p w14:paraId="744652D2" w14:textId="77777777" w:rsidR="00BE6C4D" w:rsidRPr="00C058A6" w:rsidRDefault="00BE6C4D" w:rsidP="00BE6C4D">
      <w:pPr>
        <w:spacing w:line="240" w:lineRule="auto"/>
        <w:jc w:val="center"/>
        <w:rPr>
          <w:b/>
          <w:bCs/>
          <w:sz w:val="28"/>
          <w:szCs w:val="28"/>
        </w:rPr>
      </w:pPr>
      <w:r w:rsidRPr="00C058A6">
        <w:rPr>
          <w:b/>
          <w:bCs/>
          <w:sz w:val="28"/>
          <w:szCs w:val="28"/>
        </w:rPr>
        <w:t>IN THE SUPR</w:t>
      </w:r>
      <w:r>
        <w:rPr>
          <w:b/>
          <w:bCs/>
          <w:sz w:val="28"/>
          <w:szCs w:val="28"/>
        </w:rPr>
        <w:t>EME</w:t>
      </w:r>
      <w:r w:rsidRPr="00C058A6">
        <w:rPr>
          <w:b/>
          <w:bCs/>
          <w:sz w:val="28"/>
          <w:szCs w:val="28"/>
        </w:rPr>
        <w:t xml:space="preserve"> COURT OF THE STATE OF ARIZONA</w:t>
      </w:r>
    </w:p>
    <w:p w14:paraId="48E43754" w14:textId="77777777" w:rsidR="00BE6C4D" w:rsidRPr="00C058A6" w:rsidRDefault="00BE6C4D" w:rsidP="00BE6C4D">
      <w:pPr>
        <w:spacing w:line="240" w:lineRule="auto"/>
        <w:rPr>
          <w:b/>
          <w:bCs/>
          <w:sz w:val="28"/>
          <w:szCs w:val="28"/>
        </w:rPr>
      </w:pPr>
    </w:p>
    <w:p w14:paraId="762B60DD" w14:textId="77777777" w:rsidR="00BE6C4D" w:rsidRPr="005A5BAF" w:rsidRDefault="00BE6C4D" w:rsidP="00BE6C4D">
      <w:pPr>
        <w:spacing w:line="240" w:lineRule="auto"/>
        <w:jc w:val="center"/>
        <w:rPr>
          <w:sz w:val="28"/>
          <w:szCs w:val="28"/>
        </w:rPr>
      </w:pPr>
    </w:p>
    <w:tbl>
      <w:tblPr>
        <w:tblW w:w="9450" w:type="dxa"/>
        <w:tblLayout w:type="fixed"/>
        <w:tblCellMar>
          <w:left w:w="0" w:type="dxa"/>
          <w:right w:w="0" w:type="dxa"/>
        </w:tblCellMar>
        <w:tblLook w:val="0000" w:firstRow="0" w:lastRow="0" w:firstColumn="0" w:lastColumn="0" w:noHBand="0" w:noVBand="0"/>
      </w:tblPr>
      <w:tblGrid>
        <w:gridCol w:w="4968"/>
        <w:gridCol w:w="4482"/>
      </w:tblGrid>
      <w:tr w:rsidR="00BE6C4D" w:rsidRPr="00366DB2" w14:paraId="63C4249B" w14:textId="77777777" w:rsidTr="00F80D26">
        <w:trPr>
          <w:trHeight w:val="1425"/>
        </w:trPr>
        <w:tc>
          <w:tcPr>
            <w:tcW w:w="4968" w:type="dxa"/>
            <w:tcBorders>
              <w:right w:val="single" w:sz="4" w:space="0" w:color="auto"/>
            </w:tcBorders>
          </w:tcPr>
          <w:p w14:paraId="792FE5D5" w14:textId="77777777" w:rsidR="00BE6C4D" w:rsidRDefault="00BE6C4D" w:rsidP="002513BE">
            <w:pPr>
              <w:spacing w:line="240" w:lineRule="auto"/>
              <w:rPr>
                <w:sz w:val="28"/>
                <w:szCs w:val="28"/>
              </w:rPr>
            </w:pPr>
            <w:bookmarkStart w:id="0" w:name="Parties"/>
            <w:bookmarkEnd w:id="0"/>
            <w:r>
              <w:rPr>
                <w:sz w:val="28"/>
                <w:szCs w:val="28"/>
              </w:rPr>
              <w:t xml:space="preserve">In the Matter of </w:t>
            </w:r>
          </w:p>
          <w:p w14:paraId="3D911DC8" w14:textId="77777777" w:rsidR="00BE6C4D" w:rsidRDefault="00BE6C4D" w:rsidP="002513BE">
            <w:pPr>
              <w:spacing w:line="240" w:lineRule="auto"/>
              <w:rPr>
                <w:sz w:val="28"/>
                <w:szCs w:val="28"/>
              </w:rPr>
            </w:pPr>
          </w:p>
          <w:p w14:paraId="03304FCF" w14:textId="373162FB" w:rsidR="00BE6C4D" w:rsidRPr="00F80D26" w:rsidRDefault="00BE6C4D" w:rsidP="00F80D26">
            <w:pPr>
              <w:spacing w:line="240" w:lineRule="auto"/>
              <w:ind w:right="279"/>
              <w:rPr>
                <w:b/>
                <w:bCs/>
                <w:sz w:val="28"/>
                <w:szCs w:val="28"/>
              </w:rPr>
            </w:pPr>
            <w:r w:rsidRPr="00F80D26">
              <w:rPr>
                <w:b/>
                <w:bCs/>
                <w:sz w:val="28"/>
                <w:szCs w:val="28"/>
              </w:rPr>
              <w:t xml:space="preserve">PETITION TO AMEND RULE </w:t>
            </w:r>
            <w:r w:rsidR="00AE417A" w:rsidRPr="00F80D26">
              <w:rPr>
                <w:b/>
                <w:bCs/>
                <w:sz w:val="28"/>
                <w:szCs w:val="28"/>
              </w:rPr>
              <w:t>34(e)</w:t>
            </w:r>
            <w:r w:rsidRPr="00F80D26">
              <w:rPr>
                <w:b/>
                <w:bCs/>
                <w:sz w:val="28"/>
                <w:szCs w:val="28"/>
              </w:rPr>
              <w:t xml:space="preserve"> </w:t>
            </w:r>
            <w:r w:rsidR="00AE417A" w:rsidRPr="00F80D26">
              <w:rPr>
                <w:b/>
                <w:bCs/>
                <w:sz w:val="28"/>
                <w:szCs w:val="28"/>
              </w:rPr>
              <w:t xml:space="preserve">OF </w:t>
            </w:r>
            <w:r w:rsidRPr="00F80D26">
              <w:rPr>
                <w:b/>
                <w:bCs/>
                <w:sz w:val="28"/>
                <w:szCs w:val="28"/>
              </w:rPr>
              <w:t>THE SUPREME COURT OF ARIZONA</w:t>
            </w:r>
          </w:p>
        </w:tc>
        <w:tc>
          <w:tcPr>
            <w:tcW w:w="4482" w:type="dxa"/>
            <w:tcBorders>
              <w:left w:val="single" w:sz="4" w:space="0" w:color="auto"/>
            </w:tcBorders>
          </w:tcPr>
          <w:p w14:paraId="6F727CFB" w14:textId="0D360E36" w:rsidR="00BE6C4D" w:rsidRDefault="00BE6C4D" w:rsidP="002513BE">
            <w:pPr>
              <w:spacing w:line="240" w:lineRule="auto"/>
              <w:ind w:left="180"/>
              <w:rPr>
                <w:sz w:val="28"/>
                <w:szCs w:val="28"/>
              </w:rPr>
            </w:pPr>
            <w:bookmarkStart w:id="1" w:name="CaseNumber"/>
            <w:bookmarkEnd w:id="1"/>
            <w:r>
              <w:rPr>
                <w:sz w:val="28"/>
                <w:szCs w:val="28"/>
              </w:rPr>
              <w:t>In Re: R-2</w:t>
            </w:r>
            <w:r w:rsidR="00A910A6">
              <w:rPr>
                <w:sz w:val="28"/>
                <w:szCs w:val="28"/>
              </w:rPr>
              <w:t>6-000</w:t>
            </w:r>
            <w:r w:rsidR="00AE417A">
              <w:rPr>
                <w:sz w:val="28"/>
                <w:szCs w:val="28"/>
              </w:rPr>
              <w:t>6</w:t>
            </w:r>
          </w:p>
          <w:p w14:paraId="16319FA7" w14:textId="77777777" w:rsidR="00BE6C4D" w:rsidRPr="005A5BAF" w:rsidRDefault="00BE6C4D" w:rsidP="002513BE">
            <w:pPr>
              <w:spacing w:line="240" w:lineRule="auto"/>
              <w:ind w:left="180"/>
              <w:rPr>
                <w:sz w:val="28"/>
                <w:szCs w:val="28"/>
              </w:rPr>
            </w:pPr>
          </w:p>
          <w:p w14:paraId="08C67475" w14:textId="1555FCF4" w:rsidR="00BE6C4D" w:rsidRDefault="00BE6C4D" w:rsidP="00F80D26">
            <w:pPr>
              <w:spacing w:line="240" w:lineRule="auto"/>
              <w:ind w:left="180"/>
              <w:rPr>
                <w:b/>
                <w:sz w:val="28"/>
                <w:szCs w:val="28"/>
              </w:rPr>
            </w:pPr>
            <w:r>
              <w:rPr>
                <w:b/>
                <w:sz w:val="28"/>
                <w:szCs w:val="28"/>
              </w:rPr>
              <w:t xml:space="preserve">ARIZONA PROSECUTING ATTORNEYS’ ADVISORY COUNCIL COMMENT IN </w:t>
            </w:r>
            <w:r w:rsidR="00AE417A">
              <w:rPr>
                <w:b/>
                <w:sz w:val="28"/>
                <w:szCs w:val="28"/>
              </w:rPr>
              <w:t>OPPOSITION</w:t>
            </w:r>
          </w:p>
          <w:p w14:paraId="406E551E" w14:textId="77777777" w:rsidR="00BE6C4D" w:rsidRPr="005A5BAF" w:rsidRDefault="00BE6C4D" w:rsidP="002513BE">
            <w:pPr>
              <w:spacing w:line="240" w:lineRule="auto"/>
              <w:ind w:left="180"/>
              <w:jc w:val="both"/>
              <w:rPr>
                <w:sz w:val="28"/>
                <w:szCs w:val="28"/>
              </w:rPr>
            </w:pPr>
          </w:p>
        </w:tc>
      </w:tr>
      <w:tr w:rsidR="00BE6C4D" w:rsidRPr="00366DB2" w14:paraId="6287E059" w14:textId="77777777" w:rsidTr="00F80D26">
        <w:trPr>
          <w:trHeight w:val="645"/>
        </w:trPr>
        <w:tc>
          <w:tcPr>
            <w:tcW w:w="4968" w:type="dxa"/>
            <w:tcBorders>
              <w:bottom w:val="single" w:sz="4" w:space="0" w:color="auto"/>
              <w:right w:val="single" w:sz="4" w:space="0" w:color="auto"/>
            </w:tcBorders>
          </w:tcPr>
          <w:p w14:paraId="76BD3DCD" w14:textId="77777777" w:rsidR="00BE6C4D" w:rsidRPr="005A5BAF" w:rsidRDefault="00BE6C4D" w:rsidP="002513BE">
            <w:pPr>
              <w:spacing w:line="240" w:lineRule="auto"/>
              <w:rPr>
                <w:sz w:val="28"/>
                <w:szCs w:val="28"/>
              </w:rPr>
            </w:pPr>
          </w:p>
          <w:p w14:paraId="54F8C61A" w14:textId="77777777" w:rsidR="00BE6C4D" w:rsidRPr="005A5BAF" w:rsidRDefault="00BE6C4D" w:rsidP="002513BE">
            <w:pPr>
              <w:spacing w:line="240" w:lineRule="auto"/>
              <w:rPr>
                <w:sz w:val="28"/>
                <w:szCs w:val="28"/>
              </w:rPr>
            </w:pPr>
          </w:p>
          <w:p w14:paraId="66D4AB2F" w14:textId="77777777" w:rsidR="00BE6C4D" w:rsidRPr="005A5BAF" w:rsidRDefault="00BE6C4D" w:rsidP="002513BE">
            <w:pPr>
              <w:spacing w:line="240" w:lineRule="auto"/>
              <w:rPr>
                <w:sz w:val="28"/>
                <w:szCs w:val="28"/>
              </w:rPr>
            </w:pPr>
          </w:p>
        </w:tc>
        <w:tc>
          <w:tcPr>
            <w:tcW w:w="4482" w:type="dxa"/>
            <w:tcBorders>
              <w:left w:val="single" w:sz="4" w:space="0" w:color="auto"/>
              <w:bottom w:val="single" w:sz="4" w:space="0" w:color="auto"/>
            </w:tcBorders>
          </w:tcPr>
          <w:p w14:paraId="07B81ED1" w14:textId="77777777" w:rsidR="00BE6C4D" w:rsidRPr="005A5BAF" w:rsidRDefault="00BE6C4D" w:rsidP="002513BE">
            <w:pPr>
              <w:spacing w:line="240" w:lineRule="auto"/>
              <w:ind w:left="180"/>
              <w:rPr>
                <w:sz w:val="28"/>
                <w:szCs w:val="28"/>
              </w:rPr>
            </w:pPr>
          </w:p>
          <w:p w14:paraId="3D82EB41" w14:textId="77777777" w:rsidR="00BE6C4D" w:rsidRPr="005A5BAF" w:rsidRDefault="00BE6C4D" w:rsidP="002513BE">
            <w:pPr>
              <w:spacing w:line="240" w:lineRule="auto"/>
              <w:ind w:left="180"/>
              <w:rPr>
                <w:sz w:val="28"/>
                <w:szCs w:val="28"/>
              </w:rPr>
            </w:pPr>
          </w:p>
        </w:tc>
      </w:tr>
    </w:tbl>
    <w:p w14:paraId="6228FF8E" w14:textId="77777777" w:rsidR="00F80D26" w:rsidRDefault="00F80D26" w:rsidP="00F80D26">
      <w:pPr>
        <w:widowControl w:val="0"/>
        <w:spacing w:line="480" w:lineRule="auto"/>
        <w:ind w:firstLine="720"/>
        <w:jc w:val="both"/>
        <w:rPr>
          <w:sz w:val="26"/>
          <w:szCs w:val="26"/>
        </w:rPr>
      </w:pPr>
    </w:p>
    <w:p w14:paraId="63960BF4" w14:textId="472499B1" w:rsidR="00AE417A" w:rsidRPr="00EA721B" w:rsidRDefault="00BE6C4D" w:rsidP="00F80D26">
      <w:pPr>
        <w:widowControl w:val="0"/>
        <w:spacing w:line="480" w:lineRule="auto"/>
        <w:ind w:firstLine="720"/>
        <w:jc w:val="both"/>
        <w:rPr>
          <w:sz w:val="26"/>
          <w:szCs w:val="26"/>
        </w:rPr>
      </w:pPr>
      <w:r w:rsidRPr="00F80D26">
        <w:rPr>
          <w:sz w:val="26"/>
          <w:szCs w:val="26"/>
        </w:rPr>
        <w:t xml:space="preserve">The Arizona Prosecuting Attorneys’ Advisory Council (“APAAC”) respectfully submits the following comment </w:t>
      </w:r>
      <w:r w:rsidR="00C7768A" w:rsidRPr="00F80D26">
        <w:rPr>
          <w:sz w:val="26"/>
          <w:szCs w:val="26"/>
        </w:rPr>
        <w:t xml:space="preserve">opposing the Petition to Amend Supreme Court Rule 34(e).  The </w:t>
      </w:r>
      <w:r w:rsidR="00AE417A" w:rsidRPr="00EA721B">
        <w:rPr>
          <w:sz w:val="26"/>
          <w:szCs w:val="26"/>
        </w:rPr>
        <w:t xml:space="preserve">proposed amendment impedes upon the judiciary’s authority, jeopardizes the integrity of Arizona licensure, negatively impacts the administration of justice by putting the public at risk, and it undermines the current efforts to grow the number of public service lawyers in rural areas. </w:t>
      </w:r>
    </w:p>
    <w:p w14:paraId="0E557878" w14:textId="77777777" w:rsidR="00AE417A" w:rsidRPr="00EA721B" w:rsidRDefault="00AE417A" w:rsidP="00F80D26">
      <w:pPr>
        <w:spacing w:line="480" w:lineRule="auto"/>
        <w:ind w:firstLine="720"/>
        <w:jc w:val="both"/>
        <w:rPr>
          <w:sz w:val="26"/>
          <w:szCs w:val="26"/>
        </w:rPr>
      </w:pPr>
      <w:r w:rsidRPr="00EA721B">
        <w:rPr>
          <w:sz w:val="26"/>
          <w:szCs w:val="26"/>
        </w:rPr>
        <w:t xml:space="preserve">The proposed amendment would chip away at the judiciary’s authority by eliminating meaningful discernment regarding who should be authorized to practice law in our state. The Arizona Supreme Court has long recognized that under the Arizona </w:t>
      </w:r>
      <w:r w:rsidRPr="00EA721B">
        <w:rPr>
          <w:sz w:val="26"/>
          <w:szCs w:val="26"/>
        </w:rPr>
        <w:lastRenderedPageBreak/>
        <w:t xml:space="preserve">Constitution, the “practice of law is a matter exclusively within the authority of the Judiciary” and the “determination of who shall practice law in Arizona and under what condition is a function placed by the state constitution in this court.” </w:t>
      </w:r>
      <w:r w:rsidRPr="00F80D26">
        <w:rPr>
          <w:sz w:val="26"/>
          <w:szCs w:val="26"/>
        </w:rPr>
        <w:t>In re Creasy</w:t>
      </w:r>
      <w:r w:rsidRPr="00EA721B">
        <w:rPr>
          <w:sz w:val="26"/>
          <w:szCs w:val="26"/>
        </w:rPr>
        <w:t xml:space="preserve">, 198 Ariz. 539, 541 (2000) (quoting </w:t>
      </w:r>
      <w:r w:rsidRPr="00F80D26">
        <w:rPr>
          <w:sz w:val="26"/>
          <w:szCs w:val="26"/>
        </w:rPr>
        <w:t xml:space="preserve">Hunt v. Maricopa </w:t>
      </w:r>
      <w:proofErr w:type="spellStart"/>
      <w:r w:rsidRPr="00F80D26">
        <w:rPr>
          <w:sz w:val="26"/>
          <w:szCs w:val="26"/>
        </w:rPr>
        <w:t>Cnty</w:t>
      </w:r>
      <w:proofErr w:type="spellEnd"/>
      <w:r w:rsidRPr="00F80D26">
        <w:rPr>
          <w:sz w:val="26"/>
          <w:szCs w:val="26"/>
        </w:rPr>
        <w:t>. Emp. Merit Sys. Comm’n</w:t>
      </w:r>
      <w:r w:rsidRPr="00EA721B">
        <w:rPr>
          <w:sz w:val="26"/>
          <w:szCs w:val="26"/>
        </w:rPr>
        <w:t xml:space="preserve">, 127 Ariz. 259, 261–62 (1980)); </w:t>
      </w:r>
      <w:r w:rsidRPr="00F80D26">
        <w:rPr>
          <w:sz w:val="26"/>
          <w:szCs w:val="26"/>
        </w:rPr>
        <w:t>See In re Miller</w:t>
      </w:r>
      <w:r w:rsidRPr="00EA721B">
        <w:rPr>
          <w:sz w:val="26"/>
          <w:szCs w:val="26"/>
        </w:rPr>
        <w:t xml:space="preserve">, 29 Ariz. 582 (1926); </w:t>
      </w:r>
      <w:r w:rsidRPr="00F80D26">
        <w:rPr>
          <w:sz w:val="26"/>
          <w:szCs w:val="26"/>
        </w:rPr>
        <w:t>In re Bailey</w:t>
      </w:r>
      <w:r w:rsidRPr="00EA721B">
        <w:rPr>
          <w:sz w:val="26"/>
          <w:szCs w:val="26"/>
        </w:rPr>
        <w:t xml:space="preserve">, 30 Ariz. 407 (1926); </w:t>
      </w:r>
      <w:r w:rsidRPr="00F80D26">
        <w:rPr>
          <w:sz w:val="26"/>
          <w:szCs w:val="26"/>
        </w:rPr>
        <w:t>State Bar of Arizona v. Arizona Land Title &amp; Trust Co</w:t>
      </w:r>
      <w:r w:rsidRPr="00EA721B">
        <w:rPr>
          <w:sz w:val="26"/>
          <w:szCs w:val="26"/>
        </w:rPr>
        <w:t xml:space="preserve">., 90 Ariz. 76 (1961). By converting the evaluation from the Arizona Committee on Character and Fitness (“Committee”) into a formality, our own judiciary’s authority is diminished. It allows an individual to practice law </w:t>
      </w:r>
      <w:r w:rsidRPr="00F80D26">
        <w:rPr>
          <w:sz w:val="26"/>
          <w:szCs w:val="26"/>
        </w:rPr>
        <w:t>before</w:t>
      </w:r>
      <w:r w:rsidRPr="00EA721B">
        <w:rPr>
          <w:sz w:val="26"/>
          <w:szCs w:val="26"/>
        </w:rPr>
        <w:t xml:space="preserve"> the Committee even completes its evaluation if the attorney is in “good standing” in a different jurisdiction, without any association and supervision from a licensed Arizona attorney. This is significantly different from the </w:t>
      </w:r>
      <w:r w:rsidRPr="00F80D26">
        <w:rPr>
          <w:sz w:val="26"/>
          <w:szCs w:val="26"/>
        </w:rPr>
        <w:t>pro hac vice</w:t>
      </w:r>
      <w:r w:rsidRPr="00EA721B">
        <w:rPr>
          <w:sz w:val="26"/>
          <w:szCs w:val="26"/>
        </w:rPr>
        <w:t xml:space="preserve"> rule which specifically requires association and supervision from a licensed Arizona attorney. Rule 39(a), Ariz. S. Ct. R.  Given that the proposed amendment makes it easier for an attorney to get admitted fully, rather than </w:t>
      </w:r>
      <w:r w:rsidRPr="00F80D26">
        <w:rPr>
          <w:sz w:val="26"/>
          <w:szCs w:val="26"/>
        </w:rPr>
        <w:t>pro hac vice</w:t>
      </w:r>
      <w:r w:rsidRPr="00EA721B">
        <w:rPr>
          <w:sz w:val="26"/>
          <w:szCs w:val="26"/>
        </w:rPr>
        <w:t>, Rule 39(a) would be nullified.</w:t>
      </w:r>
    </w:p>
    <w:p w14:paraId="7FFB4B7D" w14:textId="77777777" w:rsidR="00AE417A" w:rsidRPr="00EA721B" w:rsidRDefault="00AE417A" w:rsidP="00F80D26">
      <w:pPr>
        <w:spacing w:line="480" w:lineRule="auto"/>
        <w:ind w:firstLine="720"/>
        <w:jc w:val="both"/>
        <w:rPr>
          <w:sz w:val="26"/>
          <w:szCs w:val="26"/>
        </w:rPr>
      </w:pPr>
      <w:r w:rsidRPr="00EA721B">
        <w:rPr>
          <w:sz w:val="26"/>
          <w:szCs w:val="26"/>
        </w:rPr>
        <w:t>The proposed amendment also undermines the current efforts to grow the number of public service lawyers in rural areas, negating its purported purpose of increasing Arizonan’s access to legal services. Just last year, the Arizona Supreme Court established the Government Law Admission Program (“GLAP”) in an effort to increase the number of lawyers in government service.</w:t>
      </w:r>
      <w:r w:rsidRPr="00F80D26">
        <w:footnoteReference w:id="1"/>
      </w:r>
      <w:r w:rsidRPr="00EA721B">
        <w:rPr>
          <w:sz w:val="26"/>
          <w:szCs w:val="26"/>
        </w:rPr>
        <w:t xml:space="preserve"> The Administrative Order specifically stated that </w:t>
      </w:r>
      <w:r w:rsidRPr="00EA721B">
        <w:rPr>
          <w:sz w:val="26"/>
          <w:szCs w:val="26"/>
        </w:rPr>
        <w:lastRenderedPageBreak/>
        <w:t>government lawyers are vital to the operation of government and critical to our criminal justice system.</w:t>
      </w:r>
      <w:r w:rsidRPr="00F80D26">
        <w:footnoteReference w:id="2"/>
      </w:r>
      <w:r w:rsidRPr="00EA721B">
        <w:rPr>
          <w:sz w:val="26"/>
          <w:szCs w:val="26"/>
        </w:rPr>
        <w:t xml:space="preserve"> Government lawyer positions are especially hard to fill, and even more so in rural communities.</w:t>
      </w:r>
      <w:r w:rsidRPr="00EA721B">
        <w:rPr>
          <w:rStyle w:val="FootnoteReference"/>
          <w:sz w:val="26"/>
          <w:szCs w:val="26"/>
        </w:rPr>
        <w:footnoteReference w:id="3"/>
      </w:r>
      <w:r w:rsidRPr="00EA721B">
        <w:rPr>
          <w:sz w:val="26"/>
          <w:szCs w:val="26"/>
        </w:rPr>
        <w:t xml:space="preserve"> The current framework allows out-of-state attorneys seeking to practice with government agencies to have their applications processed more efficiently. The Arizona Supreme Court also created the Arizona Lawyer Apprentice Program (“ALAP”) in 2024 to specifically help expand the number of lawyers in public service and/or in rural communities.</w:t>
      </w:r>
      <w:r w:rsidRPr="00EA721B">
        <w:rPr>
          <w:rStyle w:val="FootnoteReference"/>
          <w:sz w:val="26"/>
          <w:szCs w:val="26"/>
        </w:rPr>
        <w:footnoteReference w:id="4"/>
      </w:r>
      <w:r w:rsidRPr="00EA721B">
        <w:rPr>
          <w:sz w:val="26"/>
          <w:szCs w:val="26"/>
        </w:rPr>
        <w:t xml:space="preserve"> These programs incentivize attorneys to accept public service position, benefiting government agencies—especially those in rural areas—that face persistent challenges in recruiting and retaining qualified attorneys.</w:t>
      </w:r>
      <w:r w:rsidRPr="00EA721B">
        <w:rPr>
          <w:rStyle w:val="FootnoteReference"/>
          <w:sz w:val="26"/>
          <w:szCs w:val="26"/>
        </w:rPr>
        <w:footnoteReference w:id="5"/>
      </w:r>
      <w:r w:rsidRPr="00EA721B">
        <w:rPr>
          <w:sz w:val="26"/>
          <w:szCs w:val="26"/>
        </w:rPr>
        <w:t xml:space="preserve"> If this petition were approved, that incentive would be eliminated, potentially exacerbating staffing shortages within government agencies and undermining access to legal services in underserved communities. Furthermore, the proposed amendment itself provides no incentive for attorneys to specifically practice in rural areas, or practice in areas of public service, and these are the areas where more attorneys are needed.</w:t>
      </w:r>
      <w:r w:rsidRPr="00EA721B">
        <w:rPr>
          <w:rStyle w:val="FootnoteReference"/>
          <w:sz w:val="26"/>
          <w:szCs w:val="26"/>
        </w:rPr>
        <w:t xml:space="preserve"> </w:t>
      </w:r>
      <w:r w:rsidRPr="00EA721B">
        <w:rPr>
          <w:rStyle w:val="FootnoteReference"/>
          <w:sz w:val="26"/>
          <w:szCs w:val="26"/>
        </w:rPr>
        <w:footnoteReference w:id="6"/>
      </w:r>
      <w:r w:rsidRPr="00EA721B">
        <w:rPr>
          <w:sz w:val="26"/>
          <w:szCs w:val="26"/>
        </w:rPr>
        <w:t xml:space="preserve">  </w:t>
      </w:r>
    </w:p>
    <w:p w14:paraId="668BE794" w14:textId="77777777" w:rsidR="00AE417A" w:rsidRPr="00EA721B" w:rsidRDefault="00AE417A" w:rsidP="006D30D8">
      <w:pPr>
        <w:spacing w:line="480" w:lineRule="auto"/>
        <w:ind w:firstLine="720"/>
        <w:jc w:val="both"/>
        <w:rPr>
          <w:sz w:val="26"/>
          <w:szCs w:val="26"/>
        </w:rPr>
      </w:pPr>
      <w:r w:rsidRPr="00EA721B">
        <w:rPr>
          <w:sz w:val="26"/>
          <w:szCs w:val="26"/>
        </w:rPr>
        <w:lastRenderedPageBreak/>
        <w:t>Additionally, under the amendment, an attorney could outrun complaints in other jurisdiction if those complaints had not yet been formally turned into disciplinary proceedings. They would be allowed to start practicing pending the Committee evaluation, and they could retain dozens of clients during that time. If the Committee does end up making an adverse fitness determination, the harm to the clients, the courts, and opposing counsel would already be done. History has shown us that the unauthorized practice of law harms individuals directly, and diminishes the public trust in the legal system overall.</w:t>
      </w:r>
      <w:r w:rsidRPr="006D30D8">
        <w:footnoteReference w:id="7"/>
      </w:r>
      <w:r w:rsidRPr="00EA721B">
        <w:rPr>
          <w:sz w:val="26"/>
          <w:szCs w:val="26"/>
        </w:rPr>
        <w:t xml:space="preserve"> The public’s treatment within the court system affects their perception of the courts, and the public’s trust has already significantly diminished,</w:t>
      </w:r>
      <w:r w:rsidRPr="006D30D8">
        <w:footnoteReference w:id="8"/>
      </w:r>
      <w:r w:rsidRPr="00EA721B">
        <w:rPr>
          <w:sz w:val="26"/>
          <w:szCs w:val="26"/>
        </w:rPr>
        <w:t xml:space="preserve"> and ultimately, public trust and confidence are essential for our justice system to function effectively.</w:t>
      </w:r>
      <w:r w:rsidRPr="006D30D8">
        <w:footnoteReference w:id="9"/>
      </w:r>
      <w:r w:rsidRPr="00EA721B">
        <w:rPr>
          <w:sz w:val="26"/>
          <w:szCs w:val="26"/>
        </w:rPr>
        <w:t xml:space="preserve"> </w:t>
      </w:r>
    </w:p>
    <w:p w14:paraId="0AA5018D" w14:textId="7E3F4E68" w:rsidR="00BE6C4D" w:rsidRDefault="00C7768A" w:rsidP="006D30D8">
      <w:pPr>
        <w:spacing w:line="480" w:lineRule="auto"/>
        <w:ind w:firstLine="720"/>
        <w:jc w:val="both"/>
        <w:rPr>
          <w:sz w:val="26"/>
          <w:szCs w:val="26"/>
        </w:rPr>
      </w:pPr>
      <w:r>
        <w:rPr>
          <w:sz w:val="26"/>
          <w:szCs w:val="26"/>
        </w:rPr>
        <w:t xml:space="preserve">Accordingly, for the reasons stated herein, APAAC respectfully opposed the proposed amendment to Rule 35(e). </w:t>
      </w:r>
    </w:p>
    <w:p w14:paraId="42DCFEC5" w14:textId="77777777" w:rsidR="00C7768A" w:rsidRPr="006D30D8" w:rsidRDefault="00C7768A" w:rsidP="006D30D8">
      <w:pPr>
        <w:spacing w:line="480" w:lineRule="auto"/>
        <w:ind w:firstLine="720"/>
        <w:jc w:val="both"/>
        <w:rPr>
          <w:sz w:val="26"/>
          <w:szCs w:val="26"/>
        </w:rPr>
      </w:pPr>
    </w:p>
    <w:p w14:paraId="773934FE" w14:textId="1005C52E" w:rsidR="00BE6C4D" w:rsidRPr="004F4F8C" w:rsidRDefault="00BE6C4D" w:rsidP="00BE6C4D">
      <w:pPr>
        <w:spacing w:line="480" w:lineRule="auto"/>
        <w:ind w:firstLine="1440"/>
        <w:rPr>
          <w:sz w:val="28"/>
          <w:szCs w:val="28"/>
        </w:rPr>
      </w:pPr>
      <w:r w:rsidRPr="004F4F8C">
        <w:rPr>
          <w:sz w:val="28"/>
          <w:szCs w:val="28"/>
        </w:rPr>
        <w:lastRenderedPageBreak/>
        <w:t xml:space="preserve">Respectfully submitted this </w:t>
      </w:r>
      <w:r w:rsidR="008F551E" w:rsidRPr="008F551E">
        <w:rPr>
          <w:sz w:val="28"/>
          <w:szCs w:val="28"/>
        </w:rPr>
        <w:t>30th</w:t>
      </w:r>
      <w:r w:rsidRPr="004F4F8C">
        <w:rPr>
          <w:sz w:val="28"/>
          <w:szCs w:val="28"/>
        </w:rPr>
        <w:t xml:space="preserve"> day of</w:t>
      </w:r>
      <w:r w:rsidR="008F551E">
        <w:rPr>
          <w:sz w:val="28"/>
          <w:szCs w:val="28"/>
        </w:rPr>
        <w:t xml:space="preserve"> April</w:t>
      </w:r>
      <w:r w:rsidRPr="004F4F8C">
        <w:rPr>
          <w:sz w:val="28"/>
          <w:szCs w:val="28"/>
        </w:rPr>
        <w:t>, 202</w:t>
      </w:r>
      <w:r w:rsidR="00A910A6">
        <w:rPr>
          <w:sz w:val="28"/>
          <w:szCs w:val="28"/>
        </w:rPr>
        <w:t>6</w:t>
      </w:r>
      <w:r w:rsidRPr="004F4F8C">
        <w:rPr>
          <w:sz w:val="28"/>
          <w:szCs w:val="28"/>
        </w:rPr>
        <w:t>.</w:t>
      </w:r>
    </w:p>
    <w:p w14:paraId="68B2EC02" w14:textId="77777777" w:rsidR="00BE6C4D" w:rsidRPr="004F4F8C" w:rsidRDefault="00BE6C4D" w:rsidP="00BE6C4D">
      <w:pPr>
        <w:spacing w:line="240" w:lineRule="auto"/>
        <w:ind w:left="4320"/>
        <w:rPr>
          <w:sz w:val="28"/>
          <w:szCs w:val="28"/>
        </w:rPr>
      </w:pPr>
    </w:p>
    <w:p w14:paraId="3314ECC2" w14:textId="57D10C9D" w:rsidR="00BE6C4D" w:rsidRPr="00331A9C" w:rsidRDefault="00BE6C4D" w:rsidP="00BE6C4D">
      <w:pPr>
        <w:spacing w:line="240" w:lineRule="auto"/>
        <w:ind w:left="4320"/>
        <w:rPr>
          <w:sz w:val="28"/>
          <w:szCs w:val="28"/>
          <w:u w:val="single"/>
        </w:rPr>
      </w:pPr>
      <w:r>
        <w:rPr>
          <w:sz w:val="28"/>
          <w:szCs w:val="28"/>
          <w:u w:val="single"/>
        </w:rPr>
        <w:t xml:space="preserve">  /s/</w:t>
      </w:r>
      <w:r>
        <w:rPr>
          <w:sz w:val="28"/>
          <w:szCs w:val="28"/>
          <w:u w:val="single"/>
        </w:rPr>
        <w:tab/>
      </w:r>
      <w:r w:rsidR="008F551E" w:rsidRPr="008F551E">
        <w:rPr>
          <w:rFonts w:ascii="Lucida Handwriting" w:hAnsi="Lucida Handwriting"/>
          <w:sz w:val="28"/>
          <w:szCs w:val="28"/>
          <w:u w:val="single"/>
        </w:rPr>
        <w:t>Elizabeth Burton Ortiz</w:t>
      </w:r>
    </w:p>
    <w:p w14:paraId="44CB94C2" w14:textId="77777777" w:rsidR="00BE6C4D" w:rsidRPr="00800CF2" w:rsidRDefault="00BE6C4D" w:rsidP="00BE6C4D">
      <w:pPr>
        <w:spacing w:line="240" w:lineRule="auto"/>
        <w:ind w:left="4320"/>
        <w:rPr>
          <w:sz w:val="28"/>
          <w:szCs w:val="28"/>
        </w:rPr>
      </w:pPr>
      <w:r>
        <w:rPr>
          <w:sz w:val="28"/>
          <w:szCs w:val="28"/>
        </w:rPr>
        <w:t>Elizabeth Burton Ortiz</w:t>
      </w:r>
    </w:p>
    <w:p w14:paraId="5116BEDA" w14:textId="77777777" w:rsidR="00BE6C4D" w:rsidRDefault="00BE6C4D" w:rsidP="00BE6C4D"/>
    <w:p w14:paraId="731BA59F" w14:textId="77777777" w:rsidR="007D4915" w:rsidRDefault="007D4915"/>
    <w:sectPr w:rsidR="007D4915" w:rsidSect="00BE6C4D">
      <w:headerReference w:type="default" r:id="rId6"/>
      <w:footerReference w:type="default" r:id="rId7"/>
      <w:headerReference w:type="first" r:id="rId8"/>
      <w:pgSz w:w="12240" w:h="15840"/>
      <w:pgMar w:top="1440" w:right="1440" w:bottom="1368" w:left="1440" w:header="432" w:footer="432" w:gutter="0"/>
      <w:pgNumType w:fmt="numberInDash"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87839" w14:textId="77777777" w:rsidR="00543A6C" w:rsidRDefault="00543A6C">
      <w:pPr>
        <w:spacing w:line="240" w:lineRule="auto"/>
      </w:pPr>
      <w:r>
        <w:separator/>
      </w:r>
    </w:p>
  </w:endnote>
  <w:endnote w:type="continuationSeparator" w:id="0">
    <w:p w14:paraId="6FEC0480" w14:textId="77777777" w:rsidR="00543A6C" w:rsidRDefault="00543A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92A46" w14:textId="77777777" w:rsidR="00CB69E0" w:rsidRDefault="00000000">
    <w:pPr>
      <w:pStyle w:val="Foot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w:t>
    </w:r>
    <w:r>
      <w:rPr>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2D792" w14:textId="77777777" w:rsidR="00543A6C" w:rsidRDefault="00543A6C">
      <w:pPr>
        <w:spacing w:line="240" w:lineRule="auto"/>
      </w:pPr>
      <w:r>
        <w:separator/>
      </w:r>
    </w:p>
  </w:footnote>
  <w:footnote w:type="continuationSeparator" w:id="0">
    <w:p w14:paraId="1F590EA0" w14:textId="77777777" w:rsidR="00543A6C" w:rsidRDefault="00543A6C">
      <w:pPr>
        <w:spacing w:line="240" w:lineRule="auto"/>
      </w:pPr>
      <w:r>
        <w:continuationSeparator/>
      </w:r>
    </w:p>
  </w:footnote>
  <w:footnote w:id="1">
    <w:p w14:paraId="7447B459" w14:textId="77777777" w:rsidR="00AE417A" w:rsidRPr="00C50084" w:rsidRDefault="00AE417A" w:rsidP="00AE417A">
      <w:pPr>
        <w:pStyle w:val="FootnoteText"/>
        <w:jc w:val="both"/>
        <w:rPr>
          <w:sz w:val="26"/>
          <w:szCs w:val="26"/>
        </w:rPr>
      </w:pPr>
      <w:r w:rsidRPr="00C50084">
        <w:rPr>
          <w:rStyle w:val="FootnoteReference"/>
          <w:sz w:val="26"/>
          <w:szCs w:val="26"/>
        </w:rPr>
        <w:footnoteRef/>
      </w:r>
      <w:r w:rsidRPr="00C50084">
        <w:rPr>
          <w:sz w:val="26"/>
          <w:szCs w:val="26"/>
        </w:rPr>
        <w:t xml:space="preserve"> Administrative Order No. 2025-25, Ariz. </w:t>
      </w:r>
      <w:r>
        <w:rPr>
          <w:sz w:val="26"/>
          <w:szCs w:val="26"/>
        </w:rPr>
        <w:t>Sup.</w:t>
      </w:r>
      <w:r w:rsidRPr="00C50084">
        <w:rPr>
          <w:sz w:val="26"/>
          <w:szCs w:val="26"/>
        </w:rPr>
        <w:t xml:space="preserve"> </w:t>
      </w:r>
      <w:r>
        <w:rPr>
          <w:sz w:val="26"/>
          <w:szCs w:val="26"/>
        </w:rPr>
        <w:t>Ct.</w:t>
      </w:r>
      <w:r w:rsidRPr="00C50084">
        <w:rPr>
          <w:sz w:val="26"/>
          <w:szCs w:val="26"/>
        </w:rPr>
        <w:t xml:space="preserve"> (Jan. 29, 2025).</w:t>
      </w:r>
    </w:p>
  </w:footnote>
  <w:footnote w:id="2">
    <w:p w14:paraId="7DDEB97B" w14:textId="77777777" w:rsidR="00AE417A" w:rsidRPr="00C50084" w:rsidRDefault="00AE417A" w:rsidP="00AE417A">
      <w:pPr>
        <w:pStyle w:val="FootnoteText"/>
        <w:jc w:val="both"/>
        <w:rPr>
          <w:sz w:val="26"/>
          <w:szCs w:val="26"/>
        </w:rPr>
      </w:pPr>
      <w:r w:rsidRPr="00C50084">
        <w:rPr>
          <w:rStyle w:val="FootnoteReference"/>
          <w:sz w:val="26"/>
          <w:szCs w:val="26"/>
        </w:rPr>
        <w:footnoteRef/>
      </w:r>
      <w:r w:rsidRPr="00C50084">
        <w:rPr>
          <w:sz w:val="26"/>
          <w:szCs w:val="26"/>
        </w:rPr>
        <w:t xml:space="preserve"> </w:t>
      </w:r>
      <w:r w:rsidRPr="00C50084">
        <w:rPr>
          <w:i/>
          <w:iCs/>
          <w:sz w:val="26"/>
          <w:szCs w:val="26"/>
        </w:rPr>
        <w:t>Id.</w:t>
      </w:r>
    </w:p>
  </w:footnote>
  <w:footnote w:id="3">
    <w:p w14:paraId="647EAD53" w14:textId="77777777" w:rsidR="00AE417A" w:rsidRPr="00C50084" w:rsidRDefault="00AE417A" w:rsidP="00AE417A">
      <w:pPr>
        <w:pStyle w:val="FootnoteText"/>
        <w:jc w:val="both"/>
        <w:rPr>
          <w:sz w:val="26"/>
          <w:szCs w:val="26"/>
        </w:rPr>
      </w:pPr>
      <w:r w:rsidRPr="00C50084">
        <w:rPr>
          <w:rStyle w:val="FootnoteReference"/>
          <w:sz w:val="26"/>
          <w:szCs w:val="26"/>
        </w:rPr>
        <w:footnoteRef/>
      </w:r>
      <w:r w:rsidRPr="00C50084">
        <w:rPr>
          <w:sz w:val="26"/>
          <w:szCs w:val="26"/>
        </w:rPr>
        <w:t xml:space="preserve"> Nick Karmia, </w:t>
      </w:r>
      <w:r w:rsidRPr="00C50084">
        <w:rPr>
          <w:i/>
          <w:iCs/>
          <w:sz w:val="26"/>
          <w:szCs w:val="26"/>
        </w:rPr>
        <w:t>Arizona Supreme Court Still Looking to Address Statewide Lawyer Shortages</w:t>
      </w:r>
      <w:r w:rsidRPr="00C50084">
        <w:rPr>
          <w:sz w:val="26"/>
          <w:szCs w:val="26"/>
        </w:rPr>
        <w:t xml:space="preserve">, KJZZ Phoenix (March 3, 2025), </w:t>
      </w:r>
      <w:hyperlink r:id="rId1" w:history="1">
        <w:r w:rsidRPr="00C50084">
          <w:rPr>
            <w:rStyle w:val="Hyperlink"/>
            <w:sz w:val="26"/>
            <w:szCs w:val="26"/>
          </w:rPr>
          <w:t>https://www.kjzz.org/kjzz-news/2025-03-03/arizona-supreme-court-still-looking-to-address-statewide-lawyer-shortages</w:t>
        </w:r>
      </w:hyperlink>
      <w:r w:rsidRPr="00C50084">
        <w:rPr>
          <w:sz w:val="26"/>
          <w:szCs w:val="26"/>
        </w:rPr>
        <w:t>.</w:t>
      </w:r>
    </w:p>
  </w:footnote>
  <w:footnote w:id="4">
    <w:p w14:paraId="6ACC3CEA" w14:textId="77777777" w:rsidR="00AE417A" w:rsidRPr="00C50084" w:rsidRDefault="00AE417A" w:rsidP="00AE417A">
      <w:pPr>
        <w:pStyle w:val="FootnoteText"/>
        <w:jc w:val="both"/>
        <w:rPr>
          <w:sz w:val="26"/>
          <w:szCs w:val="26"/>
        </w:rPr>
      </w:pPr>
      <w:r w:rsidRPr="00C50084">
        <w:rPr>
          <w:rStyle w:val="FootnoteReference"/>
          <w:sz w:val="26"/>
          <w:szCs w:val="26"/>
        </w:rPr>
        <w:footnoteRef/>
      </w:r>
      <w:r w:rsidRPr="00C50084">
        <w:rPr>
          <w:i/>
          <w:iCs/>
          <w:sz w:val="26"/>
          <w:szCs w:val="26"/>
        </w:rPr>
        <w:t xml:space="preserve"> Arizona Lawyer Apprentice Program, </w:t>
      </w:r>
      <w:r w:rsidRPr="00C50084">
        <w:rPr>
          <w:sz w:val="26"/>
          <w:szCs w:val="26"/>
        </w:rPr>
        <w:t xml:space="preserve">Arizona Judicial Branch, </w:t>
      </w:r>
      <w:hyperlink r:id="rId2" w:history="1">
        <w:r w:rsidRPr="00C50084">
          <w:rPr>
            <w:rStyle w:val="Hyperlink"/>
            <w:sz w:val="26"/>
            <w:szCs w:val="26"/>
          </w:rPr>
          <w:t>https://www.azcourts.gov/cld/Arizona-Lawyer-Apprentice-Program</w:t>
        </w:r>
      </w:hyperlink>
      <w:r w:rsidRPr="00C50084">
        <w:rPr>
          <w:sz w:val="26"/>
          <w:szCs w:val="26"/>
        </w:rPr>
        <w:t xml:space="preserve"> (last visited April 3, 2026).</w:t>
      </w:r>
    </w:p>
  </w:footnote>
  <w:footnote w:id="5">
    <w:p w14:paraId="3849CF33" w14:textId="77777777" w:rsidR="00AE417A" w:rsidRDefault="00AE417A" w:rsidP="00AE417A">
      <w:pPr>
        <w:pStyle w:val="FootnoteText"/>
        <w:jc w:val="both"/>
      </w:pPr>
      <w:r w:rsidRPr="00C50084">
        <w:rPr>
          <w:rStyle w:val="FootnoteReference"/>
          <w:sz w:val="26"/>
          <w:szCs w:val="26"/>
        </w:rPr>
        <w:footnoteRef/>
      </w:r>
      <w:r w:rsidRPr="00C50084">
        <w:rPr>
          <w:sz w:val="26"/>
          <w:szCs w:val="26"/>
        </w:rPr>
        <w:t xml:space="preserve"> </w:t>
      </w:r>
      <w:r w:rsidRPr="00C50084">
        <w:rPr>
          <w:rFonts w:cs="Times New Roman"/>
          <w:smallCaps/>
          <w:sz w:val="26"/>
          <w:szCs w:val="26"/>
        </w:rPr>
        <w:t>ARIZONA CRIM. JUST. COMM’N, FILL THE GAP REPORT</w:t>
      </w:r>
      <w:r w:rsidRPr="00C50084">
        <w:rPr>
          <w:sz w:val="26"/>
          <w:szCs w:val="26"/>
        </w:rPr>
        <w:t xml:space="preserve"> (2023), </w:t>
      </w:r>
      <w:hyperlink r:id="rId3" w:history="1">
        <w:r w:rsidRPr="00C50084">
          <w:rPr>
            <w:rStyle w:val="Hyperlink"/>
            <w:sz w:val="26"/>
            <w:szCs w:val="26"/>
          </w:rPr>
          <w:t>https://www.azcjc.gov/Portals/0/Documents/pubs/2023_FillTheGap_Report_Final.pdf</w:t>
        </w:r>
      </w:hyperlink>
      <w:r>
        <w:rPr>
          <w:sz w:val="26"/>
          <w:szCs w:val="26"/>
        </w:rPr>
        <w:t xml:space="preserve">; Disha Raychaudhuri &amp; Karen Sloan, </w:t>
      </w:r>
      <w:r w:rsidRPr="00A31B15">
        <w:rPr>
          <w:i/>
          <w:iCs/>
          <w:sz w:val="26"/>
          <w:szCs w:val="26"/>
        </w:rPr>
        <w:t>Prosecutors Wanted: District Attorneys Struggle to Recruit and Retain Lawyers</w:t>
      </w:r>
      <w:r>
        <w:rPr>
          <w:sz w:val="26"/>
          <w:szCs w:val="26"/>
        </w:rPr>
        <w:t xml:space="preserve">, Reuters, April 13, 2022, </w:t>
      </w:r>
      <w:hyperlink r:id="rId4" w:history="1">
        <w:r w:rsidRPr="0068756C">
          <w:rPr>
            <w:rStyle w:val="Hyperlink"/>
            <w:sz w:val="26"/>
            <w:szCs w:val="26"/>
          </w:rPr>
          <w:t>https://www.reuters.com/legal/transactional/prosecutors-wanted-district-attorneys-struggle-recruit-retain-lawyers-2022-04-12</w:t>
        </w:r>
      </w:hyperlink>
      <w:r>
        <w:rPr>
          <w:sz w:val="26"/>
          <w:szCs w:val="26"/>
        </w:rPr>
        <w:t xml:space="preserve">. </w:t>
      </w:r>
    </w:p>
  </w:footnote>
  <w:footnote w:id="6">
    <w:p w14:paraId="029EAA7A" w14:textId="77777777" w:rsidR="00AE417A" w:rsidRPr="00EA721B" w:rsidRDefault="00AE417A" w:rsidP="00AE417A">
      <w:pPr>
        <w:pStyle w:val="FootnoteText"/>
        <w:jc w:val="both"/>
        <w:rPr>
          <w:sz w:val="26"/>
          <w:szCs w:val="26"/>
        </w:rPr>
      </w:pPr>
      <w:r w:rsidRPr="00EA721B">
        <w:rPr>
          <w:rStyle w:val="FootnoteReference"/>
          <w:sz w:val="26"/>
          <w:szCs w:val="26"/>
        </w:rPr>
        <w:footnoteRef/>
      </w:r>
      <w:r w:rsidRPr="00EA721B">
        <w:rPr>
          <w:sz w:val="26"/>
          <w:szCs w:val="26"/>
        </w:rPr>
        <w:t xml:space="preserve"> Legal Services Corporation, </w:t>
      </w:r>
      <w:r w:rsidRPr="00EA721B">
        <w:rPr>
          <w:i/>
          <w:iCs/>
          <w:sz w:val="26"/>
          <w:szCs w:val="26"/>
        </w:rPr>
        <w:t>The Justice Gap: The Unmet Civil Legal Needs of Low-income Americans</w:t>
      </w:r>
      <w:r w:rsidRPr="00EA721B">
        <w:rPr>
          <w:sz w:val="26"/>
          <w:szCs w:val="26"/>
        </w:rPr>
        <w:t xml:space="preserve"> (April 2022), </w:t>
      </w:r>
      <w:hyperlink r:id="rId5" w:history="1">
        <w:r w:rsidRPr="00EA721B">
          <w:rPr>
            <w:rStyle w:val="Hyperlink"/>
            <w:sz w:val="26"/>
            <w:szCs w:val="26"/>
          </w:rPr>
          <w:t>https://justicegap.lsc.gov/resource/section-4-seeking-and-receiving-legal-help</w:t>
        </w:r>
      </w:hyperlink>
      <w:r w:rsidRPr="00EA721B">
        <w:rPr>
          <w:sz w:val="26"/>
          <w:szCs w:val="26"/>
        </w:rPr>
        <w:t xml:space="preserve">; </w:t>
      </w:r>
      <w:r w:rsidRPr="00EA721B">
        <w:rPr>
          <w:i/>
          <w:iCs/>
          <w:sz w:val="26"/>
          <w:szCs w:val="26"/>
        </w:rPr>
        <w:t>See</w:t>
      </w:r>
      <w:r w:rsidRPr="00EA721B">
        <w:rPr>
          <w:sz w:val="26"/>
          <w:szCs w:val="26"/>
        </w:rPr>
        <w:t xml:space="preserve"> American Bar Association,</w:t>
      </w:r>
    </w:p>
    <w:p w14:paraId="1BFEC0B9" w14:textId="77777777" w:rsidR="00AE417A" w:rsidRPr="00EA721B" w:rsidRDefault="00AE417A" w:rsidP="00AE417A">
      <w:pPr>
        <w:pStyle w:val="FootnoteText"/>
        <w:jc w:val="both"/>
        <w:rPr>
          <w:sz w:val="26"/>
          <w:szCs w:val="26"/>
        </w:rPr>
      </w:pPr>
      <w:r w:rsidRPr="00EA721B">
        <w:rPr>
          <w:i/>
          <w:iCs/>
          <w:sz w:val="26"/>
          <w:szCs w:val="26"/>
        </w:rPr>
        <w:t>Demographics, ABA Profile of the Legal Profession 2024</w:t>
      </w:r>
      <w:r w:rsidRPr="00EA721B">
        <w:rPr>
          <w:sz w:val="26"/>
          <w:szCs w:val="26"/>
        </w:rPr>
        <w:t xml:space="preserve"> (2024),</w:t>
      </w:r>
    </w:p>
    <w:p w14:paraId="173427BE" w14:textId="77777777" w:rsidR="00AE417A" w:rsidRPr="00EA721B" w:rsidRDefault="00AE417A" w:rsidP="00AE417A">
      <w:pPr>
        <w:pStyle w:val="FootnoteText"/>
        <w:jc w:val="both"/>
        <w:rPr>
          <w:sz w:val="26"/>
          <w:szCs w:val="26"/>
        </w:rPr>
      </w:pPr>
      <w:hyperlink r:id="rId6" w:history="1">
        <w:r w:rsidRPr="00EA721B">
          <w:rPr>
            <w:rStyle w:val="Hyperlink"/>
            <w:sz w:val="26"/>
            <w:szCs w:val="26"/>
          </w:rPr>
          <w:t>https://www.americanbar.org/news/profile-legal-profession/demographics</w:t>
        </w:r>
      </w:hyperlink>
      <w:r w:rsidRPr="00EA721B">
        <w:rPr>
          <w:sz w:val="26"/>
          <w:szCs w:val="26"/>
        </w:rPr>
        <w:t xml:space="preserve">. </w:t>
      </w:r>
    </w:p>
  </w:footnote>
  <w:footnote w:id="7">
    <w:p w14:paraId="46E566C9" w14:textId="77777777" w:rsidR="00AE417A" w:rsidRPr="00EA721B" w:rsidRDefault="00AE417A" w:rsidP="00AE417A">
      <w:pPr>
        <w:pStyle w:val="FootnoteText"/>
        <w:jc w:val="both"/>
        <w:rPr>
          <w:sz w:val="26"/>
          <w:szCs w:val="26"/>
        </w:rPr>
      </w:pPr>
      <w:r w:rsidRPr="00EA721B">
        <w:rPr>
          <w:rStyle w:val="FootnoteReference"/>
          <w:sz w:val="26"/>
          <w:szCs w:val="26"/>
        </w:rPr>
        <w:footnoteRef/>
      </w:r>
      <w:r w:rsidRPr="00EA721B">
        <w:rPr>
          <w:sz w:val="26"/>
          <w:szCs w:val="26"/>
        </w:rPr>
        <w:t xml:space="preserve"> </w:t>
      </w:r>
      <w:r w:rsidRPr="00EA721B">
        <w:rPr>
          <w:rFonts w:cs="Times New Roman"/>
          <w:sz w:val="26"/>
          <w:szCs w:val="26"/>
        </w:rPr>
        <w:t xml:space="preserve">Frances Johansen, </w:t>
      </w:r>
      <w:r w:rsidRPr="00EA721B">
        <w:rPr>
          <w:rFonts w:cs="Times New Roman"/>
          <w:i/>
          <w:iCs/>
          <w:sz w:val="26"/>
          <w:szCs w:val="26"/>
        </w:rPr>
        <w:t>Lawyers and Consumers Lose when UPL Runs Rampant</w:t>
      </w:r>
      <w:r w:rsidRPr="00EA721B">
        <w:rPr>
          <w:rFonts w:cs="Times New Roman"/>
          <w:sz w:val="26"/>
          <w:szCs w:val="26"/>
        </w:rPr>
        <w:t xml:space="preserve">, Arizona Attorney Magazine, June 2001 </w:t>
      </w:r>
      <w:hyperlink r:id="rId7" w:history="1">
        <w:r w:rsidRPr="00EA721B">
          <w:rPr>
            <w:rStyle w:val="Hyperlink"/>
            <w:rFonts w:cs="Times New Roman"/>
            <w:sz w:val="26"/>
            <w:szCs w:val="26"/>
          </w:rPr>
          <w:t>https://www.myazbar.org/AZAttorney/PDF_Articles/AZAT0601_UPL%20Challenges.pdf</w:t>
        </w:r>
      </w:hyperlink>
      <w:r w:rsidRPr="00EA721B">
        <w:rPr>
          <w:rFonts w:cs="Times New Roman"/>
          <w:sz w:val="26"/>
          <w:szCs w:val="26"/>
        </w:rPr>
        <w:t xml:space="preserve">. </w:t>
      </w:r>
    </w:p>
  </w:footnote>
  <w:footnote w:id="8">
    <w:p w14:paraId="69A500CA" w14:textId="77777777" w:rsidR="00AE417A" w:rsidRPr="00EA721B" w:rsidRDefault="00AE417A" w:rsidP="00AE417A">
      <w:pPr>
        <w:pStyle w:val="FootnoteText"/>
        <w:jc w:val="both"/>
        <w:rPr>
          <w:sz w:val="26"/>
          <w:szCs w:val="26"/>
        </w:rPr>
      </w:pPr>
      <w:r w:rsidRPr="00EA721B">
        <w:rPr>
          <w:rStyle w:val="FootnoteReference"/>
          <w:sz w:val="26"/>
          <w:szCs w:val="26"/>
        </w:rPr>
        <w:footnoteRef/>
      </w:r>
      <w:r w:rsidRPr="00EA721B">
        <w:rPr>
          <w:sz w:val="26"/>
          <w:szCs w:val="26"/>
        </w:rPr>
        <w:t xml:space="preserve"> </w:t>
      </w:r>
      <w:r w:rsidRPr="00EA721B">
        <w:rPr>
          <w:rFonts w:cs="Times New Roman"/>
          <w:sz w:val="26"/>
          <w:szCs w:val="26"/>
        </w:rPr>
        <w:t xml:space="preserve">Ann A. Scott Timmer, </w:t>
      </w:r>
      <w:r w:rsidRPr="00EA721B">
        <w:rPr>
          <w:rFonts w:cs="Times New Roman"/>
          <w:i/>
          <w:sz w:val="26"/>
          <w:szCs w:val="26"/>
        </w:rPr>
        <w:t>You Don’t Trust Arizona Judges to Rule Without Politics. It’s My Job to Fix That</w:t>
      </w:r>
      <w:r w:rsidRPr="00EA721B">
        <w:rPr>
          <w:rFonts w:cs="Times New Roman"/>
          <w:sz w:val="26"/>
          <w:szCs w:val="26"/>
        </w:rPr>
        <w:t xml:space="preserve">, AZCentral.com, (July 2, 2024), </w:t>
      </w:r>
      <w:hyperlink r:id="rId8" w:history="1">
        <w:r w:rsidRPr="00EA721B">
          <w:rPr>
            <w:rStyle w:val="Hyperlink"/>
            <w:rFonts w:cs="Times New Roman"/>
            <w:sz w:val="26"/>
            <w:szCs w:val="26"/>
          </w:rPr>
          <w:t>https://www.azcentral.com/story/opinion/op-ed/2024/07/02/arizona-supreme-court-chief-trust-judges/74268348007/</w:t>
        </w:r>
      </w:hyperlink>
      <w:r w:rsidRPr="00EA721B">
        <w:rPr>
          <w:rStyle w:val="Hyperlink"/>
          <w:rFonts w:cs="Times New Roman"/>
          <w:sz w:val="26"/>
          <w:szCs w:val="26"/>
        </w:rPr>
        <w:t>.</w:t>
      </w:r>
    </w:p>
  </w:footnote>
  <w:footnote w:id="9">
    <w:p w14:paraId="7A1C2211" w14:textId="77777777" w:rsidR="00AE417A" w:rsidRDefault="00AE417A" w:rsidP="00AE417A">
      <w:pPr>
        <w:pStyle w:val="FootnoteText"/>
        <w:jc w:val="both"/>
      </w:pPr>
      <w:r w:rsidRPr="00EA721B">
        <w:rPr>
          <w:rStyle w:val="FootnoteReference"/>
          <w:sz w:val="26"/>
          <w:szCs w:val="26"/>
        </w:rPr>
        <w:footnoteRef/>
      </w:r>
      <w:r w:rsidRPr="00EA721B">
        <w:rPr>
          <w:sz w:val="26"/>
          <w:szCs w:val="26"/>
        </w:rPr>
        <w:t xml:space="preserve"> </w:t>
      </w:r>
      <w:r w:rsidRPr="00EA721B">
        <w:rPr>
          <w:rFonts w:cs="Times New Roman"/>
          <w:i/>
          <w:iCs/>
          <w:sz w:val="26"/>
          <w:szCs w:val="26"/>
        </w:rPr>
        <w:t>See</w:t>
      </w:r>
      <w:r w:rsidRPr="00EA721B">
        <w:rPr>
          <w:rFonts w:cs="Times New Roman"/>
          <w:sz w:val="26"/>
          <w:szCs w:val="26"/>
        </w:rPr>
        <w:t xml:space="preserve"> </w:t>
      </w:r>
      <w:r w:rsidRPr="00EA721B">
        <w:rPr>
          <w:rFonts w:cs="Times New Roman"/>
          <w:i/>
          <w:iCs/>
          <w:sz w:val="26"/>
          <w:szCs w:val="26"/>
        </w:rPr>
        <w:t>Arizona Court Strategic Agenda 2024-2029</w:t>
      </w:r>
      <w:r w:rsidRPr="00EA721B">
        <w:rPr>
          <w:rFonts w:cs="Times New Roman"/>
          <w:sz w:val="26"/>
          <w:szCs w:val="26"/>
        </w:rPr>
        <w:t xml:space="preserve">, Arizona Supreme Court </w:t>
      </w:r>
      <w:hyperlink r:id="rId9" w:history="1">
        <w:r w:rsidRPr="00EA721B">
          <w:rPr>
            <w:rStyle w:val="Hyperlink"/>
            <w:rFonts w:cs="Times New Roman"/>
            <w:sz w:val="26"/>
            <w:szCs w:val="26"/>
          </w:rPr>
          <w:t>https://www.azcourts.gov/AZ-Courts/Strategic-Agenda</w:t>
        </w:r>
      </w:hyperlink>
      <w:r w:rsidRPr="00EA721B">
        <w:rPr>
          <w:rFonts w:cs="Times New Roman"/>
          <w:sz w:val="26"/>
          <w:szCs w:val="26"/>
        </w:rPr>
        <w:t xml:space="preserve"> (last visited April 6, 2026) (“Maintaining public trust and confidence plays a critical role in the success of our</w:t>
      </w:r>
      <w:r>
        <w:rPr>
          <w:rFonts w:cs="Times New Roman"/>
          <w:sz w:val="26"/>
          <w:szCs w:val="26"/>
        </w:rPr>
        <w:t xml:space="preserve"> justice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1AD0C" w14:textId="77777777" w:rsidR="00CB69E0" w:rsidRDefault="00000000">
    <w:pPr>
      <w:tabs>
        <w:tab w:val="right" w:pos="9342"/>
      </w:tabs>
      <w:spacing w:line="240" w:lineRule="auto"/>
      <w:ind w:right="18"/>
      <w:rPr>
        <w:sz w:val="18"/>
        <w:szCs w:val="18"/>
      </w:rPr>
    </w:pPr>
    <w:r>
      <w:rPr>
        <w:noProof/>
      </w:rPr>
      <mc:AlternateContent>
        <mc:Choice Requires="wps">
          <w:drawing>
            <wp:anchor distT="0" distB="0" distL="114300" distR="114300" simplePos="0" relativeHeight="251662336" behindDoc="0" locked="0" layoutInCell="1" allowOverlap="1" wp14:anchorId="00D2AB93" wp14:editId="2D0CCFD7">
              <wp:simplePos x="0" y="0"/>
              <wp:positionH relativeFrom="margin">
                <wp:posOffset>-105410</wp:posOffset>
              </wp:positionH>
              <wp:positionV relativeFrom="page">
                <wp:posOffset>414655</wp:posOffset>
              </wp:positionV>
              <wp:extent cx="0" cy="10210800"/>
              <wp:effectExtent l="0" t="0" r="19050" b="190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10800"/>
                      </a:xfrm>
                      <a:prstGeom prst="line">
                        <a:avLst/>
                      </a:prstGeom>
                      <a:noFill/>
                      <a:ln w="9525">
                        <a:solidFill>
                          <a:srgbClr val="000000"/>
                        </a:solidFill>
                        <a:round/>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bodyPr/>
                  </wps:wsp>
                </a:graphicData>
              </a:graphic>
            </wp:anchor>
          </w:drawing>
        </mc:Choice>
        <mc:Fallback>
          <w:pict>
            <v:line w14:anchorId="05EB3857" id="Line 10"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page" from="-8.3pt,32.65pt" to="-8.3pt,8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">
              <w10:wrap anchorx="margin" anchory="page"/>
            </v:line>
          </w:pict>
        </mc:Fallback>
      </mc:AlternateContent>
    </w:r>
    <w:r>
      <w:rPr>
        <w:b/>
        <w:bCs/>
        <w:sz w:val="18"/>
        <w:szCs w:val="18"/>
      </w:rPr>
      <w:tab/>
    </w:r>
    <w:r>
      <w:rPr>
        <w:noProof/>
        <w:sz w:val="18"/>
        <w:szCs w:val="18"/>
      </w:rPr>
      <mc:AlternateContent>
        <mc:Choice Requires="wps">
          <w:drawing>
            <wp:anchor distT="0" distB="0" distL="114300" distR="114300" simplePos="0" relativeHeight="251663360" behindDoc="0" locked="0" layoutInCell="1" allowOverlap="1" wp14:anchorId="5F8E2FBD" wp14:editId="6CCA59AF">
              <wp:simplePos x="0" y="0"/>
              <wp:positionH relativeFrom="margin">
                <wp:posOffset>-638175</wp:posOffset>
              </wp:positionH>
              <wp:positionV relativeFrom="margin">
                <wp:posOffset>0</wp:posOffset>
              </wp:positionV>
              <wp:extent cx="457200" cy="8439150"/>
              <wp:effectExtent l="0" t="0" r="0"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439150"/>
                      </a:xfrm>
                      <a:prstGeom prst="rect">
                        <a:avLst/>
                      </a:prstGeom>
                      <a:solidFill>
                        <a:srgbClr val="FFFFFF"/>
                      </a:solid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14:paraId="70A48C01" w14:textId="77777777" w:rsidR="00CB69E0" w:rsidRPr="00262457" w:rsidRDefault="00000000" w:rsidP="00262457">
                          <w:pPr>
                            <w:spacing w:line="480" w:lineRule="auto"/>
                            <w:jc w:val="right"/>
                            <w:rPr>
                              <w:sz w:val="28"/>
                              <w:szCs w:val="28"/>
                            </w:rPr>
                          </w:pPr>
                          <w:r w:rsidRPr="00262457">
                            <w:rPr>
                              <w:sz w:val="28"/>
                              <w:szCs w:val="28"/>
                            </w:rPr>
                            <w:t>1</w:t>
                          </w:r>
                        </w:p>
                        <w:p w14:paraId="739C0842" w14:textId="77777777" w:rsidR="00CB69E0" w:rsidRPr="00262457" w:rsidRDefault="00000000" w:rsidP="00262457">
                          <w:pPr>
                            <w:spacing w:line="480" w:lineRule="auto"/>
                            <w:jc w:val="right"/>
                            <w:rPr>
                              <w:sz w:val="28"/>
                              <w:szCs w:val="28"/>
                            </w:rPr>
                          </w:pPr>
                          <w:r w:rsidRPr="00262457">
                            <w:rPr>
                              <w:sz w:val="28"/>
                              <w:szCs w:val="28"/>
                            </w:rPr>
                            <w:t>2</w:t>
                          </w:r>
                        </w:p>
                        <w:p w14:paraId="43F5BC98" w14:textId="77777777" w:rsidR="00CB69E0" w:rsidRPr="00262457" w:rsidRDefault="00000000" w:rsidP="00262457">
                          <w:pPr>
                            <w:spacing w:line="480" w:lineRule="auto"/>
                            <w:jc w:val="right"/>
                            <w:rPr>
                              <w:sz w:val="28"/>
                              <w:szCs w:val="28"/>
                            </w:rPr>
                          </w:pPr>
                          <w:r w:rsidRPr="00262457">
                            <w:rPr>
                              <w:sz w:val="28"/>
                              <w:szCs w:val="28"/>
                            </w:rPr>
                            <w:t>3</w:t>
                          </w:r>
                        </w:p>
                        <w:p w14:paraId="4550ED5C" w14:textId="77777777" w:rsidR="00CB69E0" w:rsidRPr="00262457" w:rsidRDefault="00000000" w:rsidP="00262457">
                          <w:pPr>
                            <w:spacing w:line="480" w:lineRule="auto"/>
                            <w:jc w:val="right"/>
                            <w:rPr>
                              <w:sz w:val="28"/>
                              <w:szCs w:val="28"/>
                            </w:rPr>
                          </w:pPr>
                          <w:r w:rsidRPr="00262457">
                            <w:rPr>
                              <w:sz w:val="28"/>
                              <w:szCs w:val="28"/>
                            </w:rPr>
                            <w:t>4</w:t>
                          </w:r>
                        </w:p>
                        <w:p w14:paraId="4CAEA99A" w14:textId="77777777" w:rsidR="00CB69E0" w:rsidRPr="00262457" w:rsidRDefault="00000000" w:rsidP="00262457">
                          <w:pPr>
                            <w:spacing w:line="480" w:lineRule="auto"/>
                            <w:jc w:val="right"/>
                            <w:rPr>
                              <w:sz w:val="28"/>
                              <w:szCs w:val="28"/>
                            </w:rPr>
                          </w:pPr>
                          <w:r w:rsidRPr="00262457">
                            <w:rPr>
                              <w:sz w:val="28"/>
                              <w:szCs w:val="28"/>
                            </w:rPr>
                            <w:t>5</w:t>
                          </w:r>
                        </w:p>
                        <w:p w14:paraId="63AD6836" w14:textId="77777777" w:rsidR="00CB69E0" w:rsidRPr="00262457" w:rsidRDefault="00000000" w:rsidP="00262457">
                          <w:pPr>
                            <w:spacing w:line="480" w:lineRule="auto"/>
                            <w:jc w:val="right"/>
                            <w:rPr>
                              <w:sz w:val="28"/>
                              <w:szCs w:val="28"/>
                            </w:rPr>
                          </w:pPr>
                          <w:r w:rsidRPr="00262457">
                            <w:rPr>
                              <w:sz w:val="28"/>
                              <w:szCs w:val="28"/>
                            </w:rPr>
                            <w:t>6</w:t>
                          </w:r>
                        </w:p>
                        <w:p w14:paraId="0E83D5B5" w14:textId="77777777" w:rsidR="00CB69E0" w:rsidRPr="00262457" w:rsidRDefault="00000000" w:rsidP="00262457">
                          <w:pPr>
                            <w:spacing w:line="480" w:lineRule="auto"/>
                            <w:jc w:val="right"/>
                            <w:rPr>
                              <w:sz w:val="28"/>
                              <w:szCs w:val="28"/>
                            </w:rPr>
                          </w:pPr>
                          <w:r w:rsidRPr="00262457">
                            <w:rPr>
                              <w:sz w:val="28"/>
                              <w:szCs w:val="28"/>
                            </w:rPr>
                            <w:t>7</w:t>
                          </w:r>
                        </w:p>
                        <w:p w14:paraId="72AA3E6B" w14:textId="77777777" w:rsidR="00CB69E0" w:rsidRPr="00262457" w:rsidRDefault="00000000" w:rsidP="00262457">
                          <w:pPr>
                            <w:spacing w:line="480" w:lineRule="auto"/>
                            <w:jc w:val="right"/>
                            <w:rPr>
                              <w:sz w:val="28"/>
                              <w:szCs w:val="28"/>
                            </w:rPr>
                          </w:pPr>
                          <w:r w:rsidRPr="00262457">
                            <w:rPr>
                              <w:sz w:val="28"/>
                              <w:szCs w:val="28"/>
                            </w:rPr>
                            <w:t>8</w:t>
                          </w:r>
                        </w:p>
                        <w:p w14:paraId="08297B85" w14:textId="77777777" w:rsidR="00CB69E0" w:rsidRPr="00262457" w:rsidRDefault="00000000" w:rsidP="00262457">
                          <w:pPr>
                            <w:spacing w:line="480" w:lineRule="auto"/>
                            <w:jc w:val="right"/>
                            <w:rPr>
                              <w:sz w:val="28"/>
                              <w:szCs w:val="28"/>
                            </w:rPr>
                          </w:pPr>
                          <w:r w:rsidRPr="00262457">
                            <w:rPr>
                              <w:sz w:val="28"/>
                              <w:szCs w:val="28"/>
                            </w:rPr>
                            <w:t>9</w:t>
                          </w:r>
                        </w:p>
                        <w:p w14:paraId="3A745F7B" w14:textId="77777777" w:rsidR="00CB69E0" w:rsidRPr="00262457" w:rsidRDefault="00000000" w:rsidP="00262457">
                          <w:pPr>
                            <w:spacing w:line="480" w:lineRule="auto"/>
                            <w:jc w:val="right"/>
                            <w:rPr>
                              <w:sz w:val="28"/>
                              <w:szCs w:val="28"/>
                            </w:rPr>
                          </w:pPr>
                          <w:r w:rsidRPr="00262457">
                            <w:rPr>
                              <w:sz w:val="28"/>
                              <w:szCs w:val="28"/>
                            </w:rPr>
                            <w:t>10</w:t>
                          </w:r>
                        </w:p>
                        <w:p w14:paraId="1D7FB413" w14:textId="77777777" w:rsidR="00CB69E0" w:rsidRPr="00262457" w:rsidRDefault="00000000" w:rsidP="00262457">
                          <w:pPr>
                            <w:spacing w:line="480" w:lineRule="auto"/>
                            <w:jc w:val="right"/>
                            <w:rPr>
                              <w:sz w:val="28"/>
                              <w:szCs w:val="28"/>
                            </w:rPr>
                          </w:pPr>
                          <w:r w:rsidRPr="00262457">
                            <w:rPr>
                              <w:sz w:val="28"/>
                              <w:szCs w:val="28"/>
                            </w:rPr>
                            <w:t>11</w:t>
                          </w:r>
                        </w:p>
                        <w:p w14:paraId="472BEDD5" w14:textId="77777777" w:rsidR="00CB69E0" w:rsidRPr="00262457" w:rsidRDefault="00000000" w:rsidP="00262457">
                          <w:pPr>
                            <w:spacing w:line="480" w:lineRule="auto"/>
                            <w:jc w:val="right"/>
                            <w:rPr>
                              <w:sz w:val="28"/>
                              <w:szCs w:val="28"/>
                            </w:rPr>
                          </w:pPr>
                          <w:r w:rsidRPr="00262457">
                            <w:rPr>
                              <w:sz w:val="28"/>
                              <w:szCs w:val="28"/>
                            </w:rPr>
                            <w:t>12</w:t>
                          </w:r>
                        </w:p>
                        <w:p w14:paraId="7B4FCF4E" w14:textId="77777777" w:rsidR="00CB69E0" w:rsidRPr="00262457" w:rsidRDefault="00000000" w:rsidP="00262457">
                          <w:pPr>
                            <w:spacing w:line="480" w:lineRule="auto"/>
                            <w:jc w:val="right"/>
                            <w:rPr>
                              <w:sz w:val="28"/>
                              <w:szCs w:val="28"/>
                            </w:rPr>
                          </w:pPr>
                          <w:r w:rsidRPr="00262457">
                            <w:rPr>
                              <w:sz w:val="28"/>
                              <w:szCs w:val="28"/>
                            </w:rPr>
                            <w:t>13</w:t>
                          </w:r>
                        </w:p>
                        <w:p w14:paraId="3FD0D5C0" w14:textId="77777777" w:rsidR="00CB69E0" w:rsidRPr="00262457" w:rsidRDefault="00000000" w:rsidP="00262457">
                          <w:pPr>
                            <w:spacing w:line="480" w:lineRule="auto"/>
                            <w:jc w:val="right"/>
                            <w:rPr>
                              <w:sz w:val="28"/>
                              <w:szCs w:val="28"/>
                            </w:rPr>
                          </w:pPr>
                          <w:r w:rsidRPr="00262457">
                            <w:rPr>
                              <w:sz w:val="28"/>
                              <w:szCs w:val="28"/>
                            </w:rPr>
                            <w:t>14</w:t>
                          </w:r>
                        </w:p>
                        <w:p w14:paraId="49A50EAD" w14:textId="77777777" w:rsidR="00CB69E0" w:rsidRPr="00262457" w:rsidRDefault="00000000" w:rsidP="00262457">
                          <w:pPr>
                            <w:spacing w:line="480" w:lineRule="auto"/>
                            <w:jc w:val="right"/>
                            <w:rPr>
                              <w:sz w:val="28"/>
                              <w:szCs w:val="28"/>
                            </w:rPr>
                          </w:pPr>
                          <w:r w:rsidRPr="00262457">
                            <w:rPr>
                              <w:sz w:val="28"/>
                              <w:szCs w:val="28"/>
                            </w:rPr>
                            <w:t>15</w:t>
                          </w:r>
                        </w:p>
                        <w:p w14:paraId="5C30DA36" w14:textId="77777777" w:rsidR="00CB69E0" w:rsidRPr="00262457" w:rsidRDefault="00000000" w:rsidP="00262457">
                          <w:pPr>
                            <w:spacing w:line="480" w:lineRule="auto"/>
                            <w:jc w:val="right"/>
                            <w:rPr>
                              <w:sz w:val="28"/>
                              <w:szCs w:val="28"/>
                            </w:rPr>
                          </w:pPr>
                          <w:r w:rsidRPr="00262457">
                            <w:rPr>
                              <w:sz w:val="28"/>
                              <w:szCs w:val="28"/>
                            </w:rPr>
                            <w:t>16</w:t>
                          </w:r>
                        </w:p>
                        <w:p w14:paraId="593041E0" w14:textId="77777777" w:rsidR="00CB69E0" w:rsidRPr="00262457" w:rsidRDefault="00000000" w:rsidP="00262457">
                          <w:pPr>
                            <w:spacing w:line="480" w:lineRule="auto"/>
                            <w:jc w:val="right"/>
                            <w:rPr>
                              <w:sz w:val="28"/>
                              <w:szCs w:val="28"/>
                            </w:rPr>
                          </w:pPr>
                          <w:r w:rsidRPr="00262457">
                            <w:rPr>
                              <w:sz w:val="28"/>
                              <w:szCs w:val="28"/>
                            </w:rPr>
                            <w:t>17</w:t>
                          </w:r>
                        </w:p>
                        <w:p w14:paraId="2B5C1CAC" w14:textId="77777777" w:rsidR="00CB69E0" w:rsidRPr="00262457" w:rsidRDefault="00000000" w:rsidP="00262457">
                          <w:pPr>
                            <w:spacing w:line="480" w:lineRule="auto"/>
                            <w:jc w:val="right"/>
                            <w:rPr>
                              <w:sz w:val="28"/>
                              <w:szCs w:val="28"/>
                            </w:rPr>
                          </w:pPr>
                          <w:r w:rsidRPr="00262457">
                            <w:rPr>
                              <w:sz w:val="28"/>
                              <w:szCs w:val="28"/>
                            </w:rPr>
                            <w:t>18</w:t>
                          </w:r>
                        </w:p>
                        <w:p w14:paraId="07C4B45A" w14:textId="77777777" w:rsidR="00CB69E0" w:rsidRPr="00262457" w:rsidRDefault="00000000" w:rsidP="00262457">
                          <w:pPr>
                            <w:spacing w:line="480" w:lineRule="auto"/>
                            <w:jc w:val="right"/>
                            <w:rPr>
                              <w:sz w:val="28"/>
                              <w:szCs w:val="28"/>
                            </w:rPr>
                          </w:pPr>
                          <w:r w:rsidRPr="00262457">
                            <w:rPr>
                              <w:sz w:val="28"/>
                              <w:szCs w:val="28"/>
                            </w:rPr>
                            <w:t>19</w:t>
                          </w:r>
                        </w:p>
                        <w:p w14:paraId="20478736" w14:textId="77777777" w:rsidR="00CB69E0" w:rsidRPr="00262457" w:rsidRDefault="00000000" w:rsidP="00262457">
                          <w:pPr>
                            <w:spacing w:line="480" w:lineRule="auto"/>
                            <w:jc w:val="right"/>
                            <w:rPr>
                              <w:sz w:val="28"/>
                              <w:szCs w:val="28"/>
                            </w:rPr>
                          </w:pPr>
                          <w:r w:rsidRPr="00262457">
                            <w:rPr>
                              <w:sz w:val="28"/>
                              <w:szCs w:val="28"/>
                            </w:rPr>
                            <w:t>20</w:t>
                          </w:r>
                        </w:p>
                      </w:txbxContent>
                    </wps:txbx>
                    <wps:bodyPr rot="0" vert="horz" wrap="square" lIns="0" tIns="0" rIns="0" bIns="0" anchor="t" anchorCtr="0">
                      <a:noAutofit/>
                    </wps:bodyPr>
                  </wps:wsp>
                </a:graphicData>
              </a:graphic>
            </wp:anchor>
          </w:drawing>
        </mc:Choice>
        <mc:Fallback>
          <w:pict>
            <v:shapetype w14:anchorId="5F8E2FBD" id="_x0000_t202" coordsize="21600,21600" o:spt="202" path="m,l,21600r21600,l21600,xe">
              <v:stroke joinstyle="miter"/>
              <v:path gradientshapeok="t" o:connecttype="rect"/>
            </v:shapetype>
            <v:shape id="Text Box 16" o:spid="_x0000_s1026" type="#_x0000_t202" style="position:absolute;margin-left:-50.25pt;margin-top:0;width:36pt;height:664.5pt;z-index:25166336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" stroked="f">
              <v:textbox inset="0,0,0,0">
                <w:txbxContent>
                  <w:p w14:paraId="70A48C01" w14:textId="77777777" w:rsidR="00CB69E0" w:rsidRPr="00262457" w:rsidRDefault="00000000" w:rsidP="00262457">
                    <w:pPr>
                      <w:spacing w:line="480" w:lineRule="auto"/>
                      <w:jc w:val="right"/>
                      <w:rPr>
                        <w:sz w:val="28"/>
                        <w:szCs w:val="28"/>
                      </w:rPr>
                    </w:pPr>
                    <w:r w:rsidRPr="00262457">
                      <w:rPr>
                        <w:sz w:val="28"/>
                        <w:szCs w:val="28"/>
                      </w:rPr>
                      <w:t>1</w:t>
                    </w:r>
                  </w:p>
                  <w:p w14:paraId="739C0842" w14:textId="77777777" w:rsidR="00CB69E0" w:rsidRPr="00262457" w:rsidRDefault="00000000" w:rsidP="00262457">
                    <w:pPr>
                      <w:spacing w:line="480" w:lineRule="auto"/>
                      <w:jc w:val="right"/>
                      <w:rPr>
                        <w:sz w:val="28"/>
                        <w:szCs w:val="28"/>
                      </w:rPr>
                    </w:pPr>
                    <w:r w:rsidRPr="00262457">
                      <w:rPr>
                        <w:sz w:val="28"/>
                        <w:szCs w:val="28"/>
                      </w:rPr>
                      <w:t>2</w:t>
                    </w:r>
                  </w:p>
                  <w:p w14:paraId="43F5BC98" w14:textId="77777777" w:rsidR="00CB69E0" w:rsidRPr="00262457" w:rsidRDefault="00000000" w:rsidP="00262457">
                    <w:pPr>
                      <w:spacing w:line="480" w:lineRule="auto"/>
                      <w:jc w:val="right"/>
                      <w:rPr>
                        <w:sz w:val="28"/>
                        <w:szCs w:val="28"/>
                      </w:rPr>
                    </w:pPr>
                    <w:r w:rsidRPr="00262457">
                      <w:rPr>
                        <w:sz w:val="28"/>
                        <w:szCs w:val="28"/>
                      </w:rPr>
                      <w:t>3</w:t>
                    </w:r>
                  </w:p>
                  <w:p w14:paraId="4550ED5C" w14:textId="77777777" w:rsidR="00CB69E0" w:rsidRPr="00262457" w:rsidRDefault="00000000" w:rsidP="00262457">
                    <w:pPr>
                      <w:spacing w:line="480" w:lineRule="auto"/>
                      <w:jc w:val="right"/>
                      <w:rPr>
                        <w:sz w:val="28"/>
                        <w:szCs w:val="28"/>
                      </w:rPr>
                    </w:pPr>
                    <w:r w:rsidRPr="00262457">
                      <w:rPr>
                        <w:sz w:val="28"/>
                        <w:szCs w:val="28"/>
                      </w:rPr>
                      <w:t>4</w:t>
                    </w:r>
                  </w:p>
                  <w:p w14:paraId="4CAEA99A" w14:textId="77777777" w:rsidR="00CB69E0" w:rsidRPr="00262457" w:rsidRDefault="00000000" w:rsidP="00262457">
                    <w:pPr>
                      <w:spacing w:line="480" w:lineRule="auto"/>
                      <w:jc w:val="right"/>
                      <w:rPr>
                        <w:sz w:val="28"/>
                        <w:szCs w:val="28"/>
                      </w:rPr>
                    </w:pPr>
                    <w:r w:rsidRPr="00262457">
                      <w:rPr>
                        <w:sz w:val="28"/>
                        <w:szCs w:val="28"/>
                      </w:rPr>
                      <w:t>5</w:t>
                    </w:r>
                  </w:p>
                  <w:p w14:paraId="63AD6836" w14:textId="77777777" w:rsidR="00CB69E0" w:rsidRPr="00262457" w:rsidRDefault="00000000" w:rsidP="00262457">
                    <w:pPr>
                      <w:spacing w:line="480" w:lineRule="auto"/>
                      <w:jc w:val="right"/>
                      <w:rPr>
                        <w:sz w:val="28"/>
                        <w:szCs w:val="28"/>
                      </w:rPr>
                    </w:pPr>
                    <w:r w:rsidRPr="00262457">
                      <w:rPr>
                        <w:sz w:val="28"/>
                        <w:szCs w:val="28"/>
                      </w:rPr>
                      <w:t>6</w:t>
                    </w:r>
                  </w:p>
                  <w:p w14:paraId="0E83D5B5" w14:textId="77777777" w:rsidR="00CB69E0" w:rsidRPr="00262457" w:rsidRDefault="00000000" w:rsidP="00262457">
                    <w:pPr>
                      <w:spacing w:line="480" w:lineRule="auto"/>
                      <w:jc w:val="right"/>
                      <w:rPr>
                        <w:sz w:val="28"/>
                        <w:szCs w:val="28"/>
                      </w:rPr>
                    </w:pPr>
                    <w:r w:rsidRPr="00262457">
                      <w:rPr>
                        <w:sz w:val="28"/>
                        <w:szCs w:val="28"/>
                      </w:rPr>
                      <w:t>7</w:t>
                    </w:r>
                  </w:p>
                  <w:p w14:paraId="72AA3E6B" w14:textId="77777777" w:rsidR="00CB69E0" w:rsidRPr="00262457" w:rsidRDefault="00000000" w:rsidP="00262457">
                    <w:pPr>
                      <w:spacing w:line="480" w:lineRule="auto"/>
                      <w:jc w:val="right"/>
                      <w:rPr>
                        <w:sz w:val="28"/>
                        <w:szCs w:val="28"/>
                      </w:rPr>
                    </w:pPr>
                    <w:r w:rsidRPr="00262457">
                      <w:rPr>
                        <w:sz w:val="28"/>
                        <w:szCs w:val="28"/>
                      </w:rPr>
                      <w:t>8</w:t>
                    </w:r>
                  </w:p>
                  <w:p w14:paraId="08297B85" w14:textId="77777777" w:rsidR="00CB69E0" w:rsidRPr="00262457" w:rsidRDefault="00000000" w:rsidP="00262457">
                    <w:pPr>
                      <w:spacing w:line="480" w:lineRule="auto"/>
                      <w:jc w:val="right"/>
                      <w:rPr>
                        <w:sz w:val="28"/>
                        <w:szCs w:val="28"/>
                      </w:rPr>
                    </w:pPr>
                    <w:r w:rsidRPr="00262457">
                      <w:rPr>
                        <w:sz w:val="28"/>
                        <w:szCs w:val="28"/>
                      </w:rPr>
                      <w:t>9</w:t>
                    </w:r>
                  </w:p>
                  <w:p w14:paraId="3A745F7B" w14:textId="77777777" w:rsidR="00CB69E0" w:rsidRPr="00262457" w:rsidRDefault="00000000" w:rsidP="00262457">
                    <w:pPr>
                      <w:spacing w:line="480" w:lineRule="auto"/>
                      <w:jc w:val="right"/>
                      <w:rPr>
                        <w:sz w:val="28"/>
                        <w:szCs w:val="28"/>
                      </w:rPr>
                    </w:pPr>
                    <w:r w:rsidRPr="00262457">
                      <w:rPr>
                        <w:sz w:val="28"/>
                        <w:szCs w:val="28"/>
                      </w:rPr>
                      <w:t>10</w:t>
                    </w:r>
                  </w:p>
                  <w:p w14:paraId="1D7FB413" w14:textId="77777777" w:rsidR="00CB69E0" w:rsidRPr="00262457" w:rsidRDefault="00000000" w:rsidP="00262457">
                    <w:pPr>
                      <w:spacing w:line="480" w:lineRule="auto"/>
                      <w:jc w:val="right"/>
                      <w:rPr>
                        <w:sz w:val="28"/>
                        <w:szCs w:val="28"/>
                      </w:rPr>
                    </w:pPr>
                    <w:r w:rsidRPr="00262457">
                      <w:rPr>
                        <w:sz w:val="28"/>
                        <w:szCs w:val="28"/>
                      </w:rPr>
                      <w:t>11</w:t>
                    </w:r>
                  </w:p>
                  <w:p w14:paraId="472BEDD5" w14:textId="77777777" w:rsidR="00CB69E0" w:rsidRPr="00262457" w:rsidRDefault="00000000" w:rsidP="00262457">
                    <w:pPr>
                      <w:spacing w:line="480" w:lineRule="auto"/>
                      <w:jc w:val="right"/>
                      <w:rPr>
                        <w:sz w:val="28"/>
                        <w:szCs w:val="28"/>
                      </w:rPr>
                    </w:pPr>
                    <w:r w:rsidRPr="00262457">
                      <w:rPr>
                        <w:sz w:val="28"/>
                        <w:szCs w:val="28"/>
                      </w:rPr>
                      <w:t>12</w:t>
                    </w:r>
                  </w:p>
                  <w:p w14:paraId="7B4FCF4E" w14:textId="77777777" w:rsidR="00CB69E0" w:rsidRPr="00262457" w:rsidRDefault="00000000" w:rsidP="00262457">
                    <w:pPr>
                      <w:spacing w:line="480" w:lineRule="auto"/>
                      <w:jc w:val="right"/>
                      <w:rPr>
                        <w:sz w:val="28"/>
                        <w:szCs w:val="28"/>
                      </w:rPr>
                    </w:pPr>
                    <w:r w:rsidRPr="00262457">
                      <w:rPr>
                        <w:sz w:val="28"/>
                        <w:szCs w:val="28"/>
                      </w:rPr>
                      <w:t>13</w:t>
                    </w:r>
                  </w:p>
                  <w:p w14:paraId="3FD0D5C0" w14:textId="77777777" w:rsidR="00CB69E0" w:rsidRPr="00262457" w:rsidRDefault="00000000" w:rsidP="00262457">
                    <w:pPr>
                      <w:spacing w:line="480" w:lineRule="auto"/>
                      <w:jc w:val="right"/>
                      <w:rPr>
                        <w:sz w:val="28"/>
                        <w:szCs w:val="28"/>
                      </w:rPr>
                    </w:pPr>
                    <w:r w:rsidRPr="00262457">
                      <w:rPr>
                        <w:sz w:val="28"/>
                        <w:szCs w:val="28"/>
                      </w:rPr>
                      <w:t>14</w:t>
                    </w:r>
                  </w:p>
                  <w:p w14:paraId="49A50EAD" w14:textId="77777777" w:rsidR="00CB69E0" w:rsidRPr="00262457" w:rsidRDefault="00000000" w:rsidP="00262457">
                    <w:pPr>
                      <w:spacing w:line="480" w:lineRule="auto"/>
                      <w:jc w:val="right"/>
                      <w:rPr>
                        <w:sz w:val="28"/>
                        <w:szCs w:val="28"/>
                      </w:rPr>
                    </w:pPr>
                    <w:r w:rsidRPr="00262457">
                      <w:rPr>
                        <w:sz w:val="28"/>
                        <w:szCs w:val="28"/>
                      </w:rPr>
                      <w:t>15</w:t>
                    </w:r>
                  </w:p>
                  <w:p w14:paraId="5C30DA36" w14:textId="77777777" w:rsidR="00CB69E0" w:rsidRPr="00262457" w:rsidRDefault="00000000" w:rsidP="00262457">
                    <w:pPr>
                      <w:spacing w:line="480" w:lineRule="auto"/>
                      <w:jc w:val="right"/>
                      <w:rPr>
                        <w:sz w:val="28"/>
                        <w:szCs w:val="28"/>
                      </w:rPr>
                    </w:pPr>
                    <w:r w:rsidRPr="00262457">
                      <w:rPr>
                        <w:sz w:val="28"/>
                        <w:szCs w:val="28"/>
                      </w:rPr>
                      <w:t>16</w:t>
                    </w:r>
                  </w:p>
                  <w:p w14:paraId="593041E0" w14:textId="77777777" w:rsidR="00CB69E0" w:rsidRPr="00262457" w:rsidRDefault="00000000" w:rsidP="00262457">
                    <w:pPr>
                      <w:spacing w:line="480" w:lineRule="auto"/>
                      <w:jc w:val="right"/>
                      <w:rPr>
                        <w:sz w:val="28"/>
                        <w:szCs w:val="28"/>
                      </w:rPr>
                    </w:pPr>
                    <w:r w:rsidRPr="00262457">
                      <w:rPr>
                        <w:sz w:val="28"/>
                        <w:szCs w:val="28"/>
                      </w:rPr>
                      <w:t>17</w:t>
                    </w:r>
                  </w:p>
                  <w:p w14:paraId="2B5C1CAC" w14:textId="77777777" w:rsidR="00CB69E0" w:rsidRPr="00262457" w:rsidRDefault="00000000" w:rsidP="00262457">
                    <w:pPr>
                      <w:spacing w:line="480" w:lineRule="auto"/>
                      <w:jc w:val="right"/>
                      <w:rPr>
                        <w:sz w:val="28"/>
                        <w:szCs w:val="28"/>
                      </w:rPr>
                    </w:pPr>
                    <w:r w:rsidRPr="00262457">
                      <w:rPr>
                        <w:sz w:val="28"/>
                        <w:szCs w:val="28"/>
                      </w:rPr>
                      <w:t>18</w:t>
                    </w:r>
                  </w:p>
                  <w:p w14:paraId="07C4B45A" w14:textId="77777777" w:rsidR="00CB69E0" w:rsidRPr="00262457" w:rsidRDefault="00000000" w:rsidP="00262457">
                    <w:pPr>
                      <w:spacing w:line="480" w:lineRule="auto"/>
                      <w:jc w:val="right"/>
                      <w:rPr>
                        <w:sz w:val="28"/>
                        <w:szCs w:val="28"/>
                      </w:rPr>
                    </w:pPr>
                    <w:r w:rsidRPr="00262457">
                      <w:rPr>
                        <w:sz w:val="28"/>
                        <w:szCs w:val="28"/>
                      </w:rPr>
                      <w:t>19</w:t>
                    </w:r>
                  </w:p>
                  <w:p w14:paraId="20478736" w14:textId="77777777" w:rsidR="00CB69E0" w:rsidRPr="00262457" w:rsidRDefault="00000000" w:rsidP="00262457">
                    <w:pPr>
                      <w:spacing w:line="480" w:lineRule="auto"/>
                      <w:jc w:val="right"/>
                      <w:rPr>
                        <w:sz w:val="28"/>
                        <w:szCs w:val="28"/>
                      </w:rPr>
                    </w:pPr>
                    <w:r w:rsidRPr="00262457">
                      <w:rPr>
                        <w:sz w:val="28"/>
                        <w:szCs w:val="28"/>
                      </w:rPr>
                      <w:t>20</w:t>
                    </w:r>
                  </w:p>
                </w:txbxContent>
              </v:textbox>
              <w10:wrap anchorx="margin" anchory="margin"/>
            </v:shape>
          </w:pict>
        </mc:Fallback>
      </mc:AlternateContent>
    </w:r>
    <w:r>
      <w:rPr>
        <w:noProof/>
        <w:sz w:val="18"/>
        <w:szCs w:val="18"/>
      </w:rPr>
      <mc:AlternateContent>
        <mc:Choice Requires="wps">
          <w:drawing>
            <wp:anchor distT="0" distB="0" distL="114300" distR="114300" simplePos="0" relativeHeight="251659264" behindDoc="0" locked="0" layoutInCell="1" allowOverlap="1" wp14:anchorId="29DF8603" wp14:editId="7F24E93E">
              <wp:simplePos x="0" y="0"/>
              <wp:positionH relativeFrom="margin">
                <wp:posOffset>5943600</wp:posOffset>
              </wp:positionH>
              <wp:positionV relativeFrom="page">
                <wp:posOffset>0</wp:posOffset>
              </wp:positionV>
              <wp:extent cx="0" cy="10058400"/>
              <wp:effectExtent l="9525" t="9525" r="9525" b="9525"/>
              <wp:wrapNone/>
              <wp:docPr id="4" name="Line 1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bodyPr/>
                  </wps:wsp>
                </a:graphicData>
              </a:graphic>
            </wp:anchor>
          </w:drawing>
        </mc:Choice>
        <mc:Fallback>
          <w:pict>
            <v:line w14:anchorId="15762701" id="Line 15" o:spid="_x0000_s1026" style="position:absolute;z-index:251659264;visibility:hidden;mso-wrap-style:square;mso-wrap-distance-left:9pt;mso-wrap-distance-top:0;mso-wrap-distance-right:9pt;mso-wrap-distance-bottom:0;mso-position-horizontal:absolute;mso-position-horizontal-relative:margin;mso-position-vertical:absolute;mso-position-vertical-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">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734D6" w14:textId="77777777" w:rsidR="00CB69E0" w:rsidRDefault="00000000">
    <w:pPr>
      <w:tabs>
        <w:tab w:val="right" w:pos="8910"/>
      </w:tabs>
      <w:spacing w:line="240" w:lineRule="auto"/>
      <w:ind w:right="14"/>
      <w:rPr>
        <w:sz w:val="18"/>
        <w:szCs w:val="18"/>
      </w:rPr>
    </w:pPr>
    <w:r>
      <w:rPr>
        <w:noProof/>
        <w:sz w:val="18"/>
        <w:szCs w:val="18"/>
      </w:rPr>
      <mc:AlternateContent>
        <mc:Choice Requires="wps">
          <w:drawing>
            <wp:anchor distT="0" distB="0" distL="114300" distR="114300" simplePos="0" relativeHeight="251660288" behindDoc="0" locked="0" layoutInCell="1" allowOverlap="1" wp14:anchorId="4614ECA7" wp14:editId="2BC7A9B2">
              <wp:simplePos x="0" y="0"/>
              <wp:positionH relativeFrom="margin">
                <wp:posOffset>-581025</wp:posOffset>
              </wp:positionH>
              <wp:positionV relativeFrom="margin">
                <wp:posOffset>0</wp:posOffset>
              </wp:positionV>
              <wp:extent cx="407670" cy="8334375"/>
              <wp:effectExtent l="0" t="0" r="0" b="952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 cy="8334375"/>
                      </a:xfrm>
                      <a:prstGeom prst="rect">
                        <a:avLst/>
                      </a:prstGeom>
                      <a:solidFill>
                        <a:srgbClr val="FFFFFF"/>
                      </a:solid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14:paraId="69AAD055" w14:textId="77777777" w:rsidR="00CB69E0" w:rsidRPr="00262457" w:rsidRDefault="00000000" w:rsidP="00262457">
                          <w:pPr>
                            <w:spacing w:line="480" w:lineRule="auto"/>
                            <w:jc w:val="right"/>
                            <w:rPr>
                              <w:sz w:val="28"/>
                              <w:szCs w:val="28"/>
                            </w:rPr>
                          </w:pPr>
                          <w:r w:rsidRPr="00262457">
                            <w:rPr>
                              <w:sz w:val="28"/>
                              <w:szCs w:val="28"/>
                            </w:rPr>
                            <w:t>1</w:t>
                          </w:r>
                        </w:p>
                        <w:p w14:paraId="59074D61" w14:textId="77777777" w:rsidR="00CB69E0" w:rsidRPr="00262457" w:rsidRDefault="00000000" w:rsidP="00262457">
                          <w:pPr>
                            <w:spacing w:line="480" w:lineRule="auto"/>
                            <w:jc w:val="right"/>
                            <w:rPr>
                              <w:sz w:val="28"/>
                              <w:szCs w:val="28"/>
                            </w:rPr>
                          </w:pPr>
                          <w:r w:rsidRPr="00262457">
                            <w:rPr>
                              <w:sz w:val="28"/>
                              <w:szCs w:val="28"/>
                            </w:rPr>
                            <w:t>2</w:t>
                          </w:r>
                        </w:p>
                        <w:p w14:paraId="08306FCA" w14:textId="77777777" w:rsidR="00CB69E0" w:rsidRPr="00262457" w:rsidRDefault="00000000" w:rsidP="00262457">
                          <w:pPr>
                            <w:spacing w:line="480" w:lineRule="auto"/>
                            <w:jc w:val="right"/>
                            <w:rPr>
                              <w:sz w:val="28"/>
                              <w:szCs w:val="28"/>
                            </w:rPr>
                          </w:pPr>
                          <w:r w:rsidRPr="00262457">
                            <w:rPr>
                              <w:sz w:val="28"/>
                              <w:szCs w:val="28"/>
                            </w:rPr>
                            <w:t>3</w:t>
                          </w:r>
                        </w:p>
                        <w:p w14:paraId="453D3AED" w14:textId="77777777" w:rsidR="00CB69E0" w:rsidRPr="00262457" w:rsidRDefault="00000000" w:rsidP="00262457">
                          <w:pPr>
                            <w:spacing w:line="480" w:lineRule="auto"/>
                            <w:jc w:val="right"/>
                            <w:rPr>
                              <w:sz w:val="28"/>
                              <w:szCs w:val="28"/>
                            </w:rPr>
                          </w:pPr>
                          <w:r w:rsidRPr="00262457">
                            <w:rPr>
                              <w:sz w:val="28"/>
                              <w:szCs w:val="28"/>
                            </w:rPr>
                            <w:t>4</w:t>
                          </w:r>
                        </w:p>
                        <w:p w14:paraId="590A65D2" w14:textId="77777777" w:rsidR="00CB69E0" w:rsidRPr="00262457" w:rsidRDefault="00000000" w:rsidP="00262457">
                          <w:pPr>
                            <w:spacing w:line="480" w:lineRule="auto"/>
                            <w:jc w:val="right"/>
                            <w:rPr>
                              <w:sz w:val="28"/>
                              <w:szCs w:val="28"/>
                            </w:rPr>
                          </w:pPr>
                          <w:r w:rsidRPr="00262457">
                            <w:rPr>
                              <w:sz w:val="28"/>
                              <w:szCs w:val="28"/>
                            </w:rPr>
                            <w:t>5</w:t>
                          </w:r>
                        </w:p>
                        <w:p w14:paraId="7EF10D51" w14:textId="77777777" w:rsidR="00CB69E0" w:rsidRPr="00262457" w:rsidRDefault="00000000" w:rsidP="00262457">
                          <w:pPr>
                            <w:spacing w:line="480" w:lineRule="auto"/>
                            <w:jc w:val="right"/>
                            <w:rPr>
                              <w:sz w:val="28"/>
                              <w:szCs w:val="28"/>
                            </w:rPr>
                          </w:pPr>
                          <w:r w:rsidRPr="00262457">
                            <w:rPr>
                              <w:sz w:val="28"/>
                              <w:szCs w:val="28"/>
                            </w:rPr>
                            <w:t>6</w:t>
                          </w:r>
                        </w:p>
                        <w:p w14:paraId="0098C913" w14:textId="77777777" w:rsidR="00CB69E0" w:rsidRPr="00262457" w:rsidRDefault="00000000" w:rsidP="00262457">
                          <w:pPr>
                            <w:spacing w:line="480" w:lineRule="auto"/>
                            <w:jc w:val="right"/>
                            <w:rPr>
                              <w:sz w:val="28"/>
                              <w:szCs w:val="28"/>
                            </w:rPr>
                          </w:pPr>
                          <w:r w:rsidRPr="00262457">
                            <w:rPr>
                              <w:sz w:val="28"/>
                              <w:szCs w:val="28"/>
                            </w:rPr>
                            <w:t>7</w:t>
                          </w:r>
                        </w:p>
                        <w:p w14:paraId="0066A011" w14:textId="77777777" w:rsidR="00CB69E0" w:rsidRPr="00262457" w:rsidRDefault="00000000" w:rsidP="00262457">
                          <w:pPr>
                            <w:spacing w:line="480" w:lineRule="auto"/>
                            <w:jc w:val="right"/>
                            <w:rPr>
                              <w:sz w:val="28"/>
                              <w:szCs w:val="28"/>
                            </w:rPr>
                          </w:pPr>
                          <w:r w:rsidRPr="00262457">
                            <w:rPr>
                              <w:sz w:val="28"/>
                              <w:szCs w:val="28"/>
                            </w:rPr>
                            <w:t>8</w:t>
                          </w:r>
                        </w:p>
                        <w:p w14:paraId="7C176E8F" w14:textId="77777777" w:rsidR="00CB69E0" w:rsidRPr="00262457" w:rsidRDefault="00000000" w:rsidP="00262457">
                          <w:pPr>
                            <w:spacing w:line="480" w:lineRule="auto"/>
                            <w:jc w:val="right"/>
                            <w:rPr>
                              <w:sz w:val="28"/>
                              <w:szCs w:val="28"/>
                            </w:rPr>
                          </w:pPr>
                          <w:r w:rsidRPr="00262457">
                            <w:rPr>
                              <w:sz w:val="28"/>
                              <w:szCs w:val="28"/>
                            </w:rPr>
                            <w:t>9</w:t>
                          </w:r>
                        </w:p>
                        <w:p w14:paraId="29F96D1B" w14:textId="77777777" w:rsidR="00CB69E0" w:rsidRPr="00262457" w:rsidRDefault="00000000" w:rsidP="00262457">
                          <w:pPr>
                            <w:spacing w:line="480" w:lineRule="auto"/>
                            <w:jc w:val="right"/>
                            <w:rPr>
                              <w:sz w:val="28"/>
                              <w:szCs w:val="28"/>
                            </w:rPr>
                          </w:pPr>
                          <w:r w:rsidRPr="00262457">
                            <w:rPr>
                              <w:sz w:val="28"/>
                              <w:szCs w:val="28"/>
                            </w:rPr>
                            <w:t>10</w:t>
                          </w:r>
                        </w:p>
                        <w:p w14:paraId="60DB6A44" w14:textId="77777777" w:rsidR="00CB69E0" w:rsidRPr="00262457" w:rsidRDefault="00000000" w:rsidP="00262457">
                          <w:pPr>
                            <w:spacing w:line="480" w:lineRule="auto"/>
                            <w:jc w:val="right"/>
                            <w:rPr>
                              <w:sz w:val="28"/>
                              <w:szCs w:val="28"/>
                            </w:rPr>
                          </w:pPr>
                          <w:r w:rsidRPr="00262457">
                            <w:rPr>
                              <w:sz w:val="28"/>
                              <w:szCs w:val="28"/>
                            </w:rPr>
                            <w:t>11</w:t>
                          </w:r>
                        </w:p>
                        <w:p w14:paraId="5C889B27" w14:textId="77777777" w:rsidR="00CB69E0" w:rsidRPr="00262457" w:rsidRDefault="00000000" w:rsidP="00262457">
                          <w:pPr>
                            <w:spacing w:line="480" w:lineRule="auto"/>
                            <w:jc w:val="right"/>
                            <w:rPr>
                              <w:sz w:val="28"/>
                              <w:szCs w:val="28"/>
                            </w:rPr>
                          </w:pPr>
                          <w:r w:rsidRPr="00262457">
                            <w:rPr>
                              <w:sz w:val="28"/>
                              <w:szCs w:val="28"/>
                            </w:rPr>
                            <w:t>12</w:t>
                          </w:r>
                        </w:p>
                        <w:p w14:paraId="7FB508F2" w14:textId="77777777" w:rsidR="00CB69E0" w:rsidRPr="00262457" w:rsidRDefault="00000000" w:rsidP="00262457">
                          <w:pPr>
                            <w:spacing w:line="480" w:lineRule="auto"/>
                            <w:jc w:val="right"/>
                            <w:rPr>
                              <w:sz w:val="28"/>
                              <w:szCs w:val="28"/>
                            </w:rPr>
                          </w:pPr>
                          <w:r w:rsidRPr="00262457">
                            <w:rPr>
                              <w:sz w:val="28"/>
                              <w:szCs w:val="28"/>
                            </w:rPr>
                            <w:t>13</w:t>
                          </w:r>
                        </w:p>
                        <w:p w14:paraId="5F252DB0" w14:textId="77777777" w:rsidR="00CB69E0" w:rsidRPr="00262457" w:rsidRDefault="00000000" w:rsidP="00262457">
                          <w:pPr>
                            <w:spacing w:line="480" w:lineRule="auto"/>
                            <w:jc w:val="right"/>
                            <w:rPr>
                              <w:sz w:val="28"/>
                              <w:szCs w:val="28"/>
                            </w:rPr>
                          </w:pPr>
                          <w:r w:rsidRPr="00262457">
                            <w:rPr>
                              <w:sz w:val="28"/>
                              <w:szCs w:val="28"/>
                            </w:rPr>
                            <w:t>14</w:t>
                          </w:r>
                        </w:p>
                        <w:p w14:paraId="3056A9DB" w14:textId="77777777" w:rsidR="00CB69E0" w:rsidRPr="00262457" w:rsidRDefault="00000000" w:rsidP="00262457">
                          <w:pPr>
                            <w:spacing w:line="480" w:lineRule="auto"/>
                            <w:jc w:val="right"/>
                            <w:rPr>
                              <w:sz w:val="28"/>
                              <w:szCs w:val="28"/>
                            </w:rPr>
                          </w:pPr>
                          <w:r w:rsidRPr="00262457">
                            <w:rPr>
                              <w:sz w:val="28"/>
                              <w:szCs w:val="28"/>
                            </w:rPr>
                            <w:t>15</w:t>
                          </w:r>
                        </w:p>
                        <w:p w14:paraId="07BF0623" w14:textId="77777777" w:rsidR="00CB69E0" w:rsidRPr="00262457" w:rsidRDefault="00000000" w:rsidP="00262457">
                          <w:pPr>
                            <w:spacing w:line="480" w:lineRule="auto"/>
                            <w:jc w:val="right"/>
                            <w:rPr>
                              <w:sz w:val="28"/>
                              <w:szCs w:val="28"/>
                            </w:rPr>
                          </w:pPr>
                          <w:r w:rsidRPr="00262457">
                            <w:rPr>
                              <w:sz w:val="28"/>
                              <w:szCs w:val="28"/>
                            </w:rPr>
                            <w:t>16</w:t>
                          </w:r>
                        </w:p>
                        <w:p w14:paraId="465B1C72" w14:textId="77777777" w:rsidR="00CB69E0" w:rsidRPr="00262457" w:rsidRDefault="00000000" w:rsidP="00262457">
                          <w:pPr>
                            <w:spacing w:line="480" w:lineRule="auto"/>
                            <w:jc w:val="right"/>
                            <w:rPr>
                              <w:sz w:val="28"/>
                              <w:szCs w:val="28"/>
                            </w:rPr>
                          </w:pPr>
                          <w:r w:rsidRPr="00262457">
                            <w:rPr>
                              <w:sz w:val="28"/>
                              <w:szCs w:val="28"/>
                            </w:rPr>
                            <w:t>17</w:t>
                          </w:r>
                        </w:p>
                        <w:p w14:paraId="305F0FF1" w14:textId="77777777" w:rsidR="00CB69E0" w:rsidRPr="00262457" w:rsidRDefault="00000000" w:rsidP="00262457">
                          <w:pPr>
                            <w:spacing w:line="480" w:lineRule="auto"/>
                            <w:jc w:val="right"/>
                            <w:rPr>
                              <w:sz w:val="28"/>
                              <w:szCs w:val="28"/>
                            </w:rPr>
                          </w:pPr>
                          <w:r w:rsidRPr="00262457">
                            <w:rPr>
                              <w:sz w:val="28"/>
                              <w:szCs w:val="28"/>
                            </w:rPr>
                            <w:t>18</w:t>
                          </w:r>
                        </w:p>
                        <w:p w14:paraId="49F351D0" w14:textId="77777777" w:rsidR="00CB69E0" w:rsidRPr="00262457" w:rsidRDefault="00000000" w:rsidP="00262457">
                          <w:pPr>
                            <w:spacing w:line="480" w:lineRule="auto"/>
                            <w:jc w:val="right"/>
                            <w:rPr>
                              <w:sz w:val="28"/>
                              <w:szCs w:val="28"/>
                            </w:rPr>
                          </w:pPr>
                          <w:r w:rsidRPr="00262457">
                            <w:rPr>
                              <w:sz w:val="28"/>
                              <w:szCs w:val="28"/>
                            </w:rPr>
                            <w:t>19</w:t>
                          </w:r>
                        </w:p>
                        <w:p w14:paraId="16967A6C" w14:textId="77777777" w:rsidR="00CB69E0" w:rsidRPr="00262457" w:rsidRDefault="00000000" w:rsidP="00262457">
                          <w:pPr>
                            <w:spacing w:line="480" w:lineRule="auto"/>
                            <w:jc w:val="right"/>
                            <w:rPr>
                              <w:sz w:val="28"/>
                              <w:szCs w:val="28"/>
                            </w:rPr>
                          </w:pPr>
                          <w:r w:rsidRPr="00262457">
                            <w:rPr>
                              <w:sz w:val="28"/>
                              <w:szCs w:val="28"/>
                            </w:rPr>
                            <w:t>20</w:t>
                          </w:r>
                        </w:p>
                      </w:txbxContent>
                    </wps:txbx>
                    <wps:bodyPr rot="0" vert="horz" wrap="square" lIns="0" tIns="0" rIns="0" bIns="0" anchor="t" anchorCtr="0">
                      <a:noAutofit/>
                    </wps:bodyPr>
                  </wps:wsp>
                </a:graphicData>
              </a:graphic>
            </wp:anchor>
          </w:drawing>
        </mc:Choice>
        <mc:Fallback>
          <w:pict>
            <v:shapetype w14:anchorId="4614ECA7" id="_x0000_t202" coordsize="21600,21600" o:spt="202" path="m,l,21600r21600,l21600,xe">
              <v:stroke joinstyle="miter"/>
              <v:path gradientshapeok="t" o:connecttype="rect"/>
            </v:shapetype>
            <v:shape id="Text Box 9" o:spid="_x0000_s1027" type="#_x0000_t202" style="position:absolute;margin-left:-45.75pt;margin-top:0;width:32.1pt;height:656.25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" stroked="f">
              <v:textbox inset="0,0,0,0">
                <w:txbxContent>
                  <w:p w14:paraId="69AAD055" w14:textId="77777777" w:rsidR="00CB69E0" w:rsidRPr="00262457" w:rsidRDefault="00000000" w:rsidP="00262457">
                    <w:pPr>
                      <w:spacing w:line="480" w:lineRule="auto"/>
                      <w:jc w:val="right"/>
                      <w:rPr>
                        <w:sz w:val="28"/>
                        <w:szCs w:val="28"/>
                      </w:rPr>
                    </w:pPr>
                    <w:r w:rsidRPr="00262457">
                      <w:rPr>
                        <w:sz w:val="28"/>
                        <w:szCs w:val="28"/>
                      </w:rPr>
                      <w:t>1</w:t>
                    </w:r>
                  </w:p>
                  <w:p w14:paraId="59074D61" w14:textId="77777777" w:rsidR="00CB69E0" w:rsidRPr="00262457" w:rsidRDefault="00000000" w:rsidP="00262457">
                    <w:pPr>
                      <w:spacing w:line="480" w:lineRule="auto"/>
                      <w:jc w:val="right"/>
                      <w:rPr>
                        <w:sz w:val="28"/>
                        <w:szCs w:val="28"/>
                      </w:rPr>
                    </w:pPr>
                    <w:r w:rsidRPr="00262457">
                      <w:rPr>
                        <w:sz w:val="28"/>
                        <w:szCs w:val="28"/>
                      </w:rPr>
                      <w:t>2</w:t>
                    </w:r>
                  </w:p>
                  <w:p w14:paraId="08306FCA" w14:textId="77777777" w:rsidR="00CB69E0" w:rsidRPr="00262457" w:rsidRDefault="00000000" w:rsidP="00262457">
                    <w:pPr>
                      <w:spacing w:line="480" w:lineRule="auto"/>
                      <w:jc w:val="right"/>
                      <w:rPr>
                        <w:sz w:val="28"/>
                        <w:szCs w:val="28"/>
                      </w:rPr>
                    </w:pPr>
                    <w:r w:rsidRPr="00262457">
                      <w:rPr>
                        <w:sz w:val="28"/>
                        <w:szCs w:val="28"/>
                      </w:rPr>
                      <w:t>3</w:t>
                    </w:r>
                  </w:p>
                  <w:p w14:paraId="453D3AED" w14:textId="77777777" w:rsidR="00CB69E0" w:rsidRPr="00262457" w:rsidRDefault="00000000" w:rsidP="00262457">
                    <w:pPr>
                      <w:spacing w:line="480" w:lineRule="auto"/>
                      <w:jc w:val="right"/>
                      <w:rPr>
                        <w:sz w:val="28"/>
                        <w:szCs w:val="28"/>
                      </w:rPr>
                    </w:pPr>
                    <w:r w:rsidRPr="00262457">
                      <w:rPr>
                        <w:sz w:val="28"/>
                        <w:szCs w:val="28"/>
                      </w:rPr>
                      <w:t>4</w:t>
                    </w:r>
                  </w:p>
                  <w:p w14:paraId="590A65D2" w14:textId="77777777" w:rsidR="00CB69E0" w:rsidRPr="00262457" w:rsidRDefault="00000000" w:rsidP="00262457">
                    <w:pPr>
                      <w:spacing w:line="480" w:lineRule="auto"/>
                      <w:jc w:val="right"/>
                      <w:rPr>
                        <w:sz w:val="28"/>
                        <w:szCs w:val="28"/>
                      </w:rPr>
                    </w:pPr>
                    <w:r w:rsidRPr="00262457">
                      <w:rPr>
                        <w:sz w:val="28"/>
                        <w:szCs w:val="28"/>
                      </w:rPr>
                      <w:t>5</w:t>
                    </w:r>
                  </w:p>
                  <w:p w14:paraId="7EF10D51" w14:textId="77777777" w:rsidR="00CB69E0" w:rsidRPr="00262457" w:rsidRDefault="00000000" w:rsidP="00262457">
                    <w:pPr>
                      <w:spacing w:line="480" w:lineRule="auto"/>
                      <w:jc w:val="right"/>
                      <w:rPr>
                        <w:sz w:val="28"/>
                        <w:szCs w:val="28"/>
                      </w:rPr>
                    </w:pPr>
                    <w:r w:rsidRPr="00262457">
                      <w:rPr>
                        <w:sz w:val="28"/>
                        <w:szCs w:val="28"/>
                      </w:rPr>
                      <w:t>6</w:t>
                    </w:r>
                  </w:p>
                  <w:p w14:paraId="0098C913" w14:textId="77777777" w:rsidR="00CB69E0" w:rsidRPr="00262457" w:rsidRDefault="00000000" w:rsidP="00262457">
                    <w:pPr>
                      <w:spacing w:line="480" w:lineRule="auto"/>
                      <w:jc w:val="right"/>
                      <w:rPr>
                        <w:sz w:val="28"/>
                        <w:szCs w:val="28"/>
                      </w:rPr>
                    </w:pPr>
                    <w:r w:rsidRPr="00262457">
                      <w:rPr>
                        <w:sz w:val="28"/>
                        <w:szCs w:val="28"/>
                      </w:rPr>
                      <w:t>7</w:t>
                    </w:r>
                  </w:p>
                  <w:p w14:paraId="0066A011" w14:textId="77777777" w:rsidR="00CB69E0" w:rsidRPr="00262457" w:rsidRDefault="00000000" w:rsidP="00262457">
                    <w:pPr>
                      <w:spacing w:line="480" w:lineRule="auto"/>
                      <w:jc w:val="right"/>
                      <w:rPr>
                        <w:sz w:val="28"/>
                        <w:szCs w:val="28"/>
                      </w:rPr>
                    </w:pPr>
                    <w:r w:rsidRPr="00262457">
                      <w:rPr>
                        <w:sz w:val="28"/>
                        <w:szCs w:val="28"/>
                      </w:rPr>
                      <w:t>8</w:t>
                    </w:r>
                  </w:p>
                  <w:p w14:paraId="7C176E8F" w14:textId="77777777" w:rsidR="00CB69E0" w:rsidRPr="00262457" w:rsidRDefault="00000000" w:rsidP="00262457">
                    <w:pPr>
                      <w:spacing w:line="480" w:lineRule="auto"/>
                      <w:jc w:val="right"/>
                      <w:rPr>
                        <w:sz w:val="28"/>
                        <w:szCs w:val="28"/>
                      </w:rPr>
                    </w:pPr>
                    <w:r w:rsidRPr="00262457">
                      <w:rPr>
                        <w:sz w:val="28"/>
                        <w:szCs w:val="28"/>
                      </w:rPr>
                      <w:t>9</w:t>
                    </w:r>
                  </w:p>
                  <w:p w14:paraId="29F96D1B" w14:textId="77777777" w:rsidR="00CB69E0" w:rsidRPr="00262457" w:rsidRDefault="00000000" w:rsidP="00262457">
                    <w:pPr>
                      <w:spacing w:line="480" w:lineRule="auto"/>
                      <w:jc w:val="right"/>
                      <w:rPr>
                        <w:sz w:val="28"/>
                        <w:szCs w:val="28"/>
                      </w:rPr>
                    </w:pPr>
                    <w:r w:rsidRPr="00262457">
                      <w:rPr>
                        <w:sz w:val="28"/>
                        <w:szCs w:val="28"/>
                      </w:rPr>
                      <w:t>10</w:t>
                    </w:r>
                  </w:p>
                  <w:p w14:paraId="60DB6A44" w14:textId="77777777" w:rsidR="00CB69E0" w:rsidRPr="00262457" w:rsidRDefault="00000000" w:rsidP="00262457">
                    <w:pPr>
                      <w:spacing w:line="480" w:lineRule="auto"/>
                      <w:jc w:val="right"/>
                      <w:rPr>
                        <w:sz w:val="28"/>
                        <w:szCs w:val="28"/>
                      </w:rPr>
                    </w:pPr>
                    <w:r w:rsidRPr="00262457">
                      <w:rPr>
                        <w:sz w:val="28"/>
                        <w:szCs w:val="28"/>
                      </w:rPr>
                      <w:t>11</w:t>
                    </w:r>
                  </w:p>
                  <w:p w14:paraId="5C889B27" w14:textId="77777777" w:rsidR="00CB69E0" w:rsidRPr="00262457" w:rsidRDefault="00000000" w:rsidP="00262457">
                    <w:pPr>
                      <w:spacing w:line="480" w:lineRule="auto"/>
                      <w:jc w:val="right"/>
                      <w:rPr>
                        <w:sz w:val="28"/>
                        <w:szCs w:val="28"/>
                      </w:rPr>
                    </w:pPr>
                    <w:r w:rsidRPr="00262457">
                      <w:rPr>
                        <w:sz w:val="28"/>
                        <w:szCs w:val="28"/>
                      </w:rPr>
                      <w:t>12</w:t>
                    </w:r>
                  </w:p>
                  <w:p w14:paraId="7FB508F2" w14:textId="77777777" w:rsidR="00CB69E0" w:rsidRPr="00262457" w:rsidRDefault="00000000" w:rsidP="00262457">
                    <w:pPr>
                      <w:spacing w:line="480" w:lineRule="auto"/>
                      <w:jc w:val="right"/>
                      <w:rPr>
                        <w:sz w:val="28"/>
                        <w:szCs w:val="28"/>
                      </w:rPr>
                    </w:pPr>
                    <w:r w:rsidRPr="00262457">
                      <w:rPr>
                        <w:sz w:val="28"/>
                        <w:szCs w:val="28"/>
                      </w:rPr>
                      <w:t>13</w:t>
                    </w:r>
                  </w:p>
                  <w:p w14:paraId="5F252DB0" w14:textId="77777777" w:rsidR="00CB69E0" w:rsidRPr="00262457" w:rsidRDefault="00000000" w:rsidP="00262457">
                    <w:pPr>
                      <w:spacing w:line="480" w:lineRule="auto"/>
                      <w:jc w:val="right"/>
                      <w:rPr>
                        <w:sz w:val="28"/>
                        <w:szCs w:val="28"/>
                      </w:rPr>
                    </w:pPr>
                    <w:r w:rsidRPr="00262457">
                      <w:rPr>
                        <w:sz w:val="28"/>
                        <w:szCs w:val="28"/>
                      </w:rPr>
                      <w:t>14</w:t>
                    </w:r>
                  </w:p>
                  <w:p w14:paraId="3056A9DB" w14:textId="77777777" w:rsidR="00CB69E0" w:rsidRPr="00262457" w:rsidRDefault="00000000" w:rsidP="00262457">
                    <w:pPr>
                      <w:spacing w:line="480" w:lineRule="auto"/>
                      <w:jc w:val="right"/>
                      <w:rPr>
                        <w:sz w:val="28"/>
                        <w:szCs w:val="28"/>
                      </w:rPr>
                    </w:pPr>
                    <w:r w:rsidRPr="00262457">
                      <w:rPr>
                        <w:sz w:val="28"/>
                        <w:szCs w:val="28"/>
                      </w:rPr>
                      <w:t>15</w:t>
                    </w:r>
                  </w:p>
                  <w:p w14:paraId="07BF0623" w14:textId="77777777" w:rsidR="00CB69E0" w:rsidRPr="00262457" w:rsidRDefault="00000000" w:rsidP="00262457">
                    <w:pPr>
                      <w:spacing w:line="480" w:lineRule="auto"/>
                      <w:jc w:val="right"/>
                      <w:rPr>
                        <w:sz w:val="28"/>
                        <w:szCs w:val="28"/>
                      </w:rPr>
                    </w:pPr>
                    <w:r w:rsidRPr="00262457">
                      <w:rPr>
                        <w:sz w:val="28"/>
                        <w:szCs w:val="28"/>
                      </w:rPr>
                      <w:t>16</w:t>
                    </w:r>
                  </w:p>
                  <w:p w14:paraId="465B1C72" w14:textId="77777777" w:rsidR="00CB69E0" w:rsidRPr="00262457" w:rsidRDefault="00000000" w:rsidP="00262457">
                    <w:pPr>
                      <w:spacing w:line="480" w:lineRule="auto"/>
                      <w:jc w:val="right"/>
                      <w:rPr>
                        <w:sz w:val="28"/>
                        <w:szCs w:val="28"/>
                      </w:rPr>
                    </w:pPr>
                    <w:r w:rsidRPr="00262457">
                      <w:rPr>
                        <w:sz w:val="28"/>
                        <w:szCs w:val="28"/>
                      </w:rPr>
                      <w:t>17</w:t>
                    </w:r>
                  </w:p>
                  <w:p w14:paraId="305F0FF1" w14:textId="77777777" w:rsidR="00CB69E0" w:rsidRPr="00262457" w:rsidRDefault="00000000" w:rsidP="00262457">
                    <w:pPr>
                      <w:spacing w:line="480" w:lineRule="auto"/>
                      <w:jc w:val="right"/>
                      <w:rPr>
                        <w:sz w:val="28"/>
                        <w:szCs w:val="28"/>
                      </w:rPr>
                    </w:pPr>
                    <w:r w:rsidRPr="00262457">
                      <w:rPr>
                        <w:sz w:val="28"/>
                        <w:szCs w:val="28"/>
                      </w:rPr>
                      <w:t>18</w:t>
                    </w:r>
                  </w:p>
                  <w:p w14:paraId="49F351D0" w14:textId="77777777" w:rsidR="00CB69E0" w:rsidRPr="00262457" w:rsidRDefault="00000000" w:rsidP="00262457">
                    <w:pPr>
                      <w:spacing w:line="480" w:lineRule="auto"/>
                      <w:jc w:val="right"/>
                      <w:rPr>
                        <w:sz w:val="28"/>
                        <w:szCs w:val="28"/>
                      </w:rPr>
                    </w:pPr>
                    <w:r w:rsidRPr="00262457">
                      <w:rPr>
                        <w:sz w:val="28"/>
                        <w:szCs w:val="28"/>
                      </w:rPr>
                      <w:t>19</w:t>
                    </w:r>
                  </w:p>
                  <w:p w14:paraId="16967A6C" w14:textId="77777777" w:rsidR="00CB69E0" w:rsidRPr="00262457" w:rsidRDefault="00000000" w:rsidP="00262457">
                    <w:pPr>
                      <w:spacing w:line="480" w:lineRule="auto"/>
                      <w:jc w:val="right"/>
                      <w:rPr>
                        <w:sz w:val="28"/>
                        <w:szCs w:val="28"/>
                      </w:rPr>
                    </w:pPr>
                    <w:r w:rsidRPr="00262457">
                      <w:rPr>
                        <w:sz w:val="28"/>
                        <w:szCs w:val="28"/>
                      </w:rPr>
                      <w:t>20</w:t>
                    </w:r>
                  </w:p>
                </w:txbxContent>
              </v:textbox>
              <w10:wrap anchorx="margin" anchory="margin"/>
            </v:shape>
          </w:pict>
        </mc:Fallback>
      </mc:AlternateContent>
    </w:r>
    <w:r>
      <w:rPr>
        <w:noProof/>
      </w:rPr>
      <mc:AlternateContent>
        <mc:Choice Requires="wps">
          <w:drawing>
            <wp:anchor distT="0" distB="0" distL="114300" distR="114300" simplePos="0" relativeHeight="251661312" behindDoc="0" locked="0" layoutInCell="1" allowOverlap="1" wp14:anchorId="25C5E224" wp14:editId="338135B4">
              <wp:simplePos x="0" y="0"/>
              <wp:positionH relativeFrom="margin">
                <wp:posOffset>-104775</wp:posOffset>
              </wp:positionH>
              <wp:positionV relativeFrom="page">
                <wp:posOffset>283845</wp:posOffset>
              </wp:positionV>
              <wp:extent cx="0" cy="10210800"/>
              <wp:effectExtent l="0" t="0" r="19050"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10800"/>
                      </a:xfrm>
                      <a:prstGeom prst="line">
                        <a:avLst/>
                      </a:prstGeom>
                      <a:noFill/>
                      <a:ln w="9525">
                        <a:solidFill>
                          <a:srgbClr val="000000"/>
                        </a:solidFill>
                        <a:round/>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bodyPr/>
                  </wps:wsp>
                </a:graphicData>
              </a:graphic>
            </wp:anchor>
          </w:drawing>
        </mc:Choice>
        <mc:Fallback>
          <w:pict>
            <v:line w14:anchorId="706B0054" id="Line 10"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page" from="-8.25pt,22.35pt" to="-8.25pt,8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">
              <w10:wrap anchorx="margin"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4D"/>
    <w:rsid w:val="00014E57"/>
    <w:rsid w:val="00017F37"/>
    <w:rsid w:val="00037046"/>
    <w:rsid w:val="00044789"/>
    <w:rsid w:val="00073C55"/>
    <w:rsid w:val="000952C2"/>
    <w:rsid w:val="001512BC"/>
    <w:rsid w:val="00153724"/>
    <w:rsid w:val="0018195D"/>
    <w:rsid w:val="00196ABD"/>
    <w:rsid w:val="001C103A"/>
    <w:rsid w:val="00206CBD"/>
    <w:rsid w:val="00250F9F"/>
    <w:rsid w:val="00253725"/>
    <w:rsid w:val="0029584D"/>
    <w:rsid w:val="002B5555"/>
    <w:rsid w:val="002F30D3"/>
    <w:rsid w:val="002F35A0"/>
    <w:rsid w:val="00361D19"/>
    <w:rsid w:val="00381A9E"/>
    <w:rsid w:val="003D760B"/>
    <w:rsid w:val="003F1D0B"/>
    <w:rsid w:val="00403B36"/>
    <w:rsid w:val="00433FB5"/>
    <w:rsid w:val="004408E3"/>
    <w:rsid w:val="00443748"/>
    <w:rsid w:val="00450265"/>
    <w:rsid w:val="004B11A3"/>
    <w:rsid w:val="00543A6C"/>
    <w:rsid w:val="005677B4"/>
    <w:rsid w:val="00575ACA"/>
    <w:rsid w:val="00576925"/>
    <w:rsid w:val="00581002"/>
    <w:rsid w:val="00597D89"/>
    <w:rsid w:val="005A2353"/>
    <w:rsid w:val="005B102A"/>
    <w:rsid w:val="005B6674"/>
    <w:rsid w:val="005C038D"/>
    <w:rsid w:val="005E5B6C"/>
    <w:rsid w:val="005F11F1"/>
    <w:rsid w:val="005F13A5"/>
    <w:rsid w:val="00646CD9"/>
    <w:rsid w:val="006814BF"/>
    <w:rsid w:val="00683488"/>
    <w:rsid w:val="00683692"/>
    <w:rsid w:val="00683C8D"/>
    <w:rsid w:val="006A3A23"/>
    <w:rsid w:val="006D30D8"/>
    <w:rsid w:val="007015B9"/>
    <w:rsid w:val="00702D37"/>
    <w:rsid w:val="00707275"/>
    <w:rsid w:val="0073272C"/>
    <w:rsid w:val="00775215"/>
    <w:rsid w:val="00793C50"/>
    <w:rsid w:val="007B6375"/>
    <w:rsid w:val="007D222B"/>
    <w:rsid w:val="007D4915"/>
    <w:rsid w:val="008159CE"/>
    <w:rsid w:val="00823610"/>
    <w:rsid w:val="00830B0B"/>
    <w:rsid w:val="0086562B"/>
    <w:rsid w:val="0088685D"/>
    <w:rsid w:val="008B2AD3"/>
    <w:rsid w:val="008E78BA"/>
    <w:rsid w:val="008F551E"/>
    <w:rsid w:val="00930FB1"/>
    <w:rsid w:val="009410BF"/>
    <w:rsid w:val="00991BE0"/>
    <w:rsid w:val="009D0135"/>
    <w:rsid w:val="00A910A6"/>
    <w:rsid w:val="00A92153"/>
    <w:rsid w:val="00AA21FB"/>
    <w:rsid w:val="00AA6491"/>
    <w:rsid w:val="00AB342A"/>
    <w:rsid w:val="00AC0DDB"/>
    <w:rsid w:val="00AE417A"/>
    <w:rsid w:val="00B0715C"/>
    <w:rsid w:val="00B82258"/>
    <w:rsid w:val="00B94AB7"/>
    <w:rsid w:val="00BD2F41"/>
    <w:rsid w:val="00BE6C4D"/>
    <w:rsid w:val="00C560CE"/>
    <w:rsid w:val="00C7768A"/>
    <w:rsid w:val="00C93C29"/>
    <w:rsid w:val="00C94939"/>
    <w:rsid w:val="00C97F01"/>
    <w:rsid w:val="00CA52AF"/>
    <w:rsid w:val="00CB69E0"/>
    <w:rsid w:val="00CC0BDF"/>
    <w:rsid w:val="00CF17AF"/>
    <w:rsid w:val="00D10460"/>
    <w:rsid w:val="00D2123C"/>
    <w:rsid w:val="00D34C73"/>
    <w:rsid w:val="00D76FB9"/>
    <w:rsid w:val="00D83816"/>
    <w:rsid w:val="00D936DC"/>
    <w:rsid w:val="00DB7D14"/>
    <w:rsid w:val="00E7770D"/>
    <w:rsid w:val="00EA7708"/>
    <w:rsid w:val="00F23E24"/>
    <w:rsid w:val="00F6249C"/>
    <w:rsid w:val="00F80D26"/>
    <w:rsid w:val="00F82519"/>
    <w:rsid w:val="00F872BA"/>
    <w:rsid w:val="00F90146"/>
    <w:rsid w:val="00FA190D"/>
    <w:rsid w:val="00FB3CEE"/>
    <w:rsid w:val="00FE6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ED40F"/>
  <w15:chartTrackingRefBased/>
  <w15:docId w15:val="{D5BFFD84-235D-4D51-A155-70037EC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C4D"/>
    <w:pPr>
      <w:spacing w:after="0" w:line="424" w:lineRule="exact"/>
    </w:pPr>
    <w:rPr>
      <w:rFonts w:ascii="Times New Roman" w:eastAsia="Times New Roman" w:hAnsi="Times New Roman" w:cs="Times New Roman"/>
      <w:kern w:val="0"/>
      <w:sz w:val="16"/>
      <w:szCs w:val="22"/>
      <w14:ligatures w14:val="none"/>
    </w:rPr>
  </w:style>
  <w:style w:type="paragraph" w:styleId="Heading1">
    <w:name w:val="heading 1"/>
    <w:basedOn w:val="Normal"/>
    <w:next w:val="Normal"/>
    <w:link w:val="Heading1Char"/>
    <w:uiPriority w:val="9"/>
    <w:qFormat/>
    <w:rsid w:val="00BE6C4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E6C4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E6C4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E6C4D"/>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E6C4D"/>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E6C4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E6C4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E6C4D"/>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E6C4D"/>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C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6C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6C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6C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6C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6C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C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C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C4D"/>
    <w:rPr>
      <w:rFonts w:eastAsiaTheme="majorEastAsia" w:cstheme="majorBidi"/>
      <w:color w:val="272727" w:themeColor="text1" w:themeTint="D8"/>
    </w:rPr>
  </w:style>
  <w:style w:type="paragraph" w:styleId="Title">
    <w:name w:val="Title"/>
    <w:basedOn w:val="Normal"/>
    <w:next w:val="Normal"/>
    <w:link w:val="TitleChar"/>
    <w:uiPriority w:val="10"/>
    <w:qFormat/>
    <w:rsid w:val="00BE6C4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6C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C4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E6C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C4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E6C4D"/>
    <w:rPr>
      <w:i/>
      <w:iCs/>
      <w:color w:val="404040" w:themeColor="text1" w:themeTint="BF"/>
    </w:rPr>
  </w:style>
  <w:style w:type="paragraph" w:styleId="ListParagraph">
    <w:name w:val="List Paragraph"/>
    <w:basedOn w:val="Normal"/>
    <w:uiPriority w:val="34"/>
    <w:qFormat/>
    <w:rsid w:val="00BE6C4D"/>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E6C4D"/>
    <w:rPr>
      <w:i/>
      <w:iCs/>
      <w:color w:val="2F5496" w:themeColor="accent1" w:themeShade="BF"/>
    </w:rPr>
  </w:style>
  <w:style w:type="paragraph" w:styleId="IntenseQuote">
    <w:name w:val="Intense Quote"/>
    <w:basedOn w:val="Normal"/>
    <w:next w:val="Normal"/>
    <w:link w:val="IntenseQuoteChar"/>
    <w:uiPriority w:val="30"/>
    <w:qFormat/>
    <w:rsid w:val="00BE6C4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E6C4D"/>
    <w:rPr>
      <w:i/>
      <w:iCs/>
      <w:color w:val="2F5496" w:themeColor="accent1" w:themeShade="BF"/>
    </w:rPr>
  </w:style>
  <w:style w:type="character" w:styleId="IntenseReference">
    <w:name w:val="Intense Reference"/>
    <w:basedOn w:val="DefaultParagraphFont"/>
    <w:uiPriority w:val="32"/>
    <w:qFormat/>
    <w:rsid w:val="00BE6C4D"/>
    <w:rPr>
      <w:b/>
      <w:bCs/>
      <w:smallCaps/>
      <w:color w:val="2F5496" w:themeColor="accent1" w:themeShade="BF"/>
      <w:spacing w:val="5"/>
    </w:rPr>
  </w:style>
  <w:style w:type="paragraph" w:styleId="Footer">
    <w:name w:val="footer"/>
    <w:basedOn w:val="Normal"/>
    <w:link w:val="FooterChar"/>
    <w:rsid w:val="00BE6C4D"/>
    <w:pPr>
      <w:tabs>
        <w:tab w:val="center" w:pos="4320"/>
        <w:tab w:val="right" w:pos="8640"/>
      </w:tabs>
    </w:pPr>
  </w:style>
  <w:style w:type="character" w:customStyle="1" w:styleId="FooterChar">
    <w:name w:val="Footer Char"/>
    <w:basedOn w:val="DefaultParagraphFont"/>
    <w:link w:val="Footer"/>
    <w:rsid w:val="00BE6C4D"/>
    <w:rPr>
      <w:rFonts w:ascii="Times New Roman" w:eastAsia="Times New Roman" w:hAnsi="Times New Roman" w:cs="Times New Roman"/>
      <w:kern w:val="0"/>
      <w:sz w:val="16"/>
      <w:szCs w:val="22"/>
      <w14:ligatures w14:val="none"/>
    </w:rPr>
  </w:style>
  <w:style w:type="character" w:styleId="Hyperlink">
    <w:name w:val="Hyperlink"/>
    <w:basedOn w:val="DefaultParagraphFont"/>
    <w:uiPriority w:val="99"/>
    <w:unhideWhenUsed/>
    <w:rsid w:val="00AE417A"/>
    <w:rPr>
      <w:color w:val="0563C1" w:themeColor="hyperlink"/>
      <w:u w:val="single"/>
    </w:rPr>
  </w:style>
  <w:style w:type="paragraph" w:styleId="FootnoteText">
    <w:name w:val="footnote text"/>
    <w:basedOn w:val="Normal"/>
    <w:link w:val="FootnoteTextChar"/>
    <w:uiPriority w:val="99"/>
    <w:semiHidden/>
    <w:unhideWhenUsed/>
    <w:rsid w:val="00AE417A"/>
    <w:pPr>
      <w:widowControl w:val="0"/>
      <w:spacing w:line="240" w:lineRule="auto"/>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AE417A"/>
    <w:rPr>
      <w:rFonts w:ascii="Times New Roman" w:hAnsi="Times New Roman"/>
      <w:kern w:val="0"/>
      <w:sz w:val="20"/>
      <w:szCs w:val="20"/>
      <w14:ligatures w14:val="none"/>
    </w:rPr>
  </w:style>
  <w:style w:type="character" w:styleId="FootnoteReference">
    <w:name w:val="footnote reference"/>
    <w:basedOn w:val="DefaultParagraphFont"/>
    <w:uiPriority w:val="99"/>
    <w:semiHidden/>
    <w:unhideWhenUsed/>
    <w:rsid w:val="00AE41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azcentral.com/story/opinion/op-ed/2024/07/02/arizona-supreme-court-chief-trust-judges/74268348007/" TargetMode="External"/><Relationship Id="rId3" Type="http://schemas.openxmlformats.org/officeDocument/2006/relationships/hyperlink" Target="https://www.azcjc.gov/Portals/0/Documents/pubs/2023_FillTheGap_Report_Final.pdf" TargetMode="External"/><Relationship Id="rId7" Type="http://schemas.openxmlformats.org/officeDocument/2006/relationships/hyperlink" Target="https://www.myazbar.org/AZAttorney/PDF_Articles/AZAT0601_UPL%20Challenges.pdf" TargetMode="External"/><Relationship Id="rId2" Type="http://schemas.openxmlformats.org/officeDocument/2006/relationships/hyperlink" Target="https://www.azcourts.gov/cld/Arizona-Lawyer-Apprentice-Program" TargetMode="External"/><Relationship Id="rId1" Type="http://schemas.openxmlformats.org/officeDocument/2006/relationships/hyperlink" Target="https://www.kjzz.org/kjzz-news/2025-03-03/arizona-supreme-court-still-looking-to-address-statewide-lawyer-shortages" TargetMode="External"/><Relationship Id="rId6" Type="http://schemas.openxmlformats.org/officeDocument/2006/relationships/hyperlink" Target="https://www.americanbar.org/news/profile-legal-profession/demographics" TargetMode="External"/><Relationship Id="rId5" Type="http://schemas.openxmlformats.org/officeDocument/2006/relationships/hyperlink" Target="https://justicegap.lsc.gov/resource/section-4-seeking-and-receiving-legal-help" TargetMode="External"/><Relationship Id="rId4" Type="http://schemas.openxmlformats.org/officeDocument/2006/relationships/hyperlink" Target="https://www.reuters.com/legal/transactional/prosecutors-wanted-district-attorneys-struggle-recruit-retain-lawyers-2022-04-12" TargetMode="External"/><Relationship Id="rId9" Type="http://schemas.openxmlformats.org/officeDocument/2006/relationships/hyperlink" Target="https://www.azcourts.gov/AZ-Courts/Strategic-Agen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754</Words>
  <Characters>4294</Characters>
  <Application>Microsoft Office Word</Application>
  <DocSecurity>0</DocSecurity>
  <Lines>93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Myles Braccio</dc:creator>
  <cp:keywords/>
  <dc:description/>
  <cp:lastModifiedBy>Susan Morgan</cp:lastModifiedBy>
  <cp:revision>3</cp:revision>
  <cp:lastPrinted>2026-04-10T17:24:00Z</cp:lastPrinted>
  <dcterms:created xsi:type="dcterms:W3CDTF">2026-04-10T17:56:00Z</dcterms:created>
  <dcterms:modified xsi:type="dcterms:W3CDTF">2026-04-30T00:37:00Z</dcterms:modified>
</cp:coreProperties>
</file>