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710E0D" w14:textId="77777777" w:rsidR="007E7706" w:rsidRDefault="007E7706" w:rsidP="007E7706">
      <w:pPr>
        <w:spacing w:line="240" w:lineRule="auto"/>
        <w:rPr>
          <w:szCs w:val="28"/>
        </w:rPr>
      </w:pPr>
      <w:r>
        <w:rPr>
          <w:szCs w:val="28"/>
        </w:rPr>
        <w:t xml:space="preserve">KRISTIN K. MAYES </w:t>
      </w:r>
    </w:p>
    <w:p w14:paraId="5D34C9DD" w14:textId="77777777" w:rsidR="007E7706" w:rsidRDefault="007E7706" w:rsidP="007E7706">
      <w:pPr>
        <w:spacing w:line="240" w:lineRule="auto"/>
        <w:rPr>
          <w:szCs w:val="28"/>
        </w:rPr>
      </w:pPr>
      <w:r>
        <w:rPr>
          <w:szCs w:val="28"/>
        </w:rPr>
        <w:t xml:space="preserve">Arizona Attorney General </w:t>
      </w:r>
    </w:p>
    <w:p w14:paraId="4D30FE9D" w14:textId="77777777" w:rsidR="007E7706" w:rsidRDefault="007E7706" w:rsidP="007E7706">
      <w:pPr>
        <w:spacing w:line="240" w:lineRule="auto"/>
        <w:rPr>
          <w:szCs w:val="28"/>
        </w:rPr>
      </w:pPr>
      <w:r>
        <w:rPr>
          <w:szCs w:val="28"/>
        </w:rPr>
        <w:t xml:space="preserve">(Firm State Bar No. </w:t>
      </w:r>
      <w:r w:rsidRPr="005C2B37">
        <w:rPr>
          <w:kern w:val="2"/>
          <w:szCs w:val="26"/>
        </w:rPr>
        <w:t>14000</w:t>
      </w:r>
      <w:r>
        <w:rPr>
          <w:kern w:val="2"/>
          <w:szCs w:val="26"/>
        </w:rPr>
        <w:t xml:space="preserve">) </w:t>
      </w:r>
    </w:p>
    <w:p w14:paraId="6BA4A7B2" w14:textId="77777777" w:rsidR="007E7706" w:rsidRDefault="007E7706" w:rsidP="007E7706">
      <w:pPr>
        <w:spacing w:line="240" w:lineRule="auto"/>
        <w:rPr>
          <w:szCs w:val="28"/>
        </w:rPr>
      </w:pPr>
    </w:p>
    <w:p w14:paraId="26C24FA0" w14:textId="77777777" w:rsidR="007E7706" w:rsidRPr="00845760" w:rsidRDefault="007E7706" w:rsidP="007E7706">
      <w:pPr>
        <w:spacing w:line="240" w:lineRule="auto"/>
        <w:rPr>
          <w:szCs w:val="28"/>
        </w:rPr>
      </w:pPr>
      <w:r w:rsidRPr="00845760">
        <w:rPr>
          <w:szCs w:val="28"/>
        </w:rPr>
        <w:t>Alice Jones</w:t>
      </w:r>
    </w:p>
    <w:p w14:paraId="07757FA0" w14:textId="77777777" w:rsidR="007E7706" w:rsidRPr="00845760" w:rsidRDefault="007E7706" w:rsidP="007E7706">
      <w:pPr>
        <w:spacing w:line="240" w:lineRule="auto"/>
        <w:rPr>
          <w:szCs w:val="28"/>
        </w:rPr>
      </w:pPr>
      <w:r w:rsidRPr="00845760">
        <w:rPr>
          <w:szCs w:val="28"/>
        </w:rPr>
        <w:t>State Bar No. 028062</w:t>
      </w:r>
    </w:p>
    <w:p w14:paraId="01599ACE" w14:textId="77777777" w:rsidR="00C111BE" w:rsidRDefault="007E7706" w:rsidP="00C111BE">
      <w:pPr>
        <w:spacing w:line="240" w:lineRule="auto"/>
        <w:rPr>
          <w:szCs w:val="28"/>
        </w:rPr>
      </w:pPr>
      <w:r w:rsidRPr="00845760">
        <w:rPr>
          <w:szCs w:val="28"/>
        </w:rPr>
        <w:t>Deputy Solicitor General/</w:t>
      </w:r>
    </w:p>
    <w:p w14:paraId="55A746EF" w14:textId="32585249" w:rsidR="00C111BE" w:rsidRPr="00C111BE" w:rsidRDefault="00C111BE" w:rsidP="00C111BE">
      <w:pPr>
        <w:spacing w:line="240" w:lineRule="auto"/>
        <w:rPr>
          <w:szCs w:val="28"/>
        </w:rPr>
      </w:pPr>
      <w:r w:rsidRPr="00E402CE">
        <w:rPr>
          <w:rFonts w:cs="Times New Roman"/>
          <w:bCs/>
        </w:rPr>
        <w:t>Section Chief of Criminal Appeals</w:t>
      </w:r>
    </w:p>
    <w:p w14:paraId="44145686" w14:textId="77777777" w:rsidR="007E7706" w:rsidRPr="00845760" w:rsidRDefault="007E7706" w:rsidP="007E7706">
      <w:pPr>
        <w:spacing w:line="240" w:lineRule="auto"/>
        <w:rPr>
          <w:szCs w:val="28"/>
        </w:rPr>
      </w:pPr>
      <w:r w:rsidRPr="00845760">
        <w:rPr>
          <w:szCs w:val="28"/>
        </w:rPr>
        <w:t xml:space="preserve">2005 North Central Avenue </w:t>
      </w:r>
    </w:p>
    <w:p w14:paraId="5B48228D" w14:textId="77777777" w:rsidR="007E7706" w:rsidRPr="00845760" w:rsidRDefault="007E7706" w:rsidP="007E7706">
      <w:pPr>
        <w:spacing w:line="240" w:lineRule="auto"/>
        <w:rPr>
          <w:szCs w:val="28"/>
        </w:rPr>
      </w:pPr>
      <w:r w:rsidRPr="00845760">
        <w:rPr>
          <w:szCs w:val="28"/>
        </w:rPr>
        <w:t xml:space="preserve">Phoenix, Arizona 85004 </w:t>
      </w:r>
    </w:p>
    <w:p w14:paraId="79626D2F" w14:textId="77777777" w:rsidR="007E7706" w:rsidRPr="00845760" w:rsidRDefault="007E7706" w:rsidP="007E7706">
      <w:pPr>
        <w:spacing w:line="240" w:lineRule="auto"/>
        <w:rPr>
          <w:kern w:val="2"/>
          <w:szCs w:val="26"/>
        </w:rPr>
      </w:pPr>
      <w:r w:rsidRPr="00845760">
        <w:rPr>
          <w:szCs w:val="28"/>
        </w:rPr>
        <w:t xml:space="preserve">Telephone: </w:t>
      </w:r>
      <w:r>
        <w:rPr>
          <w:kern w:val="2"/>
          <w:szCs w:val="26"/>
        </w:rPr>
        <w:t xml:space="preserve">(602) </w:t>
      </w:r>
      <w:r w:rsidRPr="00845760">
        <w:rPr>
          <w:kern w:val="2"/>
          <w:szCs w:val="26"/>
        </w:rPr>
        <w:t>542-8587</w:t>
      </w:r>
    </w:p>
    <w:p w14:paraId="5003AED7" w14:textId="77777777" w:rsidR="007E7706" w:rsidRPr="00DE29CC" w:rsidRDefault="007E7706" w:rsidP="007E7706">
      <w:pPr>
        <w:spacing w:line="240" w:lineRule="auto"/>
        <w:rPr>
          <w:kern w:val="2"/>
          <w:szCs w:val="26"/>
        </w:rPr>
      </w:pPr>
      <w:r w:rsidRPr="00845760">
        <w:rPr>
          <w:kern w:val="2"/>
          <w:szCs w:val="26"/>
        </w:rPr>
        <w:t>Alice.Jones@azag.gov</w:t>
      </w:r>
    </w:p>
    <w:p w14:paraId="3857573B" w14:textId="77777777" w:rsidR="007E7706" w:rsidRDefault="007E7706" w:rsidP="007E7706">
      <w:pPr>
        <w:spacing w:line="240" w:lineRule="auto"/>
        <w:rPr>
          <w:szCs w:val="28"/>
        </w:rPr>
      </w:pPr>
    </w:p>
    <w:p w14:paraId="09BA4635" w14:textId="77777777" w:rsidR="007E7706" w:rsidRPr="002A6F4E" w:rsidRDefault="007E7706" w:rsidP="007E7706">
      <w:pPr>
        <w:spacing w:line="200" w:lineRule="exact"/>
        <w:rPr>
          <w:szCs w:val="28"/>
        </w:rPr>
      </w:pPr>
    </w:p>
    <w:p w14:paraId="4A241594" w14:textId="77777777" w:rsidR="007E7706" w:rsidRPr="00ED67CE" w:rsidRDefault="007E7706" w:rsidP="007E7706">
      <w:pPr>
        <w:pStyle w:val="StyleCourtNameTitleTimesNewRoman14pt"/>
        <w:spacing w:after="120"/>
        <w:rPr>
          <w:rFonts w:ascii="Garamond" w:hAnsi="Garamond"/>
          <w:w w:val="101"/>
          <w:sz w:val="36"/>
          <w:szCs w:val="36"/>
        </w:rPr>
      </w:pPr>
      <w:r>
        <w:rPr>
          <w:rFonts w:ascii="Garamond" w:hAnsi="Garamond"/>
          <w:w w:val="101"/>
          <w:sz w:val="36"/>
          <w:szCs w:val="36"/>
        </w:rPr>
        <w:t>in the supreme court</w:t>
      </w:r>
    </w:p>
    <w:p w14:paraId="655C9CB0" w14:textId="77777777" w:rsidR="007E7706" w:rsidRPr="00ED67CE" w:rsidRDefault="007E7706" w:rsidP="007E7706">
      <w:pPr>
        <w:pStyle w:val="StyleCourtNameSubtitleTimesNewRoman14ptAfter18pt"/>
        <w:spacing w:after="240"/>
        <w:rPr>
          <w:rFonts w:ascii="Garamond" w:hAnsi="Garamond"/>
          <w:sz w:val="36"/>
          <w:szCs w:val="36"/>
        </w:rPr>
      </w:pPr>
      <w:r>
        <w:rPr>
          <w:rFonts w:ascii="Garamond" w:hAnsi="Garamond"/>
          <w:sz w:val="36"/>
          <w:szCs w:val="36"/>
        </w:rPr>
        <w:t>state of arizona</w:t>
      </w:r>
    </w:p>
    <w:tbl>
      <w:tblPr>
        <w:tblW w:w="9720" w:type="dxa"/>
        <w:tblInd w:w="120" w:type="dxa"/>
        <w:tblLayout w:type="fixed"/>
        <w:tblCellMar>
          <w:left w:w="120" w:type="dxa"/>
          <w:right w:w="120" w:type="dxa"/>
        </w:tblCellMar>
        <w:tblLook w:val="0000" w:firstRow="0" w:lastRow="0" w:firstColumn="0" w:lastColumn="0" w:noHBand="0" w:noVBand="0"/>
      </w:tblPr>
      <w:tblGrid>
        <w:gridCol w:w="4500"/>
        <w:gridCol w:w="5220"/>
      </w:tblGrid>
      <w:tr w:rsidR="007E7706" w:rsidRPr="00B04503" w14:paraId="44585038" w14:textId="77777777" w:rsidTr="006D0003">
        <w:trPr>
          <w:cantSplit/>
        </w:trPr>
        <w:tc>
          <w:tcPr>
            <w:tcW w:w="4500" w:type="dxa"/>
            <w:tcBorders>
              <w:bottom w:val="single" w:sz="6" w:space="0" w:color="auto"/>
              <w:right w:val="single" w:sz="6" w:space="0" w:color="auto"/>
            </w:tcBorders>
            <w:tcMar>
              <w:top w:w="260" w:type="dxa"/>
              <w:bottom w:w="260" w:type="dxa"/>
            </w:tcMar>
          </w:tcPr>
          <w:p w14:paraId="2CF4088B" w14:textId="77777777" w:rsidR="007E7706" w:rsidRDefault="007E7706" w:rsidP="006D0003">
            <w:pPr>
              <w:pStyle w:val="Caseinfo"/>
              <w:tabs>
                <w:tab w:val="clear" w:pos="3780"/>
                <w:tab w:val="left" w:pos="2310"/>
              </w:tabs>
              <w:spacing w:line="360" w:lineRule="auto"/>
              <w:rPr>
                <w:sz w:val="28"/>
                <w:szCs w:val="28"/>
              </w:rPr>
            </w:pPr>
            <w:r w:rsidRPr="00EC59FC">
              <w:rPr>
                <w:sz w:val="28"/>
                <w:szCs w:val="28"/>
              </w:rPr>
              <w:t>In the matter of:</w:t>
            </w:r>
          </w:p>
          <w:p w14:paraId="28F898F6" w14:textId="77777777" w:rsidR="007E7706" w:rsidRDefault="007E7706" w:rsidP="006D0003">
            <w:pPr>
              <w:pStyle w:val="Caseinfo"/>
              <w:tabs>
                <w:tab w:val="clear" w:pos="3780"/>
                <w:tab w:val="left" w:pos="2310"/>
              </w:tabs>
              <w:spacing w:line="360" w:lineRule="auto"/>
              <w:rPr>
                <w:sz w:val="28"/>
                <w:szCs w:val="28"/>
              </w:rPr>
            </w:pPr>
          </w:p>
          <w:p w14:paraId="6410CE63" w14:textId="77777777" w:rsidR="007E7706" w:rsidRPr="00EC59FC" w:rsidRDefault="007E7706" w:rsidP="006D0003">
            <w:pPr>
              <w:pStyle w:val="Caseinfo"/>
              <w:tabs>
                <w:tab w:val="clear" w:pos="3780"/>
                <w:tab w:val="left" w:pos="2310"/>
              </w:tabs>
              <w:spacing w:line="240" w:lineRule="auto"/>
              <w:jc w:val="both"/>
              <w:rPr>
                <w:sz w:val="28"/>
                <w:szCs w:val="28"/>
              </w:rPr>
            </w:pPr>
            <w:r w:rsidRPr="00EC59FC">
              <w:rPr>
                <w:sz w:val="28"/>
                <w:szCs w:val="28"/>
              </w:rPr>
              <w:t>PETITION TO AMEND RULE 111 OF THE RULES OF THE SUPREME COURT OF ARIZONA</w:t>
            </w:r>
          </w:p>
        </w:tc>
        <w:tc>
          <w:tcPr>
            <w:tcW w:w="5220" w:type="dxa"/>
            <w:tcBorders>
              <w:left w:val="single" w:sz="6" w:space="0" w:color="auto"/>
            </w:tcBorders>
            <w:tcMar>
              <w:top w:w="260" w:type="dxa"/>
              <w:bottom w:w="260" w:type="dxa"/>
            </w:tcMar>
          </w:tcPr>
          <w:p w14:paraId="73CA8E91" w14:textId="77777777" w:rsidR="007E7706" w:rsidRPr="00EC59FC" w:rsidRDefault="007E7706" w:rsidP="006D0003">
            <w:pPr>
              <w:pStyle w:val="Caseinfo"/>
              <w:spacing w:line="240" w:lineRule="auto"/>
              <w:ind w:left="288"/>
              <w:rPr>
                <w:rStyle w:val="FieldAllCaps"/>
                <w:caps w:val="0"/>
              </w:rPr>
            </w:pPr>
            <w:r>
              <w:rPr>
                <w:rStyle w:val="FieldAllCaps"/>
                <w:caps w:val="0"/>
              </w:rPr>
              <w:t>No. R-25-0060</w:t>
            </w:r>
          </w:p>
          <w:p w14:paraId="3CCC5261" w14:textId="77777777" w:rsidR="007E7706" w:rsidRDefault="007E7706" w:rsidP="006D0003">
            <w:pPr>
              <w:pStyle w:val="Brieftitle"/>
              <w:spacing w:before="120" w:after="0"/>
              <w:ind w:left="288"/>
              <w:rPr>
                <w:w w:val="98"/>
                <w:sz w:val="28"/>
                <w:szCs w:val="28"/>
              </w:rPr>
            </w:pPr>
            <w:bookmarkStart w:id="0" w:name="mot_name_state"/>
          </w:p>
          <w:bookmarkEnd w:id="0"/>
          <w:p w14:paraId="058116E7" w14:textId="77777777" w:rsidR="007E7706" w:rsidRPr="000A5CE1" w:rsidRDefault="007E7706" w:rsidP="00BE03AC">
            <w:pPr>
              <w:pStyle w:val="Brieftitle"/>
              <w:tabs>
                <w:tab w:val="left" w:pos="4531"/>
              </w:tabs>
              <w:spacing w:before="120" w:after="0"/>
              <w:ind w:left="288" w:right="360"/>
              <w:rPr>
                <w:w w:val="98"/>
                <w:sz w:val="28"/>
                <w:szCs w:val="28"/>
              </w:rPr>
            </w:pPr>
            <w:r>
              <w:rPr>
                <w:w w:val="98"/>
                <w:sz w:val="28"/>
                <w:szCs w:val="28"/>
              </w:rPr>
              <w:t>Comment IN SUPPORT OF petition to amend Rule 111 of the rules of the Supreme Court of Arizona</w:t>
            </w:r>
          </w:p>
        </w:tc>
      </w:tr>
      <w:tr w:rsidR="007E7706" w:rsidRPr="00B04503" w14:paraId="7A7422CD" w14:textId="77777777" w:rsidTr="006D0003">
        <w:trPr>
          <w:cantSplit/>
        </w:trPr>
        <w:tc>
          <w:tcPr>
            <w:tcW w:w="4500" w:type="dxa"/>
            <w:tcBorders>
              <w:top w:val="single" w:sz="6" w:space="0" w:color="auto"/>
            </w:tcBorders>
            <w:tcMar>
              <w:top w:w="0" w:type="dxa"/>
              <w:bottom w:w="0" w:type="dxa"/>
            </w:tcMar>
          </w:tcPr>
          <w:p w14:paraId="0B0A45F2" w14:textId="77777777" w:rsidR="007E7706" w:rsidRPr="00B04503" w:rsidRDefault="007E7706" w:rsidP="006D0003">
            <w:pPr>
              <w:pStyle w:val="Zbasefontbody"/>
            </w:pPr>
          </w:p>
        </w:tc>
        <w:tc>
          <w:tcPr>
            <w:tcW w:w="5220" w:type="dxa"/>
            <w:tcMar>
              <w:top w:w="0" w:type="dxa"/>
              <w:bottom w:w="0" w:type="dxa"/>
            </w:tcMar>
          </w:tcPr>
          <w:p w14:paraId="242A00F9" w14:textId="77777777" w:rsidR="007E7706" w:rsidRPr="00B04503" w:rsidRDefault="007E7706" w:rsidP="006D0003">
            <w:pPr>
              <w:pStyle w:val="Zbasefontbody"/>
            </w:pPr>
          </w:p>
        </w:tc>
      </w:tr>
    </w:tbl>
    <w:p w14:paraId="1E57DA8D" w14:textId="116B1BB2" w:rsidR="007E7706" w:rsidRDefault="00BE03AC" w:rsidP="007E7706">
      <w:pPr>
        <w:tabs>
          <w:tab w:val="left" w:pos="820"/>
        </w:tabs>
        <w:jc w:val="both"/>
        <w:rPr>
          <w:rFonts w:cs="Times New Roman"/>
        </w:rPr>
      </w:pPr>
      <w:r>
        <w:rPr>
          <w:rFonts w:cs="Times New Roman"/>
        </w:rPr>
        <w:tab/>
      </w:r>
      <w:r w:rsidR="007E7706">
        <w:rPr>
          <w:rFonts w:cs="Times New Roman"/>
        </w:rPr>
        <w:t xml:space="preserve">The Arizona Attorney General’s Office supports the petition to amend Rule 111 of the Arizona Rules of the Supreme Court to permit this Court to designate that a memorandum decision cannot </w:t>
      </w:r>
      <w:r w:rsidR="00770C60">
        <w:rPr>
          <w:rFonts w:cs="Times New Roman"/>
        </w:rPr>
        <w:t xml:space="preserve">be </w:t>
      </w:r>
      <w:r w:rsidR="007E7706">
        <w:rPr>
          <w:rFonts w:cs="Times New Roman"/>
        </w:rPr>
        <w:t xml:space="preserve">cited for persuasive authority.  Although memorandum decisions do not carry the weight of authority that opinions do, memorandum decisions may be—and frequently are—cited for persuasive value.  Further, most appeals are decided by memorandum decisions, and few such decisions are reviewed by this Court.  Rule 111 already provides this Court the power </w:t>
      </w:r>
      <w:r w:rsidR="007E7706">
        <w:rPr>
          <w:rFonts w:cs="Times New Roman"/>
        </w:rPr>
        <w:lastRenderedPageBreak/>
        <w:t xml:space="preserve">to designate that a particular published opinion cannot be cited for persuasive authority once </w:t>
      </w:r>
      <w:proofErr w:type="spellStart"/>
      <w:r w:rsidR="007E7706">
        <w:rPr>
          <w:rFonts w:cs="Times New Roman"/>
        </w:rPr>
        <w:t>depublished</w:t>
      </w:r>
      <w:proofErr w:type="spellEnd"/>
      <w:r w:rsidR="007E7706">
        <w:rPr>
          <w:rFonts w:cs="Times New Roman"/>
        </w:rPr>
        <w:t>—the rule should fill a currently existing gap and provide the Court the same power in relation to decisions that were never published in the first place.</w:t>
      </w:r>
    </w:p>
    <w:p w14:paraId="2B681DA1" w14:textId="0A567ECA" w:rsidR="007E7706" w:rsidRPr="00315347" w:rsidRDefault="007E7706" w:rsidP="007E7706">
      <w:pPr>
        <w:tabs>
          <w:tab w:val="left" w:pos="820"/>
        </w:tabs>
        <w:jc w:val="both"/>
        <w:rPr>
          <w:szCs w:val="28"/>
        </w:rPr>
      </w:pPr>
      <w:r>
        <w:rPr>
          <w:rFonts w:cs="Times New Roman"/>
        </w:rPr>
        <w:tab/>
      </w:r>
      <w:r w:rsidRPr="009F4AA3">
        <w:rPr>
          <w:rFonts w:cs="Times New Roman"/>
        </w:rPr>
        <w:t>The</w:t>
      </w:r>
      <w:r>
        <w:rPr>
          <w:rFonts w:cs="Times New Roman"/>
        </w:rPr>
        <w:t xml:space="preserve"> vast majority of appeals are resolved by memorandum decisions.  In 2025, Division One issued 806 memorandum decisions and only 77 opinions.  </w:t>
      </w:r>
      <w:hyperlink r:id="rId8" w:history="1">
        <w:r w:rsidRPr="00573CD7">
          <w:rPr>
            <w:rStyle w:val="Hyperlink"/>
            <w:rFonts w:cs="Times New Roman"/>
            <w:i/>
            <w:u w:val="none"/>
          </w:rPr>
          <w:t>Arizona Court of Appeals</w:t>
        </w:r>
        <w:r w:rsidRPr="00573CD7">
          <w:rPr>
            <w:rStyle w:val="Hyperlink"/>
            <w:rFonts w:cs="Times New Roman"/>
            <w:i/>
            <w:u w:val="none"/>
          </w:rPr>
          <w:t xml:space="preserve"> </w:t>
        </w:r>
        <w:r w:rsidRPr="00573CD7">
          <w:rPr>
            <w:rStyle w:val="Hyperlink"/>
            <w:rFonts w:cs="Times New Roman"/>
            <w:i/>
            <w:u w:val="none"/>
          </w:rPr>
          <w:t>Divisio</w:t>
        </w:r>
        <w:r w:rsidRPr="00573CD7">
          <w:rPr>
            <w:rStyle w:val="Hyperlink"/>
            <w:rFonts w:cs="Times New Roman"/>
            <w:i/>
            <w:u w:val="none"/>
          </w:rPr>
          <w:t>n</w:t>
        </w:r>
        <w:r w:rsidRPr="00573CD7">
          <w:rPr>
            <w:rStyle w:val="Hyperlink"/>
            <w:rFonts w:cs="Times New Roman"/>
            <w:i/>
            <w:u w:val="none"/>
          </w:rPr>
          <w:t xml:space="preserve"> One 2025: Th</w:t>
        </w:r>
        <w:r w:rsidRPr="00573CD7">
          <w:rPr>
            <w:rStyle w:val="Hyperlink"/>
            <w:rFonts w:cs="Times New Roman"/>
            <w:i/>
            <w:u w:val="none"/>
          </w:rPr>
          <w:t>e</w:t>
        </w:r>
        <w:r w:rsidRPr="00573CD7">
          <w:rPr>
            <w:rStyle w:val="Hyperlink"/>
            <w:rFonts w:cs="Times New Roman"/>
            <w:i/>
            <w:u w:val="none"/>
          </w:rPr>
          <w:t xml:space="preserve"> Year in Review</w:t>
        </w:r>
      </w:hyperlink>
      <w:r>
        <w:rPr>
          <w:rFonts w:cs="Times New Roman"/>
        </w:rPr>
        <w:t xml:space="preserve"> (“</w:t>
      </w:r>
      <w:r w:rsidRPr="00AC310A">
        <w:rPr>
          <w:rFonts w:cs="Times New Roman"/>
          <w:i/>
        </w:rPr>
        <w:t>Division One</w:t>
      </w:r>
      <w:r>
        <w:rPr>
          <w:rFonts w:cs="Times New Roman"/>
          <w:i/>
        </w:rPr>
        <w:t xml:space="preserve"> 2025 Review</w:t>
      </w:r>
      <w:r>
        <w:rPr>
          <w:rFonts w:cs="Times New Roman"/>
        </w:rPr>
        <w:t xml:space="preserve">”) at 16.  Although it does not appear Division Two publishes similar statistics, </w:t>
      </w:r>
      <w:r>
        <w:rPr>
          <w:szCs w:val="28"/>
        </w:rPr>
        <w:t>according to a Westlaw search of Division Two cases for the 2025 calendar year, Division Two issued 41 opinions and 422 memorandum decisions.  Thus, for both Divisions, over 90 percent of appeals are decided in a memorandum decision.</w:t>
      </w:r>
    </w:p>
    <w:p w14:paraId="54456B20" w14:textId="77777777" w:rsidR="007E7706" w:rsidRDefault="007E7706" w:rsidP="007E7706">
      <w:pPr>
        <w:tabs>
          <w:tab w:val="left" w:pos="820"/>
        </w:tabs>
        <w:jc w:val="both"/>
      </w:pPr>
      <w:r>
        <w:rPr>
          <w:rFonts w:cs="Times New Roman"/>
        </w:rPr>
        <w:tab/>
        <w:t xml:space="preserve">According to Division One, memorandum decisions and opinions undergo a different drafting process.  </w:t>
      </w:r>
      <w:hyperlink r:id="rId9" w:history="1">
        <w:r w:rsidRPr="008B3216">
          <w:rPr>
            <w:rStyle w:val="Hyperlink"/>
            <w:rFonts w:cs="Times New Roman"/>
            <w:i/>
            <w:u w:val="none"/>
          </w:rPr>
          <w:t>Division One 2</w:t>
        </w:r>
        <w:r w:rsidRPr="008B3216">
          <w:rPr>
            <w:rStyle w:val="Hyperlink"/>
            <w:rFonts w:cs="Times New Roman"/>
            <w:i/>
            <w:u w:val="none"/>
          </w:rPr>
          <w:t>0</w:t>
        </w:r>
        <w:r w:rsidRPr="008B3216">
          <w:rPr>
            <w:rStyle w:val="Hyperlink"/>
            <w:rFonts w:cs="Times New Roman"/>
            <w:i/>
            <w:u w:val="none"/>
          </w:rPr>
          <w:t>25 Review</w:t>
        </w:r>
      </w:hyperlink>
      <w:r>
        <w:rPr>
          <w:rFonts w:cs="Times New Roman"/>
        </w:rPr>
        <w:t xml:space="preserve"> at 9–10.  For example, published </w:t>
      </w:r>
      <w:r w:rsidRPr="001C22D3">
        <w:rPr>
          <w:rFonts w:cs="Times New Roman"/>
        </w:rPr>
        <w:t>opinions “</w:t>
      </w:r>
      <w:proofErr w:type="gramStart"/>
      <w:r w:rsidRPr="001C22D3">
        <w:rPr>
          <w:rFonts w:cs="Times New Roman"/>
        </w:rPr>
        <w:t>contain[</w:t>
      </w:r>
      <w:proofErr w:type="gramEnd"/>
      <w:r w:rsidRPr="001C22D3">
        <w:rPr>
          <w:rFonts w:cs="Times New Roman"/>
        </w:rPr>
        <w:t>] more extensive reasoning and analysis, with care to avoid  l</w:t>
      </w:r>
      <w:r w:rsidRPr="001C22D3">
        <w:t xml:space="preserve">anguage or reasoning potentially leading to unintended consequences in future appeals,” and opinion drafts </w:t>
      </w:r>
      <w:r w:rsidRPr="001C22D3">
        <w:rPr>
          <w:rFonts w:cs="Times New Roman"/>
        </w:rPr>
        <w:t xml:space="preserve">are circulated for comment to all judges in Division One.  </w:t>
      </w:r>
      <w:hyperlink r:id="rId10" w:history="1">
        <w:r w:rsidRPr="001C22D3">
          <w:rPr>
            <w:rStyle w:val="Hyperlink"/>
            <w:rFonts w:cs="Times New Roman"/>
            <w:i/>
            <w:u w:val="none"/>
          </w:rPr>
          <w:t>I</w:t>
        </w:r>
        <w:r w:rsidRPr="001C22D3">
          <w:rPr>
            <w:rStyle w:val="Hyperlink"/>
            <w:rFonts w:cs="Times New Roman"/>
            <w:i/>
            <w:u w:val="none"/>
          </w:rPr>
          <w:t>d</w:t>
        </w:r>
        <w:r w:rsidRPr="001C22D3">
          <w:rPr>
            <w:rStyle w:val="Hyperlink"/>
            <w:rFonts w:cs="Times New Roman"/>
            <w:i/>
            <w:u w:val="none"/>
          </w:rPr>
          <w:t>.</w:t>
        </w:r>
      </w:hyperlink>
      <w:r w:rsidRPr="001C22D3">
        <w:rPr>
          <w:rFonts w:cs="Times New Roman"/>
        </w:rPr>
        <w:t xml:space="preserve"> at 10.  In contrast, memorandum decisions “generally take less time to issue” and are not subject to review “by judges other than the panel members.” </w:t>
      </w:r>
      <w:hyperlink r:id="rId11" w:history="1">
        <w:r w:rsidRPr="001C22D3">
          <w:rPr>
            <w:rStyle w:val="Hyperlink"/>
            <w:rFonts w:cs="Times New Roman"/>
            <w:u w:val="none"/>
          </w:rPr>
          <w:t xml:space="preserve"> </w:t>
        </w:r>
        <w:r w:rsidRPr="001C22D3">
          <w:rPr>
            <w:rStyle w:val="Hyperlink"/>
            <w:rFonts w:cs="Times New Roman"/>
            <w:i/>
            <w:u w:val="none"/>
          </w:rPr>
          <w:t>I</w:t>
        </w:r>
        <w:r w:rsidRPr="001C22D3">
          <w:rPr>
            <w:rStyle w:val="Hyperlink"/>
            <w:rFonts w:cs="Times New Roman"/>
            <w:i/>
            <w:u w:val="none"/>
          </w:rPr>
          <w:t>d.</w:t>
        </w:r>
      </w:hyperlink>
      <w:r w:rsidRPr="001C22D3">
        <w:t xml:space="preserve"> at 9.  </w:t>
      </w:r>
      <w:r>
        <w:t xml:space="preserve"> </w:t>
      </w:r>
    </w:p>
    <w:p w14:paraId="062B88F7" w14:textId="7F5DA03A" w:rsidR="007E7706" w:rsidRPr="008D33BA" w:rsidRDefault="007E7706" w:rsidP="007E7706">
      <w:pPr>
        <w:tabs>
          <w:tab w:val="left" w:pos="820"/>
        </w:tabs>
        <w:jc w:val="both"/>
      </w:pPr>
      <w:r>
        <w:t xml:space="preserve"> </w:t>
      </w:r>
      <w:r>
        <w:tab/>
        <w:t xml:space="preserve">Meanwhile, memorandum decisions are unlikely to meet this Court’s criteria </w:t>
      </w:r>
      <w:r>
        <w:lastRenderedPageBreak/>
        <w:t>for granting review,</w:t>
      </w:r>
      <w:r w:rsidRPr="008D33BA">
        <w:t xml:space="preserve"> </w:t>
      </w:r>
      <w:r>
        <w:t xml:space="preserve">particularly if the </w:t>
      </w:r>
      <w:r w:rsidRPr="00770C60">
        <w:t xml:space="preserve">outcome is correct notwithstanding any error in the reasoning of the decision.   </w:t>
      </w:r>
      <w:r w:rsidRPr="00770C60">
        <w:rPr>
          <w:i/>
        </w:rPr>
        <w:t>See, e.g.</w:t>
      </w:r>
      <w:r w:rsidRPr="00770C60">
        <w:t>,</w:t>
      </w:r>
      <w:r w:rsidRPr="00770C60">
        <w:rPr>
          <w:i/>
        </w:rPr>
        <w:t xml:space="preserve"> </w:t>
      </w:r>
      <w:hyperlink r:id="rId12" w:history="1">
        <w:r w:rsidRPr="00770C60">
          <w:rPr>
            <w:rStyle w:val="Hyperlink"/>
            <w:u w:val="none"/>
          </w:rPr>
          <w:t>Ariz. R. Crim. P. 31.21(d)</w:t>
        </w:r>
      </w:hyperlink>
      <w:r w:rsidRPr="00770C60">
        <w:t xml:space="preserve"> (providing list of potential reasons this Court would grant review); </w:t>
      </w:r>
      <w:hyperlink r:id="rId13" w:history="1">
        <w:r w:rsidRPr="00770C60">
          <w:rPr>
            <w:rStyle w:val="Hyperlink"/>
            <w:u w:val="none"/>
          </w:rPr>
          <w:t>ARCA</w:t>
        </w:r>
        <w:r w:rsidRPr="00770C60">
          <w:rPr>
            <w:rStyle w:val="Hyperlink"/>
            <w:u w:val="none"/>
          </w:rPr>
          <w:t>P</w:t>
        </w:r>
        <w:r w:rsidRPr="00770C60">
          <w:rPr>
            <w:rStyle w:val="Hyperlink"/>
            <w:u w:val="none"/>
          </w:rPr>
          <w:t xml:space="preserve"> 23(d)</w:t>
        </w:r>
      </w:hyperlink>
      <w:r w:rsidRPr="00770C60">
        <w:t xml:space="preserve"> (same).  The court of appeals issues memorandum decisions precisely because the</w:t>
      </w:r>
      <w:r>
        <w:t xml:space="preserve"> court is not intending to create new law and instead apply settled law to a specific set of facts.  </w:t>
      </w:r>
      <w:r w:rsidRPr="00770C60">
        <w:rPr>
          <w:i/>
        </w:rPr>
        <w:t>See</w:t>
      </w:r>
      <w:r w:rsidRPr="00770C60">
        <w:t xml:space="preserve"> </w:t>
      </w:r>
      <w:hyperlink r:id="rId14" w:history="1">
        <w:r w:rsidRPr="00770C60">
          <w:rPr>
            <w:rStyle w:val="Hyperlink"/>
            <w:u w:val="none"/>
          </w:rPr>
          <w:t>Ariz. R. Sup. Ct. 111(b)</w:t>
        </w:r>
      </w:hyperlink>
      <w:r w:rsidRPr="00770C60">
        <w:t xml:space="preserve"> (setting</w:t>
      </w:r>
      <w:r>
        <w:t xml:space="preserve"> forth when an appeal should be decided by an opinion).  Yet if </w:t>
      </w:r>
      <w:r w:rsidR="005A1443">
        <w:t>a</w:t>
      </w:r>
      <w:r>
        <w:t xml:space="preserve"> memorandum decision contains language with which this Court disagrees or which might be in tension with prior case law, this Court cannot disapprove of it unless it grants review, creating an odd situation where there is more incentive to grant review of certain memorandum decisions than similar opinions (which can be </w:t>
      </w:r>
      <w:proofErr w:type="spellStart"/>
      <w:r>
        <w:t>depublished</w:t>
      </w:r>
      <w:proofErr w:type="spellEnd"/>
      <w:r>
        <w:t xml:space="preserve"> under the current rule).  </w:t>
      </w:r>
    </w:p>
    <w:p w14:paraId="4F321324" w14:textId="34B3003F" w:rsidR="007E7706" w:rsidRPr="00315347" w:rsidRDefault="007E7706" w:rsidP="007E7706">
      <w:pPr>
        <w:tabs>
          <w:tab w:val="left" w:pos="820"/>
        </w:tabs>
        <w:jc w:val="both"/>
      </w:pPr>
      <w:r>
        <w:tab/>
        <w:t xml:space="preserve">The Attorney General’s Office does not anticipate it will be a common practice for this Court to deem a memorandum decision not </w:t>
      </w:r>
      <w:r w:rsidR="00770C60">
        <w:t>citable</w:t>
      </w:r>
      <w:r>
        <w:t>.  For example, in 2025, parties filed 410 petitions for review of Division One appeals.</w:t>
      </w:r>
      <w:r w:rsidRPr="008B3216">
        <w:rPr>
          <w:rFonts w:cs="Times New Roman"/>
          <w:i/>
        </w:rPr>
        <w:t xml:space="preserve"> </w:t>
      </w:r>
      <w:r>
        <w:rPr>
          <w:rFonts w:cs="Times New Roman"/>
          <w:i/>
        </w:rPr>
        <w:t xml:space="preserve"> </w:t>
      </w:r>
      <w:hyperlink r:id="rId15" w:history="1">
        <w:r w:rsidRPr="008B3216">
          <w:rPr>
            <w:rStyle w:val="Hyperlink"/>
            <w:rFonts w:cs="Times New Roman"/>
            <w:i/>
            <w:u w:val="none"/>
          </w:rPr>
          <w:t>Division One 2025 Review</w:t>
        </w:r>
      </w:hyperlink>
      <w:r>
        <w:rPr>
          <w:rFonts w:cs="Times New Roman"/>
          <w:i/>
        </w:rPr>
        <w:t xml:space="preserve"> </w:t>
      </w:r>
      <w:r>
        <w:rPr>
          <w:rFonts w:cs="Times New Roman"/>
        </w:rPr>
        <w:t xml:space="preserve">at 17.  This Court granted review in 42 of those cases, and </w:t>
      </w:r>
      <w:proofErr w:type="spellStart"/>
      <w:r>
        <w:rPr>
          <w:rFonts w:cs="Times New Roman"/>
        </w:rPr>
        <w:t>depublished</w:t>
      </w:r>
      <w:proofErr w:type="spellEnd"/>
      <w:r>
        <w:rPr>
          <w:rFonts w:cs="Times New Roman"/>
        </w:rPr>
        <w:t xml:space="preserve"> only three opinions.  </w:t>
      </w:r>
      <w:hyperlink r:id="rId16" w:history="1">
        <w:r w:rsidRPr="008B3216">
          <w:rPr>
            <w:rStyle w:val="Hyperlink"/>
            <w:rFonts w:cs="Times New Roman"/>
            <w:i/>
            <w:u w:val="none"/>
          </w:rPr>
          <w:t>Division One 2025 Review</w:t>
        </w:r>
      </w:hyperlink>
      <w:r>
        <w:rPr>
          <w:rFonts w:cs="Times New Roman"/>
        </w:rPr>
        <w:t xml:space="preserve"> at 17.   But in those rare few appeals, this Court should be able to treat memorandum decisions the same way it treats opinions.  </w:t>
      </w:r>
    </w:p>
    <w:p w14:paraId="4F153ABF" w14:textId="77777777" w:rsidR="007E7706" w:rsidRPr="00634B83" w:rsidRDefault="007E7706" w:rsidP="007E7706">
      <w:pPr>
        <w:tabs>
          <w:tab w:val="left" w:pos="820"/>
        </w:tabs>
        <w:jc w:val="both"/>
        <w:rPr>
          <w:rFonts w:cs="Times New Roman"/>
        </w:rPr>
      </w:pPr>
      <w:r>
        <w:rPr>
          <w:rFonts w:cs="Times New Roman"/>
        </w:rPr>
        <w:tab/>
        <w:t xml:space="preserve">Therefore, the Attorney General’s Office agrees that this Court should adopt the proposed amendments to Rule 111(g). </w:t>
      </w:r>
    </w:p>
    <w:p w14:paraId="7C7B9616" w14:textId="1B61D2D1" w:rsidR="007E7706" w:rsidRPr="00DC1751" w:rsidRDefault="007E7706" w:rsidP="007E7706">
      <w:pPr>
        <w:tabs>
          <w:tab w:val="left" w:pos="820"/>
        </w:tabs>
        <w:jc w:val="both"/>
        <w:rPr>
          <w:rFonts w:eastAsia="Times New Roman" w:cs="Times New Roman"/>
          <w:spacing w:val="-1"/>
          <w:szCs w:val="28"/>
          <w:u w:color="000000"/>
        </w:rPr>
      </w:pPr>
      <w:r w:rsidRPr="00DC1751">
        <w:rPr>
          <w:rFonts w:eastAsia="Times New Roman" w:cs="Times New Roman"/>
          <w:spacing w:val="-1"/>
          <w:szCs w:val="28"/>
        </w:rPr>
        <w:lastRenderedPageBreak/>
        <w:tab/>
      </w:r>
      <w:r>
        <w:rPr>
          <w:rFonts w:eastAsia="Times New Roman" w:cs="Times New Roman"/>
          <w:spacing w:val="-1"/>
          <w:szCs w:val="28"/>
        </w:rPr>
        <w:t>Respectfully submitted</w:t>
      </w:r>
      <w:r w:rsidRPr="00DC1751">
        <w:rPr>
          <w:rFonts w:eastAsia="Times New Roman" w:cs="Times New Roman"/>
          <w:spacing w:val="-16"/>
          <w:szCs w:val="28"/>
        </w:rPr>
        <w:t xml:space="preserve"> </w:t>
      </w:r>
      <w:r w:rsidRPr="00DC1751">
        <w:rPr>
          <w:rFonts w:eastAsia="Times New Roman" w:cs="Times New Roman"/>
          <w:szCs w:val="28"/>
        </w:rPr>
        <w:t>th</w:t>
      </w:r>
      <w:r w:rsidRPr="00DC1751">
        <w:rPr>
          <w:rFonts w:eastAsia="Times New Roman" w:cs="Times New Roman"/>
          <w:spacing w:val="-1"/>
          <w:szCs w:val="28"/>
        </w:rPr>
        <w:t>i</w:t>
      </w:r>
      <w:r w:rsidRPr="00DC1751">
        <w:rPr>
          <w:rFonts w:eastAsia="Times New Roman" w:cs="Times New Roman"/>
          <w:szCs w:val="28"/>
        </w:rPr>
        <w:t>s</w:t>
      </w:r>
      <w:r>
        <w:rPr>
          <w:rFonts w:eastAsia="Times New Roman" w:cs="Times New Roman"/>
          <w:spacing w:val="-2"/>
          <w:szCs w:val="28"/>
        </w:rPr>
        <w:t xml:space="preserve"> 29th</w:t>
      </w:r>
      <w:r w:rsidRPr="00DC1751">
        <w:rPr>
          <w:rFonts w:eastAsia="Times New Roman" w:cs="Times New Roman"/>
          <w:szCs w:val="28"/>
        </w:rPr>
        <w:t xml:space="preserve"> d</w:t>
      </w:r>
      <w:r w:rsidRPr="00DC1751">
        <w:rPr>
          <w:rFonts w:eastAsia="Times New Roman" w:cs="Times New Roman"/>
          <w:spacing w:val="-1"/>
          <w:szCs w:val="28"/>
        </w:rPr>
        <w:t>a</w:t>
      </w:r>
      <w:r w:rsidRPr="00DC1751">
        <w:rPr>
          <w:rFonts w:eastAsia="Times New Roman" w:cs="Times New Roman"/>
          <w:szCs w:val="28"/>
        </w:rPr>
        <w:t>y</w:t>
      </w:r>
      <w:r w:rsidRPr="00DC1751">
        <w:rPr>
          <w:rFonts w:eastAsia="Times New Roman" w:cs="Times New Roman"/>
          <w:spacing w:val="-7"/>
          <w:szCs w:val="28"/>
        </w:rPr>
        <w:t xml:space="preserve"> </w:t>
      </w:r>
      <w:r w:rsidRPr="00DC1751">
        <w:rPr>
          <w:rFonts w:eastAsia="Times New Roman" w:cs="Times New Roman"/>
          <w:szCs w:val="28"/>
        </w:rPr>
        <w:t>of</w:t>
      </w:r>
      <w:r w:rsidRPr="00DC1751">
        <w:rPr>
          <w:rFonts w:eastAsia="Times New Roman" w:cs="Times New Roman"/>
          <w:spacing w:val="-1"/>
          <w:szCs w:val="28"/>
        </w:rPr>
        <w:t xml:space="preserve"> </w:t>
      </w:r>
      <w:r>
        <w:rPr>
          <w:rFonts w:eastAsia="Times New Roman" w:cs="Times New Roman"/>
          <w:szCs w:val="28"/>
          <w:u w:color="000000"/>
        </w:rPr>
        <w:t>April</w:t>
      </w:r>
      <w:r>
        <w:rPr>
          <w:rFonts w:eastAsia="Times New Roman" w:cs="Times New Roman"/>
          <w:szCs w:val="28"/>
          <w:u w:color="000000"/>
        </w:rPr>
        <w:t>, 2026</w:t>
      </w:r>
    </w:p>
    <w:p w14:paraId="2C39CEFE" w14:textId="77777777" w:rsidR="007E7706" w:rsidRDefault="007E7706" w:rsidP="007E7706">
      <w:pPr>
        <w:tabs>
          <w:tab w:val="left" w:pos="5660"/>
          <w:tab w:val="left" w:pos="8040"/>
          <w:tab w:val="left" w:pos="8740"/>
        </w:tabs>
        <w:spacing w:line="240" w:lineRule="auto"/>
        <w:ind w:left="820" w:right="-20"/>
        <w:rPr>
          <w:rFonts w:eastAsia="Times New Roman" w:cs="Times New Roman"/>
          <w:spacing w:val="-1"/>
          <w:szCs w:val="28"/>
          <w:u w:val="single" w:color="000000"/>
        </w:rPr>
      </w:pPr>
    </w:p>
    <w:p w14:paraId="40C6A9A2" w14:textId="77777777" w:rsidR="007E7706" w:rsidRDefault="007E7706" w:rsidP="007E7706">
      <w:pPr>
        <w:tabs>
          <w:tab w:val="left" w:pos="4050"/>
          <w:tab w:val="left" w:pos="5660"/>
          <w:tab w:val="left" w:pos="8040"/>
          <w:tab w:val="left" w:pos="8740"/>
        </w:tabs>
        <w:spacing w:line="240" w:lineRule="auto"/>
        <w:ind w:left="820" w:right="-20"/>
        <w:rPr>
          <w:rFonts w:eastAsia="Times New Roman" w:cs="Times New Roman"/>
          <w:spacing w:val="-1"/>
          <w:szCs w:val="28"/>
          <w:u w:color="000000"/>
        </w:rPr>
      </w:pPr>
      <w:r>
        <w:rPr>
          <w:rFonts w:eastAsia="Times New Roman" w:cs="Times New Roman"/>
          <w:spacing w:val="-1"/>
          <w:szCs w:val="28"/>
          <w:u w:color="000000"/>
        </w:rPr>
        <w:tab/>
        <w:t xml:space="preserve">KRISTIN K. MAYES </w:t>
      </w:r>
    </w:p>
    <w:p w14:paraId="20669102" w14:textId="77777777" w:rsidR="007E7706" w:rsidRPr="00DC1751" w:rsidRDefault="007E7706" w:rsidP="007E7706">
      <w:pPr>
        <w:tabs>
          <w:tab w:val="left" w:pos="4050"/>
          <w:tab w:val="left" w:pos="5660"/>
          <w:tab w:val="left" w:pos="8040"/>
          <w:tab w:val="left" w:pos="8740"/>
        </w:tabs>
        <w:spacing w:line="240" w:lineRule="auto"/>
        <w:ind w:left="820" w:right="-20"/>
        <w:rPr>
          <w:rFonts w:eastAsia="Times New Roman" w:cs="Times New Roman"/>
          <w:spacing w:val="-1"/>
          <w:szCs w:val="28"/>
          <w:u w:color="000000"/>
        </w:rPr>
      </w:pPr>
      <w:r>
        <w:rPr>
          <w:rFonts w:eastAsia="Times New Roman" w:cs="Times New Roman"/>
          <w:spacing w:val="-1"/>
          <w:szCs w:val="28"/>
          <w:u w:color="000000"/>
        </w:rPr>
        <w:tab/>
        <w:t xml:space="preserve">Arizona Attorney General  </w:t>
      </w:r>
    </w:p>
    <w:p w14:paraId="19D5B572" w14:textId="77777777" w:rsidR="007E7706" w:rsidRPr="00DC1751" w:rsidRDefault="007E7706" w:rsidP="007E7706">
      <w:pPr>
        <w:tabs>
          <w:tab w:val="left" w:pos="5660"/>
          <w:tab w:val="left" w:pos="8040"/>
          <w:tab w:val="left" w:pos="8740"/>
        </w:tabs>
        <w:spacing w:line="240" w:lineRule="auto"/>
        <w:ind w:left="820" w:right="-20"/>
        <w:rPr>
          <w:rFonts w:eastAsia="Times New Roman" w:cs="Times New Roman"/>
          <w:spacing w:val="-1"/>
          <w:szCs w:val="24"/>
          <w:u w:val="single" w:color="000000"/>
        </w:rPr>
      </w:pPr>
    </w:p>
    <w:p w14:paraId="369EA756" w14:textId="77777777" w:rsidR="007E7706" w:rsidRPr="00E641D6" w:rsidRDefault="007E7706" w:rsidP="007E7706">
      <w:pPr>
        <w:spacing w:before="29" w:line="240" w:lineRule="auto"/>
        <w:ind w:left="4003"/>
        <w:rPr>
          <w:rFonts w:eastAsia="Times New Roman" w:cs="Times New Roman"/>
          <w:spacing w:val="-1"/>
          <w:szCs w:val="24"/>
          <w:u w:val="single"/>
        </w:rPr>
      </w:pPr>
      <w:r w:rsidRPr="00DC1751">
        <w:rPr>
          <w:rFonts w:eastAsia="Times New Roman" w:cs="Times New Roman"/>
          <w:spacing w:val="-2"/>
          <w:szCs w:val="24"/>
        </w:rPr>
        <w:t>B</w:t>
      </w:r>
      <w:r w:rsidRPr="00DC1751">
        <w:rPr>
          <w:rFonts w:eastAsia="Times New Roman" w:cs="Times New Roman"/>
          <w:szCs w:val="24"/>
        </w:rPr>
        <w:t>y</w:t>
      </w:r>
      <w:r>
        <w:rPr>
          <w:rFonts w:eastAsia="Times New Roman" w:cs="Times New Roman"/>
          <w:szCs w:val="24"/>
        </w:rPr>
        <w:t>:</w:t>
      </w:r>
      <w:r w:rsidRPr="00DC1751">
        <w:rPr>
          <w:rFonts w:eastAsia="Times New Roman" w:cs="Times New Roman"/>
          <w:szCs w:val="24"/>
        </w:rPr>
        <w:t xml:space="preserve"> </w:t>
      </w:r>
      <w:r>
        <w:rPr>
          <w:rFonts w:eastAsia="Times New Roman" w:cs="Times New Roman"/>
          <w:szCs w:val="24"/>
          <w:u w:val="single"/>
        </w:rPr>
        <w:t xml:space="preserve">/s/ </w:t>
      </w:r>
      <w:r w:rsidRPr="00E641D6">
        <w:rPr>
          <w:rFonts w:eastAsia="Times New Roman" w:cs="Times New Roman"/>
          <w:i/>
          <w:szCs w:val="24"/>
          <w:u w:val="single"/>
        </w:rPr>
        <w:t xml:space="preserve">Alice </w:t>
      </w:r>
      <w:r>
        <w:rPr>
          <w:rFonts w:eastAsia="Times New Roman" w:cs="Times New Roman"/>
          <w:i/>
          <w:szCs w:val="24"/>
          <w:u w:val="single"/>
        </w:rPr>
        <w:t xml:space="preserve">M. </w:t>
      </w:r>
      <w:r w:rsidRPr="00E641D6">
        <w:rPr>
          <w:rFonts w:eastAsia="Times New Roman" w:cs="Times New Roman"/>
          <w:i/>
          <w:szCs w:val="24"/>
          <w:u w:val="single"/>
        </w:rPr>
        <w:t>Jones</w:t>
      </w:r>
      <w:r w:rsidRPr="00E641D6">
        <w:rPr>
          <w:rFonts w:eastAsia="Times New Roman" w:cs="Times New Roman"/>
          <w:i/>
          <w:szCs w:val="24"/>
          <w:u w:val="single"/>
        </w:rPr>
        <w:tab/>
      </w:r>
      <w:r>
        <w:rPr>
          <w:rFonts w:eastAsia="Times New Roman" w:cs="Times New Roman"/>
          <w:szCs w:val="24"/>
          <w:u w:val="single"/>
        </w:rPr>
        <w:tab/>
      </w:r>
      <w:r>
        <w:rPr>
          <w:rFonts w:eastAsia="Times New Roman" w:cs="Times New Roman"/>
          <w:szCs w:val="24"/>
          <w:u w:val="single"/>
        </w:rPr>
        <w:tab/>
      </w:r>
      <w:r>
        <w:rPr>
          <w:rFonts w:eastAsia="Times New Roman" w:cs="Times New Roman"/>
          <w:szCs w:val="24"/>
          <w:u w:val="single"/>
        </w:rPr>
        <w:tab/>
      </w:r>
      <w:r>
        <w:rPr>
          <w:rFonts w:eastAsia="Times New Roman" w:cs="Times New Roman"/>
          <w:szCs w:val="24"/>
          <w:u w:val="single"/>
        </w:rPr>
        <w:tab/>
      </w:r>
    </w:p>
    <w:p w14:paraId="7F866EAC" w14:textId="77777777" w:rsidR="007E7706" w:rsidRDefault="007E7706" w:rsidP="007E7706">
      <w:pPr>
        <w:spacing w:before="3" w:line="240" w:lineRule="auto"/>
        <w:ind w:left="4761" w:right="-20"/>
        <w:rPr>
          <w:rFonts w:eastAsia="Times New Roman" w:cs="Times New Roman"/>
          <w:szCs w:val="24"/>
        </w:rPr>
      </w:pPr>
      <w:r>
        <w:rPr>
          <w:rFonts w:eastAsia="Times New Roman" w:cs="Times New Roman"/>
          <w:szCs w:val="24"/>
        </w:rPr>
        <w:t>Alice M. Jones (AZ Bar #028062)</w:t>
      </w:r>
    </w:p>
    <w:p w14:paraId="5A6797C1" w14:textId="77777777" w:rsidR="00C111BE" w:rsidRDefault="007E7706" w:rsidP="00C111BE">
      <w:pPr>
        <w:spacing w:before="3" w:line="240" w:lineRule="auto"/>
        <w:ind w:left="4761" w:right="-20"/>
        <w:rPr>
          <w:rFonts w:eastAsia="Times New Roman" w:cs="Times New Roman"/>
          <w:szCs w:val="24"/>
        </w:rPr>
      </w:pPr>
      <w:r w:rsidRPr="00DC1751">
        <w:rPr>
          <w:rFonts w:eastAsia="Times New Roman" w:cs="Times New Roman"/>
          <w:szCs w:val="24"/>
        </w:rPr>
        <w:t>Deputy Solicitor General/</w:t>
      </w:r>
    </w:p>
    <w:p w14:paraId="659493F8" w14:textId="0C4BFE4D" w:rsidR="00C111BE" w:rsidRPr="00C111BE" w:rsidRDefault="00C111BE" w:rsidP="00C111BE">
      <w:pPr>
        <w:spacing w:before="3" w:line="240" w:lineRule="auto"/>
        <w:ind w:left="4761" w:right="-20"/>
        <w:rPr>
          <w:rFonts w:eastAsia="Times New Roman" w:cs="Times New Roman"/>
          <w:szCs w:val="24"/>
        </w:rPr>
      </w:pPr>
      <w:r w:rsidRPr="00E402CE">
        <w:rPr>
          <w:rFonts w:cs="Times New Roman"/>
          <w:bCs/>
        </w:rPr>
        <w:t>Section Chief of Criminal Appeals</w:t>
      </w:r>
    </w:p>
    <w:p w14:paraId="0AEAE5D7" w14:textId="0A6951BA" w:rsidR="002530A4" w:rsidRPr="007E7706" w:rsidRDefault="002530A4" w:rsidP="007E7706">
      <w:bookmarkStart w:id="1" w:name="_GoBack"/>
      <w:bookmarkEnd w:id="1"/>
    </w:p>
    <w:sectPr w:rsidR="002530A4" w:rsidRPr="007E7706" w:rsidSect="007E7706">
      <w:footerReference w:type="default" r:id="rId17"/>
      <w:pgSz w:w="12240" w:h="15840"/>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7E00F3" w14:textId="77777777" w:rsidR="00235472" w:rsidRDefault="00235472" w:rsidP="00CA3D53">
      <w:pPr>
        <w:spacing w:line="240" w:lineRule="auto"/>
      </w:pPr>
      <w:r>
        <w:separator/>
      </w:r>
    </w:p>
  </w:endnote>
  <w:endnote w:type="continuationSeparator" w:id="0">
    <w:p w14:paraId="2D5B5DC6" w14:textId="77777777" w:rsidR="00235472" w:rsidRDefault="00235472" w:rsidP="00CA3D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1396066"/>
      <w:docPartObj>
        <w:docPartGallery w:val="Page Numbers (Bottom of Page)"/>
        <w:docPartUnique/>
      </w:docPartObj>
    </w:sdtPr>
    <w:sdtEndPr>
      <w:rPr>
        <w:noProof/>
      </w:rPr>
    </w:sdtEndPr>
    <w:sdtContent>
      <w:p w14:paraId="0E454CE6" w14:textId="77777777" w:rsidR="001B4311" w:rsidRDefault="001B4311">
        <w:pPr>
          <w:pStyle w:val="Footer"/>
          <w:jc w:val="center"/>
        </w:pPr>
        <w:r>
          <w:fldChar w:fldCharType="begin"/>
        </w:r>
        <w:r>
          <w:instrText xml:space="preserve"> PAGE   \* MERGEFORMAT </w:instrText>
        </w:r>
        <w:r>
          <w:fldChar w:fldCharType="separate"/>
        </w:r>
        <w:r w:rsidR="00552EE9">
          <w:rPr>
            <w:noProof/>
          </w:rPr>
          <w:t>1</w:t>
        </w:r>
        <w:r>
          <w:rPr>
            <w:noProof/>
          </w:rPr>
          <w:fldChar w:fldCharType="end"/>
        </w:r>
      </w:p>
    </w:sdtContent>
  </w:sdt>
  <w:p w14:paraId="13A3D738" w14:textId="77777777" w:rsidR="001B4311" w:rsidRDefault="001B43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168100" w14:textId="77777777" w:rsidR="00235472" w:rsidRDefault="00235472" w:rsidP="00CA3D53">
      <w:pPr>
        <w:spacing w:line="240" w:lineRule="auto"/>
      </w:pPr>
      <w:r>
        <w:separator/>
      </w:r>
    </w:p>
  </w:footnote>
  <w:footnote w:type="continuationSeparator" w:id="0">
    <w:p w14:paraId="159440AB" w14:textId="77777777" w:rsidR="00235472" w:rsidRDefault="00235472" w:rsidP="00CA3D5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E5FE5"/>
    <w:multiLevelType w:val="hybridMultilevel"/>
    <w:tmpl w:val="55AE809C"/>
    <w:lvl w:ilvl="0" w:tplc="2DAA304A">
      <w:start w:val="1"/>
      <w:numFmt w:val="upperRoman"/>
      <w:pStyle w:val="Heading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0A4"/>
    <w:rsid w:val="00076EA0"/>
    <w:rsid w:val="000C284C"/>
    <w:rsid w:val="000C75AE"/>
    <w:rsid w:val="000D439E"/>
    <w:rsid w:val="00103845"/>
    <w:rsid w:val="00105E27"/>
    <w:rsid w:val="0010674D"/>
    <w:rsid w:val="00122C7A"/>
    <w:rsid w:val="00177881"/>
    <w:rsid w:val="001909D2"/>
    <w:rsid w:val="00191921"/>
    <w:rsid w:val="00193248"/>
    <w:rsid w:val="0019614B"/>
    <w:rsid w:val="001A07FE"/>
    <w:rsid w:val="001A7900"/>
    <w:rsid w:val="001B4311"/>
    <w:rsid w:val="001C22D3"/>
    <w:rsid w:val="001D5FBB"/>
    <w:rsid w:val="0020314B"/>
    <w:rsid w:val="002033A7"/>
    <w:rsid w:val="00221428"/>
    <w:rsid w:val="00224F21"/>
    <w:rsid w:val="00235472"/>
    <w:rsid w:val="002443E6"/>
    <w:rsid w:val="00250247"/>
    <w:rsid w:val="002530A4"/>
    <w:rsid w:val="00256BE1"/>
    <w:rsid w:val="00257D0C"/>
    <w:rsid w:val="002927F7"/>
    <w:rsid w:val="002A454D"/>
    <w:rsid w:val="002A4D34"/>
    <w:rsid w:val="002A5F82"/>
    <w:rsid w:val="002A6F4E"/>
    <w:rsid w:val="002C2E5D"/>
    <w:rsid w:val="002C5E24"/>
    <w:rsid w:val="002D1365"/>
    <w:rsid w:val="002F2198"/>
    <w:rsid w:val="00315347"/>
    <w:rsid w:val="003230EF"/>
    <w:rsid w:val="00352005"/>
    <w:rsid w:val="00353415"/>
    <w:rsid w:val="003634EE"/>
    <w:rsid w:val="003740E5"/>
    <w:rsid w:val="003B087D"/>
    <w:rsid w:val="003B3B24"/>
    <w:rsid w:val="003E791B"/>
    <w:rsid w:val="00462B7C"/>
    <w:rsid w:val="004779D6"/>
    <w:rsid w:val="004A5E0E"/>
    <w:rsid w:val="004C0969"/>
    <w:rsid w:val="004D50F6"/>
    <w:rsid w:val="004E7159"/>
    <w:rsid w:val="00532C89"/>
    <w:rsid w:val="005431A9"/>
    <w:rsid w:val="00552EE9"/>
    <w:rsid w:val="00573CD7"/>
    <w:rsid w:val="005A1443"/>
    <w:rsid w:val="005B7F15"/>
    <w:rsid w:val="005D3038"/>
    <w:rsid w:val="00634B83"/>
    <w:rsid w:val="006E76E1"/>
    <w:rsid w:val="006F1C47"/>
    <w:rsid w:val="00710D49"/>
    <w:rsid w:val="00734A6E"/>
    <w:rsid w:val="00740152"/>
    <w:rsid w:val="00742AE8"/>
    <w:rsid w:val="00760424"/>
    <w:rsid w:val="00770C60"/>
    <w:rsid w:val="007809E1"/>
    <w:rsid w:val="0078405B"/>
    <w:rsid w:val="007845B4"/>
    <w:rsid w:val="00784AD7"/>
    <w:rsid w:val="00786B2F"/>
    <w:rsid w:val="007E7706"/>
    <w:rsid w:val="008066D8"/>
    <w:rsid w:val="008138F3"/>
    <w:rsid w:val="00845760"/>
    <w:rsid w:val="00865C65"/>
    <w:rsid w:val="0088367E"/>
    <w:rsid w:val="008866FC"/>
    <w:rsid w:val="00895799"/>
    <w:rsid w:val="008B3216"/>
    <w:rsid w:val="008B3B11"/>
    <w:rsid w:val="008B5F97"/>
    <w:rsid w:val="008C30C7"/>
    <w:rsid w:val="008D071F"/>
    <w:rsid w:val="008D2354"/>
    <w:rsid w:val="008D33BA"/>
    <w:rsid w:val="008E0A24"/>
    <w:rsid w:val="008E3DF9"/>
    <w:rsid w:val="009135A9"/>
    <w:rsid w:val="0094640D"/>
    <w:rsid w:val="00954E55"/>
    <w:rsid w:val="00975B83"/>
    <w:rsid w:val="009B497E"/>
    <w:rsid w:val="009D1766"/>
    <w:rsid w:val="009D2AFA"/>
    <w:rsid w:val="009E233A"/>
    <w:rsid w:val="009E4A22"/>
    <w:rsid w:val="009F4AA3"/>
    <w:rsid w:val="00A26900"/>
    <w:rsid w:val="00A37F1B"/>
    <w:rsid w:val="00A556FC"/>
    <w:rsid w:val="00A62D00"/>
    <w:rsid w:val="00A7047C"/>
    <w:rsid w:val="00AA2634"/>
    <w:rsid w:val="00AC310A"/>
    <w:rsid w:val="00B04957"/>
    <w:rsid w:val="00B45175"/>
    <w:rsid w:val="00B642BC"/>
    <w:rsid w:val="00B9489F"/>
    <w:rsid w:val="00B97644"/>
    <w:rsid w:val="00BC0384"/>
    <w:rsid w:val="00BC5F14"/>
    <w:rsid w:val="00BE03AC"/>
    <w:rsid w:val="00BE405C"/>
    <w:rsid w:val="00BE5A31"/>
    <w:rsid w:val="00BF54CF"/>
    <w:rsid w:val="00C02392"/>
    <w:rsid w:val="00C0670D"/>
    <w:rsid w:val="00C06B29"/>
    <w:rsid w:val="00C111BE"/>
    <w:rsid w:val="00C26E06"/>
    <w:rsid w:val="00C27989"/>
    <w:rsid w:val="00CA2614"/>
    <w:rsid w:val="00CA3D53"/>
    <w:rsid w:val="00CB0A4B"/>
    <w:rsid w:val="00CC4856"/>
    <w:rsid w:val="00CE09D3"/>
    <w:rsid w:val="00D6188F"/>
    <w:rsid w:val="00D66A4B"/>
    <w:rsid w:val="00DA7894"/>
    <w:rsid w:val="00DC0561"/>
    <w:rsid w:val="00DC1751"/>
    <w:rsid w:val="00DD0D9E"/>
    <w:rsid w:val="00DD3605"/>
    <w:rsid w:val="00DE29CC"/>
    <w:rsid w:val="00DE2A2D"/>
    <w:rsid w:val="00DE63B1"/>
    <w:rsid w:val="00DF1767"/>
    <w:rsid w:val="00E55ED6"/>
    <w:rsid w:val="00E6265D"/>
    <w:rsid w:val="00E641D6"/>
    <w:rsid w:val="00E75DE6"/>
    <w:rsid w:val="00E8668F"/>
    <w:rsid w:val="00EA4357"/>
    <w:rsid w:val="00EC59FC"/>
    <w:rsid w:val="00F13921"/>
    <w:rsid w:val="00F36B8E"/>
    <w:rsid w:val="00F53BF9"/>
    <w:rsid w:val="00F67FFC"/>
    <w:rsid w:val="00F72143"/>
    <w:rsid w:val="00F75999"/>
    <w:rsid w:val="00F93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394CA"/>
  <w15:docId w15:val="{55C5B404-8878-42F7-A59D-C67C49AB0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3921"/>
    <w:pPr>
      <w:spacing w:after="0" w:line="480" w:lineRule="auto"/>
    </w:pPr>
    <w:rPr>
      <w:rFonts w:ascii="Times New Roman" w:hAnsi="Times New Roman"/>
      <w:sz w:val="28"/>
    </w:rPr>
  </w:style>
  <w:style w:type="paragraph" w:styleId="Heading1">
    <w:name w:val="heading 1"/>
    <w:basedOn w:val="Normal"/>
    <w:next w:val="Normal"/>
    <w:link w:val="Heading1Char"/>
    <w:uiPriority w:val="9"/>
    <w:qFormat/>
    <w:rsid w:val="00B642BC"/>
    <w:pPr>
      <w:keepNext/>
      <w:keepLines/>
      <w:numPr>
        <w:numId w:val="1"/>
      </w:numPr>
      <w:jc w:val="both"/>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0">
    <w:name w:val="Normal10"/>
    <w:basedOn w:val="Normal"/>
    <w:rsid w:val="002D1365"/>
    <w:pPr>
      <w:widowControl/>
      <w:spacing w:line="240" w:lineRule="auto"/>
      <w:jc w:val="both"/>
    </w:pPr>
    <w:rPr>
      <w:rFonts w:ascii="Courier New" w:eastAsia="Times New Roman" w:hAnsi="Courier New" w:cs="Times New Roman"/>
      <w:sz w:val="20"/>
      <w:szCs w:val="20"/>
    </w:rPr>
  </w:style>
  <w:style w:type="character" w:styleId="Hyperlink">
    <w:name w:val="Hyperlink"/>
    <w:basedOn w:val="DefaultParagraphFont"/>
    <w:uiPriority w:val="99"/>
    <w:unhideWhenUsed/>
    <w:rsid w:val="00DF1767"/>
    <w:rPr>
      <w:color w:val="0000FF" w:themeColor="hyperlink"/>
      <w:u w:val="single"/>
    </w:rPr>
  </w:style>
  <w:style w:type="character" w:customStyle="1" w:styleId="Heading1Char">
    <w:name w:val="Heading 1 Char"/>
    <w:basedOn w:val="DefaultParagraphFont"/>
    <w:link w:val="Heading1"/>
    <w:uiPriority w:val="9"/>
    <w:rsid w:val="00B642BC"/>
    <w:rPr>
      <w:rFonts w:ascii="Times New Roman" w:eastAsiaTheme="majorEastAsia" w:hAnsi="Times New Roman" w:cstheme="majorBidi"/>
      <w:b/>
      <w:bCs/>
      <w:sz w:val="28"/>
      <w:szCs w:val="28"/>
    </w:rPr>
  </w:style>
  <w:style w:type="paragraph" w:styleId="FootnoteText">
    <w:name w:val="footnote text"/>
    <w:basedOn w:val="Normal"/>
    <w:link w:val="FootnoteTextChar"/>
    <w:uiPriority w:val="99"/>
    <w:semiHidden/>
    <w:unhideWhenUsed/>
    <w:rsid w:val="00CA3D53"/>
    <w:pPr>
      <w:spacing w:line="240" w:lineRule="auto"/>
    </w:pPr>
    <w:rPr>
      <w:sz w:val="20"/>
      <w:szCs w:val="20"/>
    </w:rPr>
  </w:style>
  <w:style w:type="character" w:customStyle="1" w:styleId="FootnoteTextChar">
    <w:name w:val="Footnote Text Char"/>
    <w:basedOn w:val="DefaultParagraphFont"/>
    <w:link w:val="FootnoteText"/>
    <w:uiPriority w:val="99"/>
    <w:semiHidden/>
    <w:rsid w:val="00CA3D53"/>
    <w:rPr>
      <w:rFonts w:ascii="Times New Roman" w:hAnsi="Times New Roman"/>
      <w:sz w:val="20"/>
      <w:szCs w:val="20"/>
    </w:rPr>
  </w:style>
  <w:style w:type="character" w:styleId="FootnoteReference">
    <w:name w:val="footnote reference"/>
    <w:basedOn w:val="DefaultParagraphFont"/>
    <w:uiPriority w:val="99"/>
    <w:semiHidden/>
    <w:unhideWhenUsed/>
    <w:rsid w:val="00CA3D53"/>
    <w:rPr>
      <w:vertAlign w:val="superscript"/>
    </w:rPr>
  </w:style>
  <w:style w:type="paragraph" w:styleId="Header">
    <w:name w:val="header"/>
    <w:basedOn w:val="Normal"/>
    <w:link w:val="HeaderChar"/>
    <w:uiPriority w:val="99"/>
    <w:unhideWhenUsed/>
    <w:rsid w:val="001B4311"/>
    <w:pPr>
      <w:tabs>
        <w:tab w:val="center" w:pos="4680"/>
        <w:tab w:val="right" w:pos="9360"/>
      </w:tabs>
      <w:spacing w:line="240" w:lineRule="auto"/>
    </w:pPr>
  </w:style>
  <w:style w:type="character" w:customStyle="1" w:styleId="HeaderChar">
    <w:name w:val="Header Char"/>
    <w:basedOn w:val="DefaultParagraphFont"/>
    <w:link w:val="Header"/>
    <w:uiPriority w:val="99"/>
    <w:rsid w:val="001B4311"/>
    <w:rPr>
      <w:rFonts w:ascii="Times New Roman" w:hAnsi="Times New Roman"/>
      <w:sz w:val="28"/>
    </w:rPr>
  </w:style>
  <w:style w:type="paragraph" w:styleId="Footer">
    <w:name w:val="footer"/>
    <w:basedOn w:val="Normal"/>
    <w:link w:val="FooterChar"/>
    <w:uiPriority w:val="99"/>
    <w:unhideWhenUsed/>
    <w:rsid w:val="001B4311"/>
    <w:pPr>
      <w:tabs>
        <w:tab w:val="center" w:pos="4680"/>
        <w:tab w:val="right" w:pos="9360"/>
      </w:tabs>
      <w:spacing w:line="240" w:lineRule="auto"/>
    </w:pPr>
  </w:style>
  <w:style w:type="character" w:customStyle="1" w:styleId="FooterChar">
    <w:name w:val="Footer Char"/>
    <w:basedOn w:val="DefaultParagraphFont"/>
    <w:link w:val="Footer"/>
    <w:uiPriority w:val="99"/>
    <w:rsid w:val="001B4311"/>
    <w:rPr>
      <w:rFonts w:ascii="Times New Roman" w:hAnsi="Times New Roman"/>
      <w:sz w:val="28"/>
    </w:rPr>
  </w:style>
  <w:style w:type="character" w:styleId="Strong">
    <w:name w:val="Strong"/>
    <w:basedOn w:val="DefaultParagraphFont"/>
    <w:uiPriority w:val="22"/>
    <w:qFormat/>
    <w:rsid w:val="00DC0561"/>
    <w:rPr>
      <w:b/>
      <w:bCs/>
    </w:rPr>
  </w:style>
  <w:style w:type="character" w:customStyle="1" w:styleId="cosearchterm">
    <w:name w:val="co_searchterm"/>
    <w:basedOn w:val="DefaultParagraphFont"/>
    <w:rsid w:val="00DC0561"/>
  </w:style>
  <w:style w:type="character" w:styleId="CommentReference">
    <w:name w:val="annotation reference"/>
    <w:basedOn w:val="DefaultParagraphFont"/>
    <w:uiPriority w:val="99"/>
    <w:semiHidden/>
    <w:unhideWhenUsed/>
    <w:rsid w:val="00B04957"/>
    <w:rPr>
      <w:sz w:val="16"/>
      <w:szCs w:val="16"/>
    </w:rPr>
  </w:style>
  <w:style w:type="paragraph" w:styleId="CommentText">
    <w:name w:val="annotation text"/>
    <w:basedOn w:val="Normal"/>
    <w:link w:val="CommentTextChar"/>
    <w:uiPriority w:val="99"/>
    <w:semiHidden/>
    <w:unhideWhenUsed/>
    <w:rsid w:val="00B04957"/>
    <w:pPr>
      <w:spacing w:line="240" w:lineRule="auto"/>
    </w:pPr>
    <w:rPr>
      <w:sz w:val="20"/>
      <w:szCs w:val="20"/>
    </w:rPr>
  </w:style>
  <w:style w:type="character" w:customStyle="1" w:styleId="CommentTextChar">
    <w:name w:val="Comment Text Char"/>
    <w:basedOn w:val="DefaultParagraphFont"/>
    <w:link w:val="CommentText"/>
    <w:uiPriority w:val="99"/>
    <w:semiHidden/>
    <w:rsid w:val="00B0495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04957"/>
    <w:rPr>
      <w:b/>
      <w:bCs/>
    </w:rPr>
  </w:style>
  <w:style w:type="character" w:customStyle="1" w:styleId="CommentSubjectChar">
    <w:name w:val="Comment Subject Char"/>
    <w:basedOn w:val="CommentTextChar"/>
    <w:link w:val="CommentSubject"/>
    <w:uiPriority w:val="99"/>
    <w:semiHidden/>
    <w:rsid w:val="00B04957"/>
    <w:rPr>
      <w:rFonts w:ascii="Times New Roman" w:hAnsi="Times New Roman"/>
      <w:b/>
      <w:bCs/>
      <w:sz w:val="20"/>
      <w:szCs w:val="20"/>
    </w:rPr>
  </w:style>
  <w:style w:type="paragraph" w:styleId="BalloonText">
    <w:name w:val="Balloon Text"/>
    <w:basedOn w:val="Normal"/>
    <w:link w:val="BalloonTextChar"/>
    <w:uiPriority w:val="99"/>
    <w:semiHidden/>
    <w:unhideWhenUsed/>
    <w:rsid w:val="00B0495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4957"/>
    <w:rPr>
      <w:rFonts w:ascii="Segoe UI" w:hAnsi="Segoe UI" w:cs="Segoe UI"/>
      <w:sz w:val="18"/>
      <w:szCs w:val="18"/>
    </w:rPr>
  </w:style>
  <w:style w:type="character" w:styleId="UnresolvedMention">
    <w:name w:val="Unresolved Mention"/>
    <w:basedOn w:val="DefaultParagraphFont"/>
    <w:uiPriority w:val="99"/>
    <w:semiHidden/>
    <w:unhideWhenUsed/>
    <w:rsid w:val="001909D2"/>
    <w:rPr>
      <w:color w:val="605E5C"/>
      <w:shd w:val="clear" w:color="auto" w:fill="E1DFDD"/>
    </w:rPr>
  </w:style>
  <w:style w:type="paragraph" w:customStyle="1" w:styleId="Zbasefontbody">
    <w:name w:val="Zbasefont_body"/>
    <w:link w:val="ZbasefontbodyChar"/>
    <w:rsid w:val="00EC59FC"/>
    <w:pPr>
      <w:widowControl/>
      <w:spacing w:after="0" w:line="240" w:lineRule="auto"/>
    </w:pPr>
    <w:rPr>
      <w:rFonts w:ascii="Times New Roman" w:eastAsia="Times New Roman" w:hAnsi="Times New Roman" w:cs="Times New Roman"/>
      <w:bCs/>
      <w:kern w:val="2"/>
      <w:sz w:val="28"/>
      <w:szCs w:val="28"/>
    </w:rPr>
  </w:style>
  <w:style w:type="paragraph" w:customStyle="1" w:styleId="Caseinfo">
    <w:name w:val="Case_info"/>
    <w:basedOn w:val="Zbasefontbody"/>
    <w:link w:val="CaseinfoChar"/>
    <w:rsid w:val="00EC59FC"/>
    <w:pPr>
      <w:tabs>
        <w:tab w:val="left" w:pos="3780"/>
      </w:tabs>
      <w:spacing w:line="480" w:lineRule="exact"/>
    </w:pPr>
    <w:rPr>
      <w:sz w:val="26"/>
      <w:szCs w:val="26"/>
    </w:rPr>
  </w:style>
  <w:style w:type="paragraph" w:customStyle="1" w:styleId="Brieftitle">
    <w:name w:val="Brief_title"/>
    <w:basedOn w:val="Zbasefontbody"/>
    <w:rsid w:val="00EC59FC"/>
    <w:pPr>
      <w:spacing w:before="240" w:after="240"/>
    </w:pPr>
    <w:rPr>
      <w:b/>
      <w:caps/>
      <w:noProof/>
      <w:sz w:val="26"/>
      <w:szCs w:val="26"/>
    </w:rPr>
  </w:style>
  <w:style w:type="character" w:customStyle="1" w:styleId="FieldAllCaps">
    <w:name w:val="Field All Caps"/>
    <w:autoRedefine/>
    <w:rsid w:val="00EC59FC"/>
    <w:rPr>
      <w:caps/>
      <w:sz w:val="28"/>
      <w:szCs w:val="28"/>
    </w:rPr>
  </w:style>
  <w:style w:type="paragraph" w:customStyle="1" w:styleId="StyleCourtNameTitleTimesNewRoman14pt">
    <w:name w:val="Style CourtNameTitle + Times New Roman 14 pt"/>
    <w:basedOn w:val="Normal"/>
    <w:rsid w:val="00EC59FC"/>
    <w:pPr>
      <w:spacing w:after="240" w:line="240" w:lineRule="auto"/>
      <w:jc w:val="center"/>
      <w:outlineLvl w:val="0"/>
    </w:pPr>
    <w:rPr>
      <w:rFonts w:eastAsia="Times New Roman" w:cs="Times New Roman"/>
      <w:b/>
      <w:bCs/>
      <w:caps/>
      <w:kern w:val="2"/>
      <w:szCs w:val="28"/>
    </w:rPr>
  </w:style>
  <w:style w:type="paragraph" w:customStyle="1" w:styleId="StyleCourtNameSubtitleTimesNewRoman14ptAfter18pt">
    <w:name w:val="Style CourtNameSubtitle + Times New Roman 14 pt After:  18 pt"/>
    <w:basedOn w:val="Normal"/>
    <w:rsid w:val="00EC59FC"/>
    <w:pPr>
      <w:spacing w:after="360" w:line="240" w:lineRule="auto"/>
      <w:jc w:val="center"/>
      <w:outlineLvl w:val="0"/>
    </w:pPr>
    <w:rPr>
      <w:rFonts w:eastAsia="Times New Roman" w:cs="Times New Roman"/>
      <w:b/>
      <w:bCs/>
      <w:caps/>
      <w:kern w:val="2"/>
      <w:szCs w:val="20"/>
    </w:rPr>
  </w:style>
  <w:style w:type="paragraph" w:customStyle="1" w:styleId="StyleCaseinfo14ptLinespacing15lines">
    <w:name w:val="Style Case_info + 14 pt Line spacing:  1.5 lines"/>
    <w:basedOn w:val="Caseinfo"/>
    <w:rsid w:val="00EC59FC"/>
    <w:pPr>
      <w:spacing w:line="360" w:lineRule="auto"/>
    </w:pPr>
    <w:rPr>
      <w:bCs w:val="0"/>
      <w:sz w:val="28"/>
      <w:szCs w:val="20"/>
    </w:rPr>
  </w:style>
  <w:style w:type="character" w:customStyle="1" w:styleId="ZbasefontbodyChar">
    <w:name w:val="Zbasefont_body Char"/>
    <w:link w:val="Zbasefontbody"/>
    <w:rsid w:val="00EC59FC"/>
    <w:rPr>
      <w:rFonts w:ascii="Times New Roman" w:eastAsia="Times New Roman" w:hAnsi="Times New Roman" w:cs="Times New Roman"/>
      <w:bCs/>
      <w:kern w:val="2"/>
      <w:sz w:val="28"/>
      <w:szCs w:val="28"/>
    </w:rPr>
  </w:style>
  <w:style w:type="paragraph" w:customStyle="1" w:styleId="StyleCaseinfo14ptNotBold">
    <w:name w:val="Style Case_info + 14 pt Not Bold"/>
    <w:basedOn w:val="Caseinfo"/>
    <w:link w:val="StyleCaseinfo14ptNotBoldChar"/>
    <w:rsid w:val="00EC59FC"/>
    <w:pPr>
      <w:tabs>
        <w:tab w:val="left" w:pos="2520"/>
        <w:tab w:val="left" w:pos="2880"/>
      </w:tabs>
    </w:pPr>
    <w:rPr>
      <w:bCs w:val="0"/>
      <w:sz w:val="28"/>
      <w:szCs w:val="28"/>
    </w:rPr>
  </w:style>
  <w:style w:type="character" w:customStyle="1" w:styleId="CaseinfoChar">
    <w:name w:val="Case_info Char"/>
    <w:link w:val="Caseinfo"/>
    <w:rsid w:val="00EC59FC"/>
    <w:rPr>
      <w:rFonts w:ascii="Times New Roman" w:eastAsia="Times New Roman" w:hAnsi="Times New Roman" w:cs="Times New Roman"/>
      <w:bCs/>
      <w:kern w:val="2"/>
      <w:sz w:val="26"/>
      <w:szCs w:val="26"/>
    </w:rPr>
  </w:style>
  <w:style w:type="character" w:customStyle="1" w:styleId="StyleCaseinfo14ptNotBoldChar">
    <w:name w:val="Style Case_info + 14 pt Not Bold Char"/>
    <w:link w:val="StyleCaseinfo14ptNotBold"/>
    <w:rsid w:val="00EC59FC"/>
    <w:rPr>
      <w:rFonts w:ascii="Times New Roman" w:eastAsia="Times New Roman" w:hAnsi="Times New Roman" w:cs="Times New Roman"/>
      <w:kern w:val="2"/>
      <w:sz w:val="28"/>
      <w:szCs w:val="28"/>
    </w:rPr>
  </w:style>
  <w:style w:type="character" w:styleId="FollowedHyperlink">
    <w:name w:val="FollowedHyperlink"/>
    <w:basedOn w:val="DefaultParagraphFont"/>
    <w:uiPriority w:val="99"/>
    <w:semiHidden/>
    <w:unhideWhenUsed/>
    <w:rsid w:val="00DD360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6200134">
      <w:bodyDiv w:val="1"/>
      <w:marLeft w:val="0"/>
      <w:marRight w:val="0"/>
      <w:marTop w:val="0"/>
      <w:marBottom w:val="0"/>
      <w:divBdr>
        <w:top w:val="none" w:sz="0" w:space="0" w:color="auto"/>
        <w:left w:val="none" w:sz="0" w:space="0" w:color="auto"/>
        <w:bottom w:val="none" w:sz="0" w:space="0" w:color="auto"/>
        <w:right w:val="none" w:sz="0" w:space="0" w:color="auto"/>
      </w:divBdr>
    </w:div>
    <w:div w:id="869024999">
      <w:bodyDiv w:val="1"/>
      <w:marLeft w:val="0"/>
      <w:marRight w:val="0"/>
      <w:marTop w:val="0"/>
      <w:marBottom w:val="0"/>
      <w:divBdr>
        <w:top w:val="none" w:sz="0" w:space="0" w:color="auto"/>
        <w:left w:val="none" w:sz="0" w:space="0" w:color="auto"/>
        <w:bottom w:val="none" w:sz="0" w:space="0" w:color="auto"/>
        <w:right w:val="none" w:sz="0" w:space="0" w:color="auto"/>
      </w:divBdr>
      <w:divsChild>
        <w:div w:id="1538472165">
          <w:marLeft w:val="0"/>
          <w:marRight w:val="0"/>
          <w:marTop w:val="0"/>
          <w:marBottom w:val="0"/>
          <w:divBdr>
            <w:top w:val="none" w:sz="0" w:space="0" w:color="3D3D3D"/>
            <w:left w:val="none" w:sz="0" w:space="0" w:color="3D3D3D"/>
            <w:bottom w:val="none" w:sz="0" w:space="0" w:color="3D3D3D"/>
            <w:right w:val="none" w:sz="0" w:space="0" w:color="3D3D3D"/>
          </w:divBdr>
          <w:divsChild>
            <w:div w:id="1534881459">
              <w:marLeft w:val="0"/>
              <w:marRight w:val="0"/>
              <w:marTop w:val="219"/>
              <w:marBottom w:val="0"/>
              <w:divBdr>
                <w:top w:val="none" w:sz="0" w:space="0" w:color="3D3D3D"/>
                <w:left w:val="none" w:sz="0" w:space="0" w:color="3D3D3D"/>
                <w:bottom w:val="none" w:sz="0" w:space="0" w:color="3D3D3D"/>
                <w:right w:val="none" w:sz="0" w:space="0" w:color="3D3D3D"/>
              </w:divBdr>
              <w:divsChild>
                <w:div w:id="1759982948">
                  <w:marLeft w:val="0"/>
                  <w:marRight w:val="0"/>
                  <w:marTop w:val="0"/>
                  <w:marBottom w:val="0"/>
                  <w:divBdr>
                    <w:top w:val="none" w:sz="0" w:space="0" w:color="3D3D3D"/>
                    <w:left w:val="none" w:sz="0" w:space="0" w:color="3D3D3D"/>
                    <w:bottom w:val="none" w:sz="0" w:space="0" w:color="3D3D3D"/>
                    <w:right w:val="none" w:sz="0" w:space="0" w:color="3D3D3D"/>
                  </w:divBdr>
                  <w:divsChild>
                    <w:div w:id="52829812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70358053">
              <w:marLeft w:val="0"/>
              <w:marRight w:val="0"/>
              <w:marTop w:val="219"/>
              <w:marBottom w:val="0"/>
              <w:divBdr>
                <w:top w:val="none" w:sz="0" w:space="0" w:color="3D3D3D"/>
                <w:left w:val="none" w:sz="0" w:space="0" w:color="3D3D3D"/>
                <w:bottom w:val="none" w:sz="0" w:space="0" w:color="3D3D3D"/>
                <w:right w:val="none" w:sz="0" w:space="0" w:color="3D3D3D"/>
              </w:divBdr>
              <w:divsChild>
                <w:div w:id="376515884">
                  <w:marLeft w:val="0"/>
                  <w:marRight w:val="0"/>
                  <w:marTop w:val="0"/>
                  <w:marBottom w:val="0"/>
                  <w:divBdr>
                    <w:top w:val="none" w:sz="0" w:space="0" w:color="3D3D3D"/>
                    <w:left w:val="none" w:sz="0" w:space="0" w:color="3D3D3D"/>
                    <w:bottom w:val="none" w:sz="0" w:space="0" w:color="3D3D3D"/>
                    <w:right w:val="none" w:sz="0" w:space="0" w:color="3D3D3D"/>
                  </w:divBdr>
                  <w:divsChild>
                    <w:div w:id="171437854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2350286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52018152">
      <w:bodyDiv w:val="1"/>
      <w:marLeft w:val="0"/>
      <w:marRight w:val="0"/>
      <w:marTop w:val="0"/>
      <w:marBottom w:val="0"/>
      <w:divBdr>
        <w:top w:val="none" w:sz="0" w:space="0" w:color="auto"/>
        <w:left w:val="none" w:sz="0" w:space="0" w:color="auto"/>
        <w:bottom w:val="none" w:sz="0" w:space="0" w:color="auto"/>
        <w:right w:val="none" w:sz="0" w:space="0" w:color="auto"/>
      </w:divBdr>
      <w:divsChild>
        <w:div w:id="1429042380">
          <w:marLeft w:val="0"/>
          <w:marRight w:val="0"/>
          <w:marTop w:val="0"/>
          <w:marBottom w:val="0"/>
          <w:divBdr>
            <w:top w:val="none" w:sz="0" w:space="0" w:color="auto"/>
            <w:left w:val="none" w:sz="0" w:space="0" w:color="auto"/>
            <w:bottom w:val="none" w:sz="0" w:space="0" w:color="auto"/>
            <w:right w:val="none" w:sz="0" w:space="0" w:color="auto"/>
          </w:divBdr>
          <w:divsChild>
            <w:div w:id="1260021946">
              <w:marLeft w:val="0"/>
              <w:marRight w:val="0"/>
              <w:marTop w:val="0"/>
              <w:marBottom w:val="0"/>
              <w:divBdr>
                <w:top w:val="none" w:sz="0" w:space="0" w:color="auto"/>
                <w:left w:val="none" w:sz="0" w:space="0" w:color="auto"/>
                <w:bottom w:val="none" w:sz="0" w:space="0" w:color="auto"/>
                <w:right w:val="none" w:sz="0" w:space="0" w:color="auto"/>
              </w:divBdr>
              <w:divsChild>
                <w:div w:id="206911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704703">
          <w:marLeft w:val="0"/>
          <w:marRight w:val="0"/>
          <w:marTop w:val="0"/>
          <w:marBottom w:val="0"/>
          <w:divBdr>
            <w:top w:val="none" w:sz="0" w:space="0" w:color="auto"/>
            <w:left w:val="none" w:sz="0" w:space="0" w:color="auto"/>
            <w:bottom w:val="none" w:sz="0" w:space="0" w:color="auto"/>
            <w:right w:val="none" w:sz="0" w:space="0" w:color="auto"/>
          </w:divBdr>
          <w:divsChild>
            <w:div w:id="1483931687">
              <w:marLeft w:val="0"/>
              <w:marRight w:val="0"/>
              <w:marTop w:val="0"/>
              <w:marBottom w:val="0"/>
              <w:divBdr>
                <w:top w:val="none" w:sz="0" w:space="0" w:color="auto"/>
                <w:left w:val="none" w:sz="0" w:space="0" w:color="auto"/>
                <w:bottom w:val="none" w:sz="0" w:space="0" w:color="auto"/>
                <w:right w:val="none" w:sz="0" w:space="0" w:color="auto"/>
              </w:divBdr>
              <w:divsChild>
                <w:div w:id="1527477011">
                  <w:marLeft w:val="0"/>
                  <w:marRight w:val="0"/>
                  <w:marTop w:val="0"/>
                  <w:marBottom w:val="0"/>
                  <w:divBdr>
                    <w:top w:val="none" w:sz="0" w:space="0" w:color="auto"/>
                    <w:left w:val="none" w:sz="0" w:space="0" w:color="auto"/>
                    <w:bottom w:val="none" w:sz="0" w:space="0" w:color="auto"/>
                    <w:right w:val="none" w:sz="0" w:space="0" w:color="auto"/>
                  </w:divBdr>
                </w:div>
              </w:divsChild>
            </w:div>
            <w:div w:id="1691490053">
              <w:marLeft w:val="0"/>
              <w:marRight w:val="0"/>
              <w:marTop w:val="0"/>
              <w:marBottom w:val="0"/>
              <w:divBdr>
                <w:top w:val="none" w:sz="0" w:space="0" w:color="auto"/>
                <w:left w:val="none" w:sz="0" w:space="0" w:color="auto"/>
                <w:bottom w:val="none" w:sz="0" w:space="0" w:color="auto"/>
                <w:right w:val="none" w:sz="0" w:space="0" w:color="auto"/>
              </w:divBdr>
              <w:divsChild>
                <w:div w:id="772940752">
                  <w:marLeft w:val="0"/>
                  <w:marRight w:val="0"/>
                  <w:marTop w:val="0"/>
                  <w:marBottom w:val="0"/>
                  <w:divBdr>
                    <w:top w:val="none" w:sz="0" w:space="0" w:color="auto"/>
                    <w:left w:val="none" w:sz="0" w:space="0" w:color="auto"/>
                    <w:bottom w:val="none" w:sz="0" w:space="0" w:color="auto"/>
                    <w:right w:val="none" w:sz="0" w:space="0" w:color="auto"/>
                  </w:divBdr>
                  <w:divsChild>
                    <w:div w:id="130758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591058">
              <w:marLeft w:val="0"/>
              <w:marRight w:val="0"/>
              <w:marTop w:val="0"/>
              <w:marBottom w:val="0"/>
              <w:divBdr>
                <w:top w:val="none" w:sz="0" w:space="0" w:color="auto"/>
                <w:left w:val="none" w:sz="0" w:space="0" w:color="auto"/>
                <w:bottom w:val="none" w:sz="0" w:space="0" w:color="auto"/>
                <w:right w:val="none" w:sz="0" w:space="0" w:color="auto"/>
              </w:divBdr>
              <w:divsChild>
                <w:div w:id="257638846">
                  <w:marLeft w:val="0"/>
                  <w:marRight w:val="0"/>
                  <w:marTop w:val="0"/>
                  <w:marBottom w:val="0"/>
                  <w:divBdr>
                    <w:top w:val="none" w:sz="0" w:space="0" w:color="auto"/>
                    <w:left w:val="none" w:sz="0" w:space="0" w:color="auto"/>
                    <w:bottom w:val="none" w:sz="0" w:space="0" w:color="auto"/>
                    <w:right w:val="none" w:sz="0" w:space="0" w:color="auto"/>
                  </w:divBdr>
                  <w:divsChild>
                    <w:div w:id="41146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770055">
              <w:marLeft w:val="0"/>
              <w:marRight w:val="0"/>
              <w:marTop w:val="0"/>
              <w:marBottom w:val="0"/>
              <w:divBdr>
                <w:top w:val="none" w:sz="0" w:space="0" w:color="auto"/>
                <w:left w:val="none" w:sz="0" w:space="0" w:color="auto"/>
                <w:bottom w:val="none" w:sz="0" w:space="0" w:color="auto"/>
                <w:right w:val="none" w:sz="0" w:space="0" w:color="auto"/>
              </w:divBdr>
              <w:divsChild>
                <w:div w:id="538513652">
                  <w:marLeft w:val="0"/>
                  <w:marRight w:val="0"/>
                  <w:marTop w:val="0"/>
                  <w:marBottom w:val="0"/>
                  <w:divBdr>
                    <w:top w:val="none" w:sz="0" w:space="0" w:color="auto"/>
                    <w:left w:val="none" w:sz="0" w:space="0" w:color="auto"/>
                    <w:bottom w:val="none" w:sz="0" w:space="0" w:color="auto"/>
                    <w:right w:val="none" w:sz="0" w:space="0" w:color="auto"/>
                  </w:divBdr>
                  <w:divsChild>
                    <w:div w:id="122460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3276">
              <w:marLeft w:val="0"/>
              <w:marRight w:val="0"/>
              <w:marTop w:val="0"/>
              <w:marBottom w:val="0"/>
              <w:divBdr>
                <w:top w:val="none" w:sz="0" w:space="0" w:color="auto"/>
                <w:left w:val="none" w:sz="0" w:space="0" w:color="auto"/>
                <w:bottom w:val="none" w:sz="0" w:space="0" w:color="auto"/>
                <w:right w:val="none" w:sz="0" w:space="0" w:color="auto"/>
              </w:divBdr>
              <w:divsChild>
                <w:div w:id="2024941507">
                  <w:marLeft w:val="0"/>
                  <w:marRight w:val="0"/>
                  <w:marTop w:val="0"/>
                  <w:marBottom w:val="0"/>
                  <w:divBdr>
                    <w:top w:val="none" w:sz="0" w:space="0" w:color="auto"/>
                    <w:left w:val="none" w:sz="0" w:space="0" w:color="auto"/>
                    <w:bottom w:val="none" w:sz="0" w:space="0" w:color="auto"/>
                    <w:right w:val="none" w:sz="0" w:space="0" w:color="auto"/>
                  </w:divBdr>
                  <w:divsChild>
                    <w:div w:id="100154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753665">
              <w:marLeft w:val="0"/>
              <w:marRight w:val="0"/>
              <w:marTop w:val="0"/>
              <w:marBottom w:val="0"/>
              <w:divBdr>
                <w:top w:val="none" w:sz="0" w:space="0" w:color="auto"/>
                <w:left w:val="none" w:sz="0" w:space="0" w:color="auto"/>
                <w:bottom w:val="none" w:sz="0" w:space="0" w:color="auto"/>
                <w:right w:val="none" w:sz="0" w:space="0" w:color="auto"/>
              </w:divBdr>
              <w:divsChild>
                <w:div w:id="474570128">
                  <w:marLeft w:val="0"/>
                  <w:marRight w:val="0"/>
                  <w:marTop w:val="0"/>
                  <w:marBottom w:val="0"/>
                  <w:divBdr>
                    <w:top w:val="none" w:sz="0" w:space="0" w:color="auto"/>
                    <w:left w:val="none" w:sz="0" w:space="0" w:color="auto"/>
                    <w:bottom w:val="none" w:sz="0" w:space="0" w:color="auto"/>
                    <w:right w:val="none" w:sz="0" w:space="0" w:color="auto"/>
                  </w:divBdr>
                  <w:divsChild>
                    <w:div w:id="11890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797197">
              <w:marLeft w:val="0"/>
              <w:marRight w:val="0"/>
              <w:marTop w:val="0"/>
              <w:marBottom w:val="0"/>
              <w:divBdr>
                <w:top w:val="none" w:sz="0" w:space="0" w:color="auto"/>
                <w:left w:val="none" w:sz="0" w:space="0" w:color="auto"/>
                <w:bottom w:val="none" w:sz="0" w:space="0" w:color="auto"/>
                <w:right w:val="none" w:sz="0" w:space="0" w:color="auto"/>
              </w:divBdr>
              <w:divsChild>
                <w:div w:id="1225024364">
                  <w:marLeft w:val="0"/>
                  <w:marRight w:val="0"/>
                  <w:marTop w:val="0"/>
                  <w:marBottom w:val="0"/>
                  <w:divBdr>
                    <w:top w:val="none" w:sz="0" w:space="0" w:color="auto"/>
                    <w:left w:val="none" w:sz="0" w:space="0" w:color="auto"/>
                    <w:bottom w:val="none" w:sz="0" w:space="0" w:color="auto"/>
                    <w:right w:val="none" w:sz="0" w:space="0" w:color="auto"/>
                  </w:divBdr>
                  <w:divsChild>
                    <w:div w:id="41710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357389">
          <w:marLeft w:val="0"/>
          <w:marRight w:val="0"/>
          <w:marTop w:val="0"/>
          <w:marBottom w:val="0"/>
          <w:divBdr>
            <w:top w:val="none" w:sz="0" w:space="0" w:color="auto"/>
            <w:left w:val="none" w:sz="0" w:space="0" w:color="auto"/>
            <w:bottom w:val="none" w:sz="0" w:space="0" w:color="auto"/>
            <w:right w:val="none" w:sz="0" w:space="0" w:color="auto"/>
          </w:divBdr>
          <w:divsChild>
            <w:div w:id="391127015">
              <w:marLeft w:val="0"/>
              <w:marRight w:val="0"/>
              <w:marTop w:val="0"/>
              <w:marBottom w:val="0"/>
              <w:divBdr>
                <w:top w:val="none" w:sz="0" w:space="0" w:color="auto"/>
                <w:left w:val="none" w:sz="0" w:space="0" w:color="auto"/>
                <w:bottom w:val="none" w:sz="0" w:space="0" w:color="auto"/>
                <w:right w:val="none" w:sz="0" w:space="0" w:color="auto"/>
              </w:divBdr>
              <w:divsChild>
                <w:div w:id="98909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4120">
          <w:marLeft w:val="0"/>
          <w:marRight w:val="0"/>
          <w:marTop w:val="0"/>
          <w:marBottom w:val="0"/>
          <w:divBdr>
            <w:top w:val="none" w:sz="0" w:space="0" w:color="auto"/>
            <w:left w:val="none" w:sz="0" w:space="0" w:color="auto"/>
            <w:bottom w:val="none" w:sz="0" w:space="0" w:color="auto"/>
            <w:right w:val="none" w:sz="0" w:space="0" w:color="auto"/>
          </w:divBdr>
          <w:divsChild>
            <w:div w:id="1210266628">
              <w:marLeft w:val="0"/>
              <w:marRight w:val="0"/>
              <w:marTop w:val="0"/>
              <w:marBottom w:val="0"/>
              <w:divBdr>
                <w:top w:val="none" w:sz="0" w:space="0" w:color="auto"/>
                <w:left w:val="none" w:sz="0" w:space="0" w:color="auto"/>
                <w:bottom w:val="none" w:sz="0" w:space="0" w:color="auto"/>
                <w:right w:val="none" w:sz="0" w:space="0" w:color="auto"/>
              </w:divBdr>
              <w:divsChild>
                <w:div w:id="1368676440">
                  <w:marLeft w:val="0"/>
                  <w:marRight w:val="0"/>
                  <w:marTop w:val="0"/>
                  <w:marBottom w:val="0"/>
                  <w:divBdr>
                    <w:top w:val="none" w:sz="0" w:space="0" w:color="auto"/>
                    <w:left w:val="none" w:sz="0" w:space="0" w:color="auto"/>
                    <w:bottom w:val="none" w:sz="0" w:space="0" w:color="auto"/>
                    <w:right w:val="none" w:sz="0" w:space="0" w:color="auto"/>
                  </w:divBdr>
                </w:div>
              </w:divsChild>
            </w:div>
            <w:div w:id="483203517">
              <w:marLeft w:val="0"/>
              <w:marRight w:val="0"/>
              <w:marTop w:val="0"/>
              <w:marBottom w:val="0"/>
              <w:divBdr>
                <w:top w:val="none" w:sz="0" w:space="0" w:color="auto"/>
                <w:left w:val="none" w:sz="0" w:space="0" w:color="auto"/>
                <w:bottom w:val="none" w:sz="0" w:space="0" w:color="auto"/>
                <w:right w:val="none" w:sz="0" w:space="0" w:color="auto"/>
              </w:divBdr>
              <w:divsChild>
                <w:div w:id="152265125">
                  <w:marLeft w:val="0"/>
                  <w:marRight w:val="0"/>
                  <w:marTop w:val="0"/>
                  <w:marBottom w:val="0"/>
                  <w:divBdr>
                    <w:top w:val="none" w:sz="0" w:space="0" w:color="auto"/>
                    <w:left w:val="none" w:sz="0" w:space="0" w:color="auto"/>
                    <w:bottom w:val="none" w:sz="0" w:space="0" w:color="auto"/>
                    <w:right w:val="none" w:sz="0" w:space="0" w:color="auto"/>
                  </w:divBdr>
                  <w:divsChild>
                    <w:div w:id="36170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800944">
              <w:marLeft w:val="0"/>
              <w:marRight w:val="0"/>
              <w:marTop w:val="0"/>
              <w:marBottom w:val="0"/>
              <w:divBdr>
                <w:top w:val="none" w:sz="0" w:space="0" w:color="auto"/>
                <w:left w:val="none" w:sz="0" w:space="0" w:color="auto"/>
                <w:bottom w:val="none" w:sz="0" w:space="0" w:color="auto"/>
                <w:right w:val="none" w:sz="0" w:space="0" w:color="auto"/>
              </w:divBdr>
              <w:divsChild>
                <w:div w:id="85345719">
                  <w:marLeft w:val="0"/>
                  <w:marRight w:val="0"/>
                  <w:marTop w:val="0"/>
                  <w:marBottom w:val="0"/>
                  <w:divBdr>
                    <w:top w:val="none" w:sz="0" w:space="0" w:color="auto"/>
                    <w:left w:val="none" w:sz="0" w:space="0" w:color="auto"/>
                    <w:bottom w:val="none" w:sz="0" w:space="0" w:color="auto"/>
                    <w:right w:val="none" w:sz="0" w:space="0" w:color="auto"/>
                  </w:divBdr>
                  <w:divsChild>
                    <w:div w:id="185788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504822">
              <w:marLeft w:val="0"/>
              <w:marRight w:val="0"/>
              <w:marTop w:val="0"/>
              <w:marBottom w:val="0"/>
              <w:divBdr>
                <w:top w:val="none" w:sz="0" w:space="0" w:color="auto"/>
                <w:left w:val="none" w:sz="0" w:space="0" w:color="auto"/>
                <w:bottom w:val="none" w:sz="0" w:space="0" w:color="auto"/>
                <w:right w:val="none" w:sz="0" w:space="0" w:color="auto"/>
              </w:divBdr>
              <w:divsChild>
                <w:div w:id="1626544090">
                  <w:marLeft w:val="0"/>
                  <w:marRight w:val="0"/>
                  <w:marTop w:val="0"/>
                  <w:marBottom w:val="0"/>
                  <w:divBdr>
                    <w:top w:val="none" w:sz="0" w:space="0" w:color="auto"/>
                    <w:left w:val="none" w:sz="0" w:space="0" w:color="auto"/>
                    <w:bottom w:val="none" w:sz="0" w:space="0" w:color="auto"/>
                    <w:right w:val="none" w:sz="0" w:space="0" w:color="auto"/>
                  </w:divBdr>
                  <w:divsChild>
                    <w:div w:id="30389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a1.azcourts.gov/Portals/1/89/Annual%20Report/2025%20ANNUAL%20REPORT%20v3.pdf?ver=sCBgmsVljMTHnuDrYAjofQ%3d%3d" TargetMode="External"/><Relationship Id="rId13" Type="http://schemas.openxmlformats.org/officeDocument/2006/relationships/hyperlink" Target="https://govt.westlaw.com/azrules/Document/N350196F03FB311E4B4D7C67CCE44C05C?viewType=FullText&amp;originationContext=documenttoc&amp;transitionType=CategoryPageItem&amp;contextData=(sc.Defau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ovt.westlaw.com/azrules/Document/N5CAE73F0F97811EA8073DBC5F3758541?viewType=FullText&amp;originationContext=documenttoc&amp;transitionType=CategoryPageItem&amp;contextData=(sc.Defau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coa1.azcourts.gov/Portals/1/89/Annual%20Report/2025%20ANNUAL%20REPORT%20v3.pdf?ver=sCBgmsVljMTHnuDrYAjofQ%3d%3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a1.azcourts.gov/Portals/1/89/Annual%20Report/2025%20ANNUAL%20REPORT%20v3.pdf?ver=sCBgmsVljMTHnuDrYAjofQ%3d%3d" TargetMode="External"/><Relationship Id="rId5" Type="http://schemas.openxmlformats.org/officeDocument/2006/relationships/webSettings" Target="webSettings.xml"/><Relationship Id="rId15" Type="http://schemas.openxmlformats.org/officeDocument/2006/relationships/hyperlink" Target="https://coa1.azcourts.gov/Portals/1/89/Annual%20Report/2025%20ANNUAL%20REPORT%20v3.pdf?ver=sCBgmsVljMTHnuDrYAjofQ%3d%3d" TargetMode="External"/><Relationship Id="rId10" Type="http://schemas.openxmlformats.org/officeDocument/2006/relationships/hyperlink" Target="https://coa1.azcourts.gov/Portals/1/89/Annual%20Report/2025%20ANNUAL%20REPORT%20v3.pdf?ver=sCBgmsVljMTHnuDrYAjofQ%3d%3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oa1.azcourts.gov/Portals/1/89/Annual%20Report/2025%20ANNUAL%20REPORT%20v3.pdf?ver=sCBgmsVljMTHnuDrYAjofQ%3d%3d" TargetMode="External"/><Relationship Id="rId14" Type="http://schemas.openxmlformats.org/officeDocument/2006/relationships/hyperlink" Target="https://govt.westlaw.com/azrules/Document/NE2E1D730D63011DFBEA8ABF3F81D86F7?viewType=FullText&amp;originationContext=documenttoc&amp;transitionType=CategoryPageItem&amp;contextData=(sc.Defa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8F5C4-9EC2-4DCF-AABC-918C0D0FF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4</Pages>
  <Words>843</Words>
  <Characters>4809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Arizona Attorney General</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xptest3</dc:creator>
  <cp:lastModifiedBy>Jones, Alice</cp:lastModifiedBy>
  <cp:revision>5</cp:revision>
  <dcterms:created xsi:type="dcterms:W3CDTF">2026-04-29T17:12:00Z</dcterms:created>
  <dcterms:modified xsi:type="dcterms:W3CDTF">2026-04-29T20:57:00Z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2013-01-09T00:00:00Z</vt:filetime>
  </property>
  <property fmtid="{D5CDD505-2E9C-101B-9397-08002B2CF9AE}" pid="3" name="LastSaved">
    <vt:filetime>2024-04-03T00:00:00Z</vt:filetime>
  </property>
</Properties>
</file>