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720" w:right="0" w:firstLine="0"/>
        <w:jc w:val="left"/>
        <w:rPr>
          <w:sz w:val="25"/>
        </w:rPr>
      </w:pPr>
      <w:r>
        <w:rPr>
          <w:sz w:val="25"/>
        </w:rPr>
        <w:t>Vice</w:t>
      </w:r>
      <w:r>
        <w:rPr>
          <w:spacing w:val="15"/>
          <w:sz w:val="25"/>
        </w:rPr>
        <w:t> </w:t>
      </w:r>
      <w:r>
        <w:rPr>
          <w:sz w:val="25"/>
        </w:rPr>
        <w:t>Chief</w:t>
      </w:r>
      <w:r>
        <w:rPr>
          <w:spacing w:val="15"/>
          <w:sz w:val="25"/>
        </w:rPr>
        <w:t> </w:t>
      </w:r>
      <w:r>
        <w:rPr>
          <w:sz w:val="25"/>
        </w:rPr>
        <w:t>Justice</w:t>
      </w:r>
      <w:r>
        <w:rPr>
          <w:spacing w:val="16"/>
          <w:sz w:val="25"/>
        </w:rPr>
        <w:t> </w:t>
      </w:r>
      <w:r>
        <w:rPr>
          <w:sz w:val="25"/>
        </w:rPr>
        <w:t>John</w:t>
      </w:r>
      <w:r>
        <w:rPr>
          <w:spacing w:val="17"/>
          <w:sz w:val="25"/>
        </w:rPr>
        <w:t> </w:t>
      </w:r>
      <w:r>
        <w:rPr>
          <w:sz w:val="25"/>
        </w:rPr>
        <w:t>R.</w:t>
      </w:r>
      <w:r>
        <w:rPr>
          <w:spacing w:val="3"/>
          <w:sz w:val="25"/>
        </w:rPr>
        <w:t> </w:t>
      </w:r>
      <w:r>
        <w:rPr>
          <w:sz w:val="25"/>
        </w:rPr>
        <w:t>Lopez</w:t>
      </w:r>
      <w:r>
        <w:rPr>
          <w:spacing w:val="17"/>
          <w:sz w:val="25"/>
        </w:rPr>
        <w:t> </w:t>
      </w:r>
      <w:r>
        <w:rPr>
          <w:spacing w:val="-5"/>
          <w:sz w:val="25"/>
        </w:rPr>
        <w:t>IV</w:t>
      </w:r>
    </w:p>
    <w:p>
      <w:pPr>
        <w:spacing w:line="254" w:lineRule="auto" w:before="3"/>
        <w:ind w:left="720" w:right="4079" w:firstLine="0"/>
        <w:jc w:val="left"/>
        <w:rPr>
          <w:sz w:val="25"/>
        </w:rPr>
      </w:pPr>
      <w:r>
        <w:rPr>
          <w:sz w:val="25"/>
        </w:rPr>
        <w:t>Chair,</w:t>
      </w:r>
      <w:r>
        <w:rPr>
          <w:spacing w:val="-10"/>
          <w:sz w:val="25"/>
        </w:rPr>
        <w:t> </w:t>
      </w:r>
      <w:r>
        <w:rPr>
          <w:sz w:val="25"/>
        </w:rPr>
        <w:t>Attorney</w:t>
      </w:r>
      <w:r>
        <w:rPr>
          <w:spacing w:val="-10"/>
          <w:sz w:val="25"/>
        </w:rPr>
        <w:t> </w:t>
      </w:r>
      <w:r>
        <w:rPr>
          <w:sz w:val="25"/>
        </w:rPr>
        <w:t>Regulation</w:t>
      </w:r>
      <w:r>
        <w:rPr>
          <w:spacing w:val="-10"/>
          <w:sz w:val="25"/>
        </w:rPr>
        <w:t> </w:t>
      </w:r>
      <w:r>
        <w:rPr>
          <w:sz w:val="25"/>
        </w:rPr>
        <w:t>Advisory</w:t>
      </w:r>
      <w:r>
        <w:rPr>
          <w:spacing w:val="-10"/>
          <w:sz w:val="25"/>
        </w:rPr>
        <w:t> </w:t>
      </w:r>
      <w:r>
        <w:rPr>
          <w:sz w:val="25"/>
        </w:rPr>
        <w:t>Committee Arizona Supreme Court</w:t>
      </w:r>
    </w:p>
    <w:p>
      <w:pPr>
        <w:spacing w:line="240" w:lineRule="auto" w:before="0"/>
        <w:ind w:left="720" w:right="6079" w:firstLine="0"/>
        <w:jc w:val="left"/>
        <w:rPr>
          <w:sz w:val="25"/>
        </w:rPr>
      </w:pPr>
      <w:r>
        <w:rPr>
          <w:sz w:val="25"/>
        </w:rPr>
        <w:t>1501</w:t>
      </w:r>
      <w:r>
        <w:rPr>
          <w:spacing w:val="-11"/>
          <w:sz w:val="25"/>
        </w:rPr>
        <w:t> </w:t>
      </w:r>
      <w:r>
        <w:rPr>
          <w:sz w:val="25"/>
        </w:rPr>
        <w:t>W.</w:t>
      </w:r>
      <w:r>
        <w:rPr>
          <w:spacing w:val="-11"/>
          <w:sz w:val="25"/>
        </w:rPr>
        <w:t> </w:t>
      </w:r>
      <w:r>
        <w:rPr>
          <w:sz w:val="25"/>
        </w:rPr>
        <w:t>Washington</w:t>
      </w:r>
      <w:r>
        <w:rPr>
          <w:spacing w:val="23"/>
          <w:sz w:val="25"/>
        </w:rPr>
        <w:t> </w:t>
      </w:r>
      <w:r>
        <w:rPr>
          <w:sz w:val="25"/>
        </w:rPr>
        <w:t>Street Phoenix, AZ</w:t>
      </w:r>
      <w:r>
        <w:rPr>
          <w:spacing w:val="40"/>
          <w:sz w:val="25"/>
        </w:rPr>
        <w:t> </w:t>
      </w:r>
      <w:r>
        <w:rPr>
          <w:sz w:val="25"/>
        </w:rPr>
        <w:t>85007</w:t>
      </w:r>
    </w:p>
    <w:p>
      <w:pPr>
        <w:spacing w:line="254" w:lineRule="auto" w:before="13"/>
        <w:ind w:left="720" w:right="7003" w:firstLine="0"/>
        <w:jc w:val="left"/>
        <w:rPr>
          <w:sz w:val="25"/>
        </w:rPr>
      </w:pPr>
      <w:r>
        <w:rPr>
          <w:sz w:val="25"/>
        </w:rPr>
        <w:t>Telephone:</w:t>
      </w:r>
      <w:r>
        <w:rPr>
          <w:spacing w:val="40"/>
          <w:sz w:val="25"/>
        </w:rPr>
        <w:t> </w:t>
      </w:r>
      <w:r>
        <w:rPr>
          <w:sz w:val="25"/>
        </w:rPr>
        <w:t>602-452-3378 E-mail:</w:t>
      </w:r>
      <w:r>
        <w:rPr>
          <w:spacing w:val="-1"/>
          <w:sz w:val="25"/>
        </w:rPr>
        <w:t> </w:t>
      </w:r>
      <w:hyperlink r:id="rId6">
        <w:r>
          <w:rPr>
            <w:color w:val="0000FF"/>
            <w:sz w:val="25"/>
            <w:u w:val="single" w:color="0000FF"/>
          </w:rPr>
          <w:t>arc@courts.az.gov</w:t>
        </w:r>
      </w:hyperlink>
    </w:p>
    <w:p>
      <w:pPr>
        <w:pStyle w:val="BodyText"/>
        <w:ind w:left="0"/>
        <w:jc w:val="left"/>
        <w:rPr>
          <w:sz w:val="25"/>
        </w:rPr>
      </w:pPr>
    </w:p>
    <w:p>
      <w:pPr>
        <w:pStyle w:val="BodyText"/>
        <w:spacing w:before="16"/>
        <w:ind w:left="0"/>
        <w:jc w:val="left"/>
        <w:rPr>
          <w:sz w:val="25"/>
        </w:rPr>
      </w:pPr>
    </w:p>
    <w:p>
      <w:pPr>
        <w:pStyle w:val="Heading1"/>
        <w:spacing w:line="254" w:lineRule="auto"/>
        <w:ind w:left="3466" w:right="3117"/>
      </w:pP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SUPREME</w:t>
      </w:r>
      <w:r>
        <w:rPr>
          <w:spacing w:val="-14"/>
        </w:rPr>
        <w:t> </w:t>
      </w:r>
      <w:r>
        <w:rPr/>
        <w:t>COURT STATE OF ARIZONA</w:t>
      </w:r>
    </w:p>
    <w:p>
      <w:pPr>
        <w:pStyle w:val="BodyText"/>
        <w:spacing w:before="32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0"/>
        <w:gridCol w:w="4219"/>
      </w:tblGrid>
      <w:tr>
        <w:trPr>
          <w:trHeight w:val="1790" w:hRule="atLeast"/>
        </w:trPr>
        <w:tc>
          <w:tcPr>
            <w:tcW w:w="46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In</w:t>
            </w:r>
            <w:r>
              <w:rPr>
                <w:spacing w:val="14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9"/>
                <w:sz w:val="25"/>
              </w:rPr>
              <w:t> </w:t>
            </w:r>
            <w:r>
              <w:rPr>
                <w:sz w:val="25"/>
              </w:rPr>
              <w:t>Matter</w:t>
            </w:r>
            <w:r>
              <w:rPr>
                <w:spacing w:val="8"/>
                <w:sz w:val="25"/>
              </w:rPr>
              <w:t> </w:t>
            </w:r>
            <w:r>
              <w:rPr>
                <w:spacing w:val="-5"/>
                <w:sz w:val="25"/>
              </w:rPr>
              <w:t>of</w:t>
            </w:r>
          </w:p>
          <w:p>
            <w:pPr>
              <w:pStyle w:val="TableParagraph"/>
              <w:spacing w:before="18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54" w:lineRule="auto"/>
              <w:rPr>
                <w:sz w:val="25"/>
              </w:rPr>
            </w:pPr>
            <w:r>
              <w:rPr>
                <w:sz w:val="25"/>
              </w:rPr>
              <w:t>Petition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to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Amend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Rule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36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(e)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and</w:t>
            </w:r>
            <w:r>
              <w:rPr>
                <w:spacing w:val="40"/>
                <w:sz w:val="25"/>
              </w:rPr>
              <w:t> </w:t>
            </w:r>
            <w:r>
              <w:rPr>
                <w:sz w:val="25"/>
              </w:rPr>
              <w:t>(f),</w:t>
            </w:r>
            <w:r>
              <w:rPr>
                <w:spacing w:val="80"/>
                <w:sz w:val="25"/>
              </w:rPr>
              <w:t> </w:t>
            </w:r>
            <w:r>
              <w:rPr>
                <w:sz w:val="25"/>
              </w:rPr>
              <w:t>Rules of the Supreme Court</w:t>
            </w:r>
          </w:p>
        </w:tc>
        <w:tc>
          <w:tcPr>
            <w:tcW w:w="421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  <w:r>
              <w:rPr>
                <w:sz w:val="25"/>
              </w:rPr>
              <w:t>Arizona</w:t>
            </w:r>
            <w:r>
              <w:rPr>
                <w:spacing w:val="13"/>
                <w:sz w:val="25"/>
              </w:rPr>
              <w:t> </w:t>
            </w:r>
            <w:r>
              <w:rPr>
                <w:sz w:val="25"/>
              </w:rPr>
              <w:t>Supreme</w:t>
            </w:r>
            <w:r>
              <w:rPr>
                <w:spacing w:val="31"/>
                <w:sz w:val="25"/>
              </w:rPr>
              <w:t> </w:t>
            </w:r>
            <w:r>
              <w:rPr>
                <w:sz w:val="25"/>
              </w:rPr>
              <w:t>Court</w:t>
            </w:r>
            <w:r>
              <w:rPr>
                <w:spacing w:val="11"/>
                <w:sz w:val="25"/>
              </w:rPr>
              <w:t> </w:t>
            </w:r>
            <w:r>
              <w:rPr>
                <w:sz w:val="25"/>
              </w:rPr>
              <w:t>No.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R-26-</w:t>
            </w:r>
            <w:r>
              <w:rPr>
                <w:spacing w:val="-4"/>
                <w:sz w:val="25"/>
              </w:rPr>
              <w:t>0014</w:t>
            </w:r>
          </w:p>
          <w:p>
            <w:pPr>
              <w:pStyle w:val="TableParagraph"/>
              <w:spacing w:before="18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54" w:lineRule="auto"/>
              <w:rPr>
                <w:sz w:val="25"/>
              </w:rPr>
            </w:pPr>
            <w:r>
              <w:rPr>
                <w:sz w:val="25"/>
              </w:rPr>
              <w:t>Comment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Attorney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Regulation Advisory Committee</w:t>
            </w:r>
          </w:p>
        </w:tc>
      </w:tr>
    </w:tbl>
    <w:p>
      <w:pPr>
        <w:pStyle w:val="BodyText"/>
        <w:ind w:left="0"/>
        <w:jc w:val="left"/>
        <w:rPr>
          <w:b/>
          <w:sz w:val="25"/>
        </w:rPr>
      </w:pPr>
    </w:p>
    <w:p>
      <w:pPr>
        <w:pStyle w:val="BodyText"/>
        <w:ind w:left="0"/>
        <w:jc w:val="left"/>
        <w:rPr>
          <w:b/>
          <w:sz w:val="25"/>
        </w:rPr>
      </w:pPr>
    </w:p>
    <w:p>
      <w:pPr>
        <w:pStyle w:val="BodyText"/>
        <w:spacing w:before="53"/>
        <w:ind w:left="0"/>
        <w:jc w:val="left"/>
        <w:rPr>
          <w:b/>
          <w:sz w:val="25"/>
        </w:rPr>
      </w:pPr>
    </w:p>
    <w:p>
      <w:pPr>
        <w:spacing w:line="374" w:lineRule="auto" w:before="0"/>
        <w:ind w:left="1601" w:right="1170" w:firstLine="0"/>
        <w:jc w:val="center"/>
        <w:rPr>
          <w:b/>
          <w:sz w:val="25"/>
        </w:rPr>
      </w:pPr>
      <w:r>
        <w:rPr>
          <w:b/>
          <w:sz w:val="25"/>
        </w:rPr>
        <w:t>COMMENT</w:t>
      </w:r>
      <w:r>
        <w:rPr>
          <w:b/>
          <w:spacing w:val="32"/>
          <w:sz w:val="25"/>
        </w:rPr>
        <w:t> </w:t>
      </w:r>
      <w:r>
        <w:rPr>
          <w:b/>
          <w:sz w:val="25"/>
        </w:rPr>
        <w:t>IN</w:t>
      </w:r>
      <w:r>
        <w:rPr>
          <w:b/>
          <w:spacing w:val="32"/>
          <w:sz w:val="25"/>
        </w:rPr>
        <w:t> </w:t>
      </w:r>
      <w:r>
        <w:rPr>
          <w:b/>
          <w:sz w:val="25"/>
        </w:rPr>
        <w:t>OPPOSTION</w:t>
      </w:r>
      <w:r>
        <w:rPr>
          <w:b/>
          <w:spacing w:val="31"/>
          <w:sz w:val="25"/>
        </w:rPr>
        <w:t> </w:t>
      </w:r>
      <w:r>
        <w:rPr>
          <w:b/>
          <w:sz w:val="25"/>
        </w:rPr>
        <w:t>TO</w:t>
      </w:r>
      <w:r>
        <w:rPr>
          <w:b/>
          <w:spacing w:val="29"/>
          <w:sz w:val="25"/>
        </w:rPr>
        <w:t> </w:t>
      </w:r>
      <w:r>
        <w:rPr>
          <w:b/>
          <w:sz w:val="25"/>
        </w:rPr>
        <w:t>PETITION</w:t>
      </w:r>
      <w:r>
        <w:rPr>
          <w:b/>
          <w:spacing w:val="32"/>
          <w:sz w:val="25"/>
        </w:rPr>
        <w:t> </w:t>
      </w:r>
      <w:r>
        <w:rPr>
          <w:b/>
          <w:sz w:val="25"/>
        </w:rPr>
        <w:t>TO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AMEND ARIZONA SUPREME COURT RULE 36 (e) and (f)</w:t>
      </w:r>
    </w:p>
    <w:p>
      <w:pPr>
        <w:pStyle w:val="BodyText"/>
        <w:spacing w:before="1"/>
        <w:ind w:left="0"/>
        <w:jc w:val="left"/>
        <w:rPr>
          <w:b/>
          <w:sz w:val="25"/>
        </w:rPr>
      </w:pPr>
    </w:p>
    <w:p>
      <w:pPr>
        <w:pStyle w:val="BodyText"/>
        <w:spacing w:line="480" w:lineRule="auto"/>
        <w:ind w:right="357" w:firstLine="720"/>
      </w:pPr>
      <w:r>
        <w:rPr/>
        <w:t>Pursuant to Rule 28, Arizona Rules of the Supreme Court, this Court’s Attorney Regulation Committee submits this comment for the Court’s consideration.</w:t>
      </w:r>
    </w:p>
    <w:p>
      <w:pPr>
        <w:pStyle w:val="BodyText"/>
        <w:spacing w:line="480" w:lineRule="auto"/>
        <w:ind w:right="355" w:firstLine="720"/>
      </w:pPr>
      <w:r>
        <w:rPr/>
        <w:t>The Petition seeks to impose a deadline on the notification of a decision following an inquiry or hearing pursuant to Rule 36, Ariz. R. Sup. Ct.</w:t>
      </w:r>
      <w:r>
        <w:rPr>
          <w:spacing w:val="40"/>
        </w:rPr>
        <w:t> </w:t>
      </w:r>
      <w:r>
        <w:rPr/>
        <w:t>Without offering evidence the Petition states applicants “sometime wait months” before the decision is communicated.</w:t>
      </w:r>
    </w:p>
    <w:p>
      <w:pPr>
        <w:pStyle w:val="BodyText"/>
        <w:spacing w:line="480" w:lineRule="auto"/>
        <w:ind w:right="355" w:firstLine="720"/>
      </w:pPr>
      <w:r>
        <w:rPr/>
        <w:t>Over 1100 applicants were recommended for admission in 2025.</w:t>
      </w:r>
      <w:r>
        <w:rPr>
          <w:spacing w:val="80"/>
        </w:rPr>
        <w:t> </w:t>
      </w:r>
      <w:r>
        <w:rPr/>
        <w:t>2025 Report of the Attorney Regulation Advisory Committee to this Court.</w:t>
      </w:r>
      <w:r>
        <w:rPr>
          <w:spacing w:val="80"/>
          <w:w w:val="150"/>
        </w:rPr>
        <w:t> </w:t>
      </w:r>
      <w:r>
        <w:rPr/>
        <w:t>Each application must be reviewed by</w:t>
      </w:r>
      <w:r>
        <w:rPr>
          <w:spacing w:val="40"/>
        </w:rPr>
        <w:t> </w:t>
      </w:r>
      <w:r>
        <w:rPr/>
        <w:t>staff.</w:t>
      </w:r>
      <w:r>
        <w:rPr>
          <w:spacing w:val="80"/>
        </w:rPr>
        <w:t> </w:t>
      </w:r>
      <w:r>
        <w:rPr/>
        <w:t>While many applications disclose no issues of concern, a substantial number of applications are reviewed by members of the Committee on Character and Fitness (“the Committee”).</w:t>
      </w:r>
      <w:r>
        <w:rPr>
          <w:spacing w:val="40"/>
        </w:rPr>
        <w:t> </w:t>
      </w:r>
      <w:r>
        <w:rPr/>
        <w:t>That review</w:t>
      </w:r>
      <w:r>
        <w:rPr>
          <w:spacing w:val="74"/>
        </w:rPr>
        <w:t> </w:t>
      </w:r>
      <w:r>
        <w:rPr/>
        <w:t>may</w:t>
      </w:r>
      <w:r>
        <w:rPr>
          <w:spacing w:val="78"/>
        </w:rPr>
        <w:t> </w:t>
      </w:r>
      <w:r>
        <w:rPr/>
        <w:t>be</w:t>
      </w:r>
      <w:r>
        <w:rPr>
          <w:spacing w:val="77"/>
        </w:rPr>
        <w:t> </w:t>
      </w:r>
      <w:r>
        <w:rPr/>
        <w:t>satisfied</w:t>
      </w:r>
      <w:r>
        <w:rPr>
          <w:spacing w:val="77"/>
        </w:rPr>
        <w:t> </w:t>
      </w:r>
      <w:r>
        <w:rPr/>
        <w:t>with</w:t>
      </w:r>
      <w:r>
        <w:rPr>
          <w:spacing w:val="78"/>
        </w:rPr>
        <w:t> </w:t>
      </w:r>
      <w:r>
        <w:rPr/>
        <w:t>the</w:t>
      </w:r>
      <w:r>
        <w:rPr>
          <w:spacing w:val="77"/>
        </w:rPr>
        <w:t> </w:t>
      </w:r>
      <w:r>
        <w:rPr/>
        <w:t>applicant</w:t>
      </w:r>
      <w:r>
        <w:rPr>
          <w:spacing w:val="77"/>
        </w:rPr>
        <w:t> </w:t>
      </w:r>
      <w:r>
        <w:rPr/>
        <w:t>providing</w:t>
      </w:r>
      <w:r>
        <w:rPr>
          <w:spacing w:val="78"/>
        </w:rPr>
        <w:t> </w:t>
      </w:r>
      <w:r>
        <w:rPr/>
        <w:t>further</w:t>
      </w:r>
      <w:r>
        <w:rPr>
          <w:spacing w:val="77"/>
        </w:rPr>
        <w:t> </w:t>
      </w:r>
      <w:r>
        <w:rPr/>
        <w:t>information</w:t>
      </w:r>
      <w:r>
        <w:rPr>
          <w:spacing w:val="77"/>
        </w:rPr>
        <w:t> </w:t>
      </w:r>
      <w:r>
        <w:rPr/>
        <w:t>in</w:t>
      </w:r>
      <w:r>
        <w:rPr>
          <w:spacing w:val="78"/>
        </w:rPr>
        <w:t> </w:t>
      </w:r>
      <w:r>
        <w:rPr/>
        <w:t>documentary</w:t>
      </w:r>
      <w:r>
        <w:rPr>
          <w:spacing w:val="80"/>
        </w:rPr>
        <w:t> </w:t>
      </w:r>
      <w:r>
        <w:rPr>
          <w:spacing w:val="-5"/>
        </w:rPr>
        <w:t>or</w:t>
      </w:r>
    </w:p>
    <w:p>
      <w:pPr>
        <w:pStyle w:val="BodyText"/>
        <w:spacing w:after="0" w:line="480" w:lineRule="auto"/>
        <w:sectPr>
          <w:footerReference w:type="default" r:id="rId5"/>
          <w:type w:val="continuous"/>
          <w:pgSz w:w="12240" w:h="15840"/>
          <w:pgMar w:header="0" w:footer="1010" w:top="1580" w:bottom="1200" w:left="720" w:right="1080"/>
          <w:pgNumType w:start="1"/>
        </w:sectPr>
      </w:pPr>
    </w:p>
    <w:p>
      <w:pPr>
        <w:pStyle w:val="BodyText"/>
        <w:spacing w:line="480" w:lineRule="auto" w:before="78"/>
        <w:ind w:right="356"/>
      </w:pPr>
      <w:r>
        <w:rPr/>
        <w:t>testimonial form.</w:t>
      </w:r>
      <w:r>
        <w:rPr>
          <w:spacing w:val="40"/>
        </w:rPr>
        <w:t> </w:t>
      </w:r>
      <w:r>
        <w:rPr/>
        <w:t>In 2025, a total of 57 applicants were subject to an inquiry or hearing before the </w:t>
      </w:r>
      <w:r>
        <w:rPr>
          <w:spacing w:val="-2"/>
        </w:rPr>
        <w:t>Committee.</w:t>
      </w:r>
    </w:p>
    <w:p>
      <w:pPr>
        <w:pStyle w:val="BodyText"/>
        <w:spacing w:line="480" w:lineRule="auto"/>
        <w:ind w:right="354" w:firstLine="720"/>
      </w:pPr>
      <w:r>
        <w:rPr/>
        <w:t>Depending upon the nature of the issues presented at the inquiry or hearing, findings may be required.</w:t>
      </w:r>
      <w:r>
        <w:rPr>
          <w:spacing w:val="40"/>
        </w:rPr>
        <w:t> </w:t>
      </w:r>
      <w:r>
        <w:rPr/>
        <w:t>Specifically, Rule 36 (e)(5) requires written findings for a recommendation of conditional admission coming from an inquiry.</w:t>
      </w:r>
      <w:r>
        <w:rPr>
          <w:spacing w:val="40"/>
        </w:rPr>
        <w:t> </w:t>
      </w:r>
      <w:r>
        <w:rPr/>
        <w:t>Rule 36(f)(5) requires written findings for a recommendation of conditional admission or a recommendation of admission for an applicant “whose conduct was considered under paragraph (d)(4)” of Rule 36.</w:t>
      </w:r>
    </w:p>
    <w:p>
      <w:pPr>
        <w:pStyle w:val="BodyText"/>
        <w:spacing w:line="480" w:lineRule="auto"/>
        <w:ind w:right="357" w:firstLine="720"/>
      </w:pPr>
      <w:r>
        <w:rPr/>
        <w:t>Findings pursuant to paragraph (d)(4) relate to five different categories of conduct ranging from commission of a crime to denial of licensure in another jurisdiction.</w:t>
      </w:r>
      <w:r>
        <w:rPr>
          <w:spacing w:val="80"/>
        </w:rPr>
        <w:t> </w:t>
      </w:r>
      <w:r>
        <w:rPr/>
        <w:t>The records related to such conduct can be voluminous.</w:t>
      </w:r>
    </w:p>
    <w:p>
      <w:pPr>
        <w:pStyle w:val="BodyText"/>
        <w:spacing w:line="480" w:lineRule="auto" w:before="1"/>
        <w:ind w:right="356" w:firstLine="720"/>
      </w:pPr>
      <w:r>
        <w:rPr/>
        <w:t>The Committee members reviewing applications are all volunteers, including both public members and attorneys.</w:t>
      </w:r>
      <w:r>
        <w:rPr>
          <w:spacing w:val="40"/>
        </w:rPr>
        <w:t> </w:t>
      </w:r>
      <w:r>
        <w:rPr/>
        <w:t>When an inquiry or hearing is required, the reviewing member assumes the role of investigating member for the Committee.</w:t>
      </w:r>
      <w:r>
        <w:rPr>
          <w:spacing w:val="40"/>
        </w:rPr>
        <w:t> </w:t>
      </w:r>
      <w:r>
        <w:rPr/>
        <w:t>While inquiries are generally concluded within a few hours, complicated hearings may take several days.</w:t>
      </w:r>
    </w:p>
    <w:p>
      <w:pPr>
        <w:pStyle w:val="BodyText"/>
        <w:spacing w:line="480" w:lineRule="auto"/>
        <w:ind w:left="359" w:right="354" w:firstLine="720"/>
      </w:pPr>
      <w:r>
        <w:rPr/>
        <w:t>Following the inquiry or hearing the investigating member is tasked with drafting the findings.</w:t>
      </w:r>
      <w:r>
        <w:rPr>
          <w:spacing w:val="40"/>
        </w:rPr>
        <w:t> </w:t>
      </w:r>
      <w:r>
        <w:rPr/>
        <w:t>While the investigating member usually has the best understanding of the all the exhibits and disclosures, the investigating member is not permitted to participate in the discussion which yields a vote on admission.</w:t>
      </w:r>
      <w:r>
        <w:rPr>
          <w:spacing w:val="40"/>
        </w:rPr>
        <w:t> </w:t>
      </w:r>
      <w:r>
        <w:rPr/>
        <w:t>So, the investigating member’s draft is circulated to panel members for input on the decision- making process.</w:t>
      </w:r>
      <w:r>
        <w:rPr>
          <w:spacing w:val="40"/>
        </w:rPr>
        <w:t> </w:t>
      </w:r>
      <w:r>
        <w:rPr/>
        <w:t>A redraft is then provided to the presiding member or Committee chair for approval.</w:t>
      </w:r>
    </w:p>
    <w:p>
      <w:pPr>
        <w:pStyle w:val="BodyText"/>
        <w:spacing w:line="480" w:lineRule="auto"/>
        <w:ind w:right="354" w:firstLine="720"/>
      </w:pPr>
      <w:r>
        <w:rPr/>
        <w:t>The amount of time needed to prepare the findings is largely dependent upon the amount of information or evidence introduced at the hearing and the complexity of that information.</w:t>
      </w:r>
      <w:r>
        <w:rPr>
          <w:spacing w:val="40"/>
        </w:rPr>
        <w:t> </w:t>
      </w:r>
      <w:r>
        <w:rPr/>
        <w:t>Audio transcripts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hearings</w:t>
      </w:r>
      <w:r>
        <w:rPr>
          <w:spacing w:val="15"/>
        </w:rPr>
        <w:t> </w:t>
      </w:r>
      <w:r>
        <w:rPr/>
        <w:t>are</w:t>
      </w:r>
      <w:r>
        <w:rPr>
          <w:spacing w:val="14"/>
        </w:rPr>
        <w:t> </w:t>
      </w:r>
      <w:r>
        <w:rPr/>
        <w:t>available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review,</w:t>
      </w:r>
      <w:r>
        <w:rPr>
          <w:spacing w:val="15"/>
        </w:rPr>
        <w:t> </w:t>
      </w:r>
      <w:r>
        <w:rPr/>
        <w:t>but</w:t>
      </w:r>
      <w:r>
        <w:rPr>
          <w:spacing w:val="16"/>
        </w:rPr>
        <w:t> </w:t>
      </w:r>
      <w:r>
        <w:rPr/>
        <w:t>not</w:t>
      </w:r>
      <w:r>
        <w:rPr>
          <w:spacing w:val="15"/>
        </w:rPr>
        <w:t> </w:t>
      </w:r>
      <w:r>
        <w:rPr/>
        <w:t>written</w:t>
      </w:r>
      <w:r>
        <w:rPr>
          <w:spacing w:val="15"/>
        </w:rPr>
        <w:t> </w:t>
      </w:r>
      <w:r>
        <w:rPr/>
        <w:t>transcripts.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findings</w:t>
      </w:r>
      <w:r>
        <w:rPr>
          <w:spacing w:val="16"/>
        </w:rPr>
        <w:t> </w:t>
      </w:r>
      <w:r>
        <w:rPr/>
        <w:t>must</w:t>
      </w:r>
      <w:r>
        <w:rPr>
          <w:spacing w:val="16"/>
        </w:rPr>
        <w:t> </w:t>
      </w:r>
      <w:r>
        <w:rPr>
          <w:spacing w:val="-5"/>
        </w:rPr>
        <w:t>be</w:t>
      </w:r>
    </w:p>
    <w:p>
      <w:pPr>
        <w:pStyle w:val="BodyText"/>
      </w:pPr>
      <w:r>
        <w:rPr/>
        <w:t>prepared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enough</w:t>
      </w:r>
      <w:r>
        <w:rPr>
          <w:spacing w:val="-1"/>
        </w:rPr>
        <w:t> </w:t>
      </w:r>
      <w:r>
        <w:rPr/>
        <w:t>detail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consider its</w:t>
      </w:r>
      <w:r>
        <w:rPr>
          <w:spacing w:val="-1"/>
        </w:rPr>
        <w:t> </w:t>
      </w:r>
      <w:r>
        <w:rPr>
          <w:spacing w:val="-2"/>
        </w:rPr>
        <w:t>review.</w:t>
      </w:r>
    </w:p>
    <w:p>
      <w:pPr>
        <w:pStyle w:val="BodyText"/>
        <w:spacing w:after="0"/>
        <w:sectPr>
          <w:pgSz w:w="12240" w:h="15840"/>
          <w:pgMar w:header="0" w:footer="1010" w:top="1500" w:bottom="1200" w:left="720" w:right="1080"/>
        </w:sectPr>
      </w:pPr>
    </w:p>
    <w:p>
      <w:pPr>
        <w:pStyle w:val="BodyText"/>
        <w:spacing w:line="480" w:lineRule="auto" w:before="78"/>
        <w:ind w:right="355" w:firstLine="720"/>
      </w:pPr>
      <w:r>
        <w:rPr/>
        <w:t>The preparation of findings for a hearing on an AOM application often requires more time because of the number of records to be obtained and reviewed from multiple jurisdictions.</w:t>
      </w:r>
      <w:r>
        <w:rPr>
          <w:spacing w:val="40"/>
        </w:rPr>
        <w:t> </w:t>
      </w:r>
      <w:r>
        <w:rPr/>
        <w:t>This will in turn require more hearing time where discipline has been imposed in other jurisdictions.</w:t>
      </w:r>
    </w:p>
    <w:p>
      <w:pPr>
        <w:pStyle w:val="BodyText"/>
        <w:spacing w:line="480" w:lineRule="auto"/>
        <w:ind w:right="355" w:firstLine="720"/>
      </w:pPr>
      <w:r>
        <w:rPr/>
        <w:t>The Committee strives to complete an initial draft as quickly as possible, and within 30 days where possible.</w:t>
      </w:r>
      <w:r>
        <w:rPr>
          <w:spacing w:val="40"/>
        </w:rPr>
        <w:t> </w:t>
      </w:r>
      <w:r>
        <w:rPr/>
        <w:t>However, with volunteer members all having outside employment as attorneys or judicial officers, that outside work takes precedence.</w:t>
      </w:r>
      <w:r>
        <w:rPr>
          <w:spacing w:val="80"/>
        </w:rPr>
        <w:t> </w:t>
      </w:r>
      <w:r>
        <w:rPr/>
        <w:t>Staff and CLD management send reminders and offer assistance where appropriate.</w:t>
      </w:r>
      <w:r>
        <w:rPr>
          <w:spacing w:val="40"/>
        </w:rPr>
        <w:t> </w:t>
      </w:r>
      <w:r>
        <w:rPr/>
        <w:t>Currently, the average time to issue a decision is 57 days. In 2025 there were 7 decisions which required more than the average.</w:t>
      </w:r>
      <w:r>
        <w:rPr>
          <w:spacing w:val="40"/>
        </w:rPr>
        <w:t> </w:t>
      </w:r>
      <w:r>
        <w:rPr/>
        <w:t>Those decisions are listed in Exhibit 1.</w:t>
      </w:r>
      <w:r>
        <w:rPr>
          <w:spacing w:val="40"/>
        </w:rPr>
        <w:t> </w:t>
      </w:r>
      <w:r>
        <w:rPr/>
        <w:t>Each of those matters involved viewing, organizing, and presenting hundreds of pages of records, then preparing for the hearing and drafting the findings necessary to sustain the decision.</w:t>
      </w:r>
    </w:p>
    <w:p>
      <w:pPr>
        <w:pStyle w:val="BodyText"/>
        <w:spacing w:line="480" w:lineRule="auto" w:before="1"/>
        <w:ind w:right="356" w:firstLine="720"/>
      </w:pPr>
      <w:r>
        <w:rPr/>
        <w:t>The preparation of each set of findings is treated with careful attention to the record.</w:t>
      </w:r>
      <w:r>
        <w:rPr>
          <w:spacing w:val="40"/>
        </w:rPr>
        <w:t> </w:t>
      </w:r>
      <w:r>
        <w:rPr/>
        <w:t>While the Committee would prefer to finalize its decision within 30 days, that is not always possible.</w:t>
      </w:r>
    </w:p>
    <w:p>
      <w:pPr>
        <w:pStyle w:val="BodyText"/>
        <w:ind w:left="1080"/>
      </w:pPr>
      <w:r>
        <w:rPr/>
        <w:t>The</w:t>
      </w:r>
      <w:r>
        <w:rPr>
          <w:spacing w:val="-3"/>
        </w:rPr>
        <w:t> </w:t>
      </w:r>
      <w:r>
        <w:rPr/>
        <w:t>Attorney</w:t>
      </w:r>
      <w:r>
        <w:rPr>
          <w:spacing w:val="-2"/>
        </w:rPr>
        <w:t> </w:t>
      </w:r>
      <w:r>
        <w:rPr/>
        <w:t>Regulation</w:t>
      </w:r>
      <w:r>
        <w:rPr>
          <w:spacing w:val="-1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recommends</w:t>
      </w:r>
      <w:r>
        <w:rPr>
          <w:spacing w:val="-2"/>
        </w:rPr>
        <w:t> </w:t>
      </w:r>
      <w:r>
        <w:rPr/>
        <w:t>denying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Petition.</w:t>
      </w:r>
    </w:p>
    <w:p>
      <w:pPr>
        <w:pStyle w:val="BodyText"/>
        <w:spacing w:before="237"/>
        <w:ind w:left="0"/>
        <w:jc w:val="left"/>
      </w:pPr>
    </w:p>
    <w:p>
      <w:pPr>
        <w:spacing w:before="1"/>
        <w:ind w:left="3240" w:right="0" w:firstLine="0"/>
        <w:jc w:val="left"/>
        <w:rPr>
          <w:sz w:val="25"/>
        </w:rPr>
      </w:pPr>
      <w:r>
        <w:rPr>
          <w:sz w:val="25"/>
        </w:rPr>
        <w:t>RESPECTFULLY</w:t>
      </w:r>
      <w:r>
        <w:rPr>
          <w:spacing w:val="19"/>
          <w:sz w:val="25"/>
        </w:rPr>
        <w:t> </w:t>
      </w:r>
      <w:r>
        <w:rPr>
          <w:sz w:val="25"/>
        </w:rPr>
        <w:t>SUBMITTED</w:t>
      </w:r>
      <w:r>
        <w:rPr>
          <w:spacing w:val="38"/>
          <w:sz w:val="25"/>
        </w:rPr>
        <w:t> </w:t>
      </w:r>
      <w:r>
        <w:rPr>
          <w:sz w:val="25"/>
        </w:rPr>
        <w:t>this</w:t>
      </w:r>
      <w:r>
        <w:rPr>
          <w:spacing w:val="11"/>
          <w:sz w:val="25"/>
        </w:rPr>
        <w:t> </w:t>
      </w:r>
      <w:r>
        <w:rPr>
          <w:spacing w:val="12"/>
          <w:sz w:val="25"/>
        </w:rPr>
        <w:t>27</w:t>
      </w:r>
      <w:r>
        <w:rPr>
          <w:spacing w:val="12"/>
          <w:sz w:val="25"/>
          <w:vertAlign w:val="superscript"/>
        </w:rPr>
        <w:t>th</w:t>
      </w:r>
      <w:r>
        <w:rPr>
          <w:spacing w:val="31"/>
          <w:sz w:val="25"/>
          <w:vertAlign w:val="baseline"/>
        </w:rPr>
        <w:t> </w:t>
      </w:r>
      <w:r>
        <w:rPr>
          <w:sz w:val="25"/>
          <w:vertAlign w:val="baseline"/>
        </w:rPr>
        <w:t>day</w:t>
      </w:r>
      <w:r>
        <w:rPr>
          <w:spacing w:val="8"/>
          <w:sz w:val="25"/>
          <w:vertAlign w:val="baseline"/>
        </w:rPr>
        <w:t> </w:t>
      </w:r>
      <w:r>
        <w:rPr>
          <w:sz w:val="25"/>
          <w:vertAlign w:val="baseline"/>
        </w:rPr>
        <w:t>of</w:t>
      </w:r>
      <w:r>
        <w:rPr>
          <w:spacing w:val="23"/>
          <w:sz w:val="25"/>
          <w:vertAlign w:val="baseline"/>
        </w:rPr>
        <w:t> </w:t>
      </w:r>
      <w:r>
        <w:rPr>
          <w:sz w:val="25"/>
          <w:vertAlign w:val="baseline"/>
        </w:rPr>
        <w:t>April,</w:t>
      </w:r>
      <w:r>
        <w:rPr>
          <w:spacing w:val="10"/>
          <w:sz w:val="25"/>
          <w:vertAlign w:val="baseline"/>
        </w:rPr>
        <w:t> </w:t>
      </w:r>
      <w:r>
        <w:rPr>
          <w:spacing w:val="-2"/>
          <w:sz w:val="25"/>
          <w:vertAlign w:val="baseline"/>
        </w:rPr>
        <w:t>2026.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21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3648075</wp:posOffset>
                </wp:positionH>
                <wp:positionV relativeFrom="paragraph">
                  <wp:posOffset>174722</wp:posOffset>
                </wp:positionV>
                <wp:extent cx="2844800" cy="6223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44800" cy="622300"/>
                          <a:chExt cx="2844800" cy="622300"/>
                        </a:xfrm>
                      </wpg:grpSpPr>
                      <pic:pic>
                        <pic:nvPicPr>
                          <pic:cNvPr id="3" name="Image 3" descr="Text, letter  AI-generated content may be incorrect.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392" y="0"/>
                            <a:ext cx="2142761" cy="622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549141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 h="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666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25pt;margin-top:13.757666pt;width:224pt;height:49pt;mso-position-horizontal-relative:page;mso-position-vertical-relative:paragraph;z-index:-15728640;mso-wrap-distance-left:0;mso-wrap-distance-right:0" id="docshapegroup2" coordorigin="5745,275" coordsize="4480,980">
                <v:shape style="position:absolute;left:6065;top:275;width:3375;height:980" type="#_x0000_t75" id="docshape3" alt="Text, letter  AI-generated content may be incorrect. " stroked="false">
                  <v:imagedata r:id="rId7" o:title=""/>
                </v:shape>
                <v:line style="position:absolute" from="5745,1140" to="10225,1140" stroked="true" strokeweight=".5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73"/>
        <w:ind w:left="5025" w:right="0" w:firstLine="0"/>
        <w:jc w:val="left"/>
        <w:rPr>
          <w:sz w:val="25"/>
        </w:rPr>
      </w:pPr>
      <w:r>
        <w:rPr>
          <w:sz w:val="25"/>
        </w:rPr>
        <w:t>Vice</w:t>
      </w:r>
      <w:r>
        <w:rPr>
          <w:spacing w:val="15"/>
          <w:sz w:val="25"/>
        </w:rPr>
        <w:t> </w:t>
      </w:r>
      <w:r>
        <w:rPr>
          <w:sz w:val="25"/>
        </w:rPr>
        <w:t>Chief</w:t>
      </w:r>
      <w:r>
        <w:rPr>
          <w:spacing w:val="15"/>
          <w:sz w:val="25"/>
        </w:rPr>
        <w:t> </w:t>
      </w:r>
      <w:r>
        <w:rPr>
          <w:sz w:val="25"/>
        </w:rPr>
        <w:t>Justice</w:t>
      </w:r>
      <w:r>
        <w:rPr>
          <w:spacing w:val="32"/>
          <w:sz w:val="25"/>
        </w:rPr>
        <w:t> </w:t>
      </w:r>
      <w:r>
        <w:rPr>
          <w:sz w:val="25"/>
        </w:rPr>
        <w:t>John R.</w:t>
      </w:r>
      <w:r>
        <w:rPr>
          <w:spacing w:val="3"/>
          <w:sz w:val="25"/>
        </w:rPr>
        <w:t> </w:t>
      </w:r>
      <w:r>
        <w:rPr>
          <w:sz w:val="25"/>
        </w:rPr>
        <w:t>Lopez</w:t>
      </w:r>
      <w:r>
        <w:rPr>
          <w:spacing w:val="15"/>
          <w:sz w:val="25"/>
        </w:rPr>
        <w:t> </w:t>
      </w:r>
      <w:r>
        <w:rPr>
          <w:spacing w:val="-5"/>
          <w:sz w:val="25"/>
        </w:rPr>
        <w:t>IV</w:t>
      </w:r>
    </w:p>
    <w:p>
      <w:pPr>
        <w:spacing w:before="15"/>
        <w:ind w:left="5023" w:right="0" w:firstLine="0"/>
        <w:jc w:val="left"/>
        <w:rPr>
          <w:sz w:val="25"/>
        </w:rPr>
      </w:pPr>
      <w:r>
        <w:rPr>
          <w:sz w:val="25"/>
        </w:rPr>
        <w:t>Chair,</w:t>
      </w:r>
      <w:r>
        <w:rPr>
          <w:spacing w:val="25"/>
          <w:sz w:val="25"/>
        </w:rPr>
        <w:t> </w:t>
      </w:r>
      <w:r>
        <w:rPr>
          <w:sz w:val="25"/>
        </w:rPr>
        <w:t>Attorney</w:t>
      </w:r>
      <w:r>
        <w:rPr>
          <w:spacing w:val="-10"/>
          <w:sz w:val="25"/>
        </w:rPr>
        <w:t> </w:t>
      </w:r>
      <w:r>
        <w:rPr>
          <w:sz w:val="25"/>
        </w:rPr>
        <w:t>Regulation</w:t>
      </w:r>
      <w:r>
        <w:rPr>
          <w:spacing w:val="24"/>
          <w:sz w:val="25"/>
        </w:rPr>
        <w:t> </w:t>
      </w:r>
      <w:r>
        <w:rPr>
          <w:sz w:val="25"/>
        </w:rPr>
        <w:t>Advisory</w:t>
      </w:r>
      <w:r>
        <w:rPr>
          <w:spacing w:val="10"/>
          <w:sz w:val="25"/>
        </w:rPr>
        <w:t> </w:t>
      </w:r>
      <w:r>
        <w:rPr>
          <w:spacing w:val="-2"/>
          <w:sz w:val="25"/>
        </w:rPr>
        <w:t>Committee</w:t>
      </w:r>
    </w:p>
    <w:sectPr>
      <w:pgSz w:w="12240" w:h="15840"/>
      <w:pgMar w:header="0" w:footer="1010" w:top="1500" w:bottom="124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3802379</wp:posOffset>
              </wp:positionH>
              <wp:positionV relativeFrom="page">
                <wp:posOffset>9248478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.399994pt;margin-top:728.226624pt;width:13pt;height:15.3pt;mso-position-horizontal-relative:page;mso-position-vertical-relative:page;z-index:-157711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1" w:right="1170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rc@courts.az.gov" TargetMode="Externa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Maricopa County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SUPREME COURT</dc:creator>
  <dc:title>COMMENT IN OPPOSITION TO PETITION TO AMEND RULE 36 (e) and (f)</dc:title>
  <dcterms:created xsi:type="dcterms:W3CDTF">2026-04-28T22:58:00Z</dcterms:created>
  <dcterms:modified xsi:type="dcterms:W3CDTF">2026-04-28T22:58:00Z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0x0101008F24E253BD646E42B7BF957CEC81C8F4</vt:lpwstr>
  </property>
  <property fmtid="{D5CDD505-2E9C-101B-9397-08002B2CF9AE}" pid="3" name="Created">
    <vt:filetime>2026-04-27T00:00:00Z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2026-04-28T00:00:00Z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26.1.183</vt:lpwstr>
  </property>
  <property fmtid="{D5CDD505-2E9C-101B-9397-08002B2CF9AE}" pid="8" name="SourceModified">
    <vt:lpwstr>D:20250326153920</vt:lpwstr>
  </property>
  <property fmtid="{D5CDD505-2E9C-101B-9397-08002B2CF9AE}" pid="9" name="_ExtendedDescription">
    <vt:lpwstr/>
  </property>
</Properties>
</file>