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3"/>
        <w:ind w:left="720"/>
      </w:pPr>
      <w:r>
        <w:rPr/>
        <w:t>Vice</w:t>
      </w:r>
      <w:r>
        <w:rPr>
          <w:spacing w:val="17"/>
        </w:rPr>
        <w:t> </w:t>
      </w:r>
      <w:r>
        <w:rPr/>
        <w:t>Chief</w:t>
      </w:r>
      <w:r>
        <w:rPr>
          <w:spacing w:val="17"/>
        </w:rPr>
        <w:t> </w:t>
      </w:r>
      <w:r>
        <w:rPr/>
        <w:t>Justice</w:t>
      </w:r>
      <w:r>
        <w:rPr>
          <w:spacing w:val="20"/>
        </w:rPr>
        <w:t> </w:t>
      </w:r>
      <w:r>
        <w:rPr/>
        <w:t>John</w:t>
      </w:r>
      <w:r>
        <w:rPr>
          <w:spacing w:val="25"/>
        </w:rPr>
        <w:t> </w:t>
      </w:r>
      <w:r>
        <w:rPr/>
        <w:t>R.</w:t>
      </w:r>
      <w:r>
        <w:rPr>
          <w:spacing w:val="6"/>
        </w:rPr>
        <w:t> </w:t>
      </w:r>
      <w:r>
        <w:rPr/>
        <w:t>Lopez</w:t>
      </w:r>
      <w:r>
        <w:rPr>
          <w:spacing w:val="23"/>
        </w:rPr>
        <w:t> </w:t>
      </w:r>
      <w:r>
        <w:rPr>
          <w:spacing w:val="-5"/>
        </w:rPr>
        <w:t>IV</w:t>
      </w:r>
    </w:p>
    <w:p>
      <w:pPr>
        <w:pStyle w:val="BodyText"/>
        <w:spacing w:line="254" w:lineRule="auto" w:before="2"/>
        <w:ind w:left="719" w:right="4304"/>
      </w:pPr>
      <w:r>
        <w:rPr/>
        <w:t>Chair,</w:t>
      </w:r>
      <w:r>
        <w:rPr>
          <w:spacing w:val="-9"/>
        </w:rPr>
        <w:t> </w:t>
      </w:r>
      <w:r>
        <w:rPr/>
        <w:t>Attorney</w:t>
      </w:r>
      <w:r>
        <w:rPr>
          <w:spacing w:val="-9"/>
        </w:rPr>
        <w:t> </w:t>
      </w:r>
      <w:r>
        <w:rPr/>
        <w:t>Regulation</w:t>
      </w:r>
      <w:r>
        <w:rPr>
          <w:spacing w:val="-9"/>
        </w:rPr>
        <w:t> </w:t>
      </w:r>
      <w:r>
        <w:rPr/>
        <w:t>Advisory</w:t>
      </w:r>
      <w:r>
        <w:rPr>
          <w:spacing w:val="-9"/>
        </w:rPr>
        <w:t> </w:t>
      </w:r>
      <w:r>
        <w:rPr/>
        <w:t>Committee Arizona Supreme Court</w:t>
      </w:r>
    </w:p>
    <w:p>
      <w:pPr>
        <w:pStyle w:val="BodyText"/>
        <w:spacing w:before="1"/>
        <w:ind w:left="719" w:right="6228"/>
      </w:pPr>
      <w:r>
        <w:rPr/>
        <w:t>1501</w:t>
      </w:r>
      <w:r>
        <w:rPr>
          <w:spacing w:val="-11"/>
        </w:rPr>
        <w:t> </w:t>
      </w:r>
      <w:r>
        <w:rPr/>
        <w:t>W.</w:t>
      </w:r>
      <w:r>
        <w:rPr>
          <w:spacing w:val="-11"/>
        </w:rPr>
        <w:t> </w:t>
      </w:r>
      <w:r>
        <w:rPr/>
        <w:t>Washington</w:t>
      </w:r>
      <w:r>
        <w:rPr>
          <w:spacing w:val="22"/>
        </w:rPr>
        <w:t> </w:t>
      </w:r>
      <w:r>
        <w:rPr/>
        <w:t>Street Phoenix, AZ</w:t>
      </w:r>
      <w:r>
        <w:rPr>
          <w:spacing w:val="40"/>
        </w:rPr>
        <w:t> </w:t>
      </w:r>
      <w:r>
        <w:rPr/>
        <w:t>85007</w:t>
      </w:r>
    </w:p>
    <w:p>
      <w:pPr>
        <w:pStyle w:val="BodyText"/>
        <w:spacing w:line="254" w:lineRule="auto" w:before="14"/>
        <w:ind w:left="719" w:right="7111"/>
      </w:pPr>
      <w:r>
        <w:rPr/>
        <w:t>Telephone:</w:t>
      </w:r>
      <w:r>
        <w:rPr>
          <w:spacing w:val="40"/>
        </w:rPr>
        <w:t> </w:t>
      </w:r>
      <w:r>
        <w:rPr/>
        <w:t>602-452-3378 E-mail:</w:t>
      </w:r>
      <w:r>
        <w:rPr>
          <w:spacing w:val="1"/>
        </w:rPr>
        <w:t> </w:t>
      </w:r>
      <w:hyperlink r:id="rId6">
        <w:r>
          <w:rPr>
            <w:color w:val="0000FF"/>
            <w:u w:val="single" w:color="0000FF"/>
          </w:rPr>
          <w:t>arc@courts.az.gov</w:t>
        </w:r>
      </w:hyperlink>
    </w:p>
    <w:p>
      <w:pPr>
        <w:pStyle w:val="BodyText"/>
        <w:spacing w:before="246"/>
        <w:rPr>
          <w:sz w:val="28"/>
        </w:rPr>
      </w:pPr>
    </w:p>
    <w:p>
      <w:pPr>
        <w:pStyle w:val="Heading1"/>
        <w:spacing w:line="254" w:lineRule="auto"/>
      </w:pPr>
      <w:r>
        <w:rPr/>
        <w:t>IN</w:t>
      </w:r>
      <w:r>
        <w:rPr>
          <w:spacing w:val="-10"/>
        </w:rPr>
        <w:t> </w:t>
      </w:r>
      <w:r>
        <w:rPr/>
        <w:t>THE</w:t>
      </w:r>
      <w:r>
        <w:rPr>
          <w:spacing w:val="-11"/>
        </w:rPr>
        <w:t> </w:t>
      </w:r>
      <w:r>
        <w:rPr/>
        <w:t>SUPREME</w:t>
      </w:r>
      <w:r>
        <w:rPr>
          <w:spacing w:val="-13"/>
        </w:rPr>
        <w:t> </w:t>
      </w:r>
      <w:r>
        <w:rPr/>
        <w:t>COURT STATE OF ARIZONA</w:t>
      </w:r>
    </w:p>
    <w:p>
      <w:pPr>
        <w:pStyle w:val="BodyText"/>
        <w:spacing w:before="76"/>
        <w:rPr>
          <w:b/>
          <w:sz w:val="20"/>
        </w:rPr>
      </w:pPr>
    </w:p>
    <w:tbl>
      <w:tblPr>
        <w:tblW w:w="0" w:type="auto"/>
        <w:jc w:val="left"/>
        <w:tblInd w:w="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60"/>
        <w:gridCol w:w="4063"/>
      </w:tblGrid>
      <w:tr>
        <w:trPr>
          <w:trHeight w:val="1792" w:hRule="atLeast"/>
        </w:trPr>
        <w:tc>
          <w:tcPr>
            <w:tcW w:w="4660" w:type="dxa"/>
            <w:tcBorders>
              <w:bottom w:val="single" w:sz="8" w:space="0" w:color="000000"/>
              <w:right w:val="single" w:sz="8" w:space="0" w:color="000000"/>
            </w:tcBorders>
          </w:tcPr>
          <w:p>
            <w:pPr>
              <w:pStyle w:val="TableParagraph"/>
              <w:spacing w:before="4"/>
              <w:rPr>
                <w:sz w:val="24"/>
              </w:rPr>
            </w:pPr>
            <w:r>
              <w:rPr>
                <w:sz w:val="24"/>
              </w:rPr>
              <w:t>In</w:t>
            </w:r>
            <w:r>
              <w:rPr>
                <w:spacing w:val="17"/>
                <w:sz w:val="24"/>
              </w:rPr>
              <w:t> </w:t>
            </w:r>
            <w:r>
              <w:rPr>
                <w:sz w:val="24"/>
              </w:rPr>
              <w:t>the</w:t>
            </w:r>
            <w:r>
              <w:rPr>
                <w:spacing w:val="12"/>
                <w:sz w:val="24"/>
              </w:rPr>
              <w:t> </w:t>
            </w:r>
            <w:r>
              <w:rPr>
                <w:sz w:val="24"/>
              </w:rPr>
              <w:t>Matter</w:t>
            </w:r>
            <w:r>
              <w:rPr>
                <w:spacing w:val="10"/>
                <w:sz w:val="24"/>
              </w:rPr>
              <w:t> </w:t>
            </w:r>
            <w:r>
              <w:rPr>
                <w:spacing w:val="-7"/>
                <w:sz w:val="24"/>
              </w:rPr>
              <w:t>of</w:t>
            </w:r>
          </w:p>
          <w:p>
            <w:pPr>
              <w:pStyle w:val="TableParagraph"/>
              <w:spacing w:before="19"/>
              <w:ind w:left="0"/>
              <w:rPr>
                <w:b/>
                <w:sz w:val="24"/>
              </w:rPr>
            </w:pPr>
          </w:p>
          <w:p>
            <w:pPr>
              <w:pStyle w:val="TableParagraph"/>
              <w:spacing w:line="254" w:lineRule="auto"/>
              <w:rPr>
                <w:sz w:val="24"/>
              </w:rPr>
            </w:pPr>
            <w:r>
              <w:rPr>
                <w:sz w:val="24"/>
              </w:rPr>
              <w:t>Petition to Amend Rules 79 and 80, Rules of the Supreme Court.</w:t>
            </w:r>
          </w:p>
        </w:tc>
        <w:tc>
          <w:tcPr>
            <w:tcW w:w="4063" w:type="dxa"/>
            <w:tcBorders>
              <w:left w:val="single" w:sz="8" w:space="0" w:color="000000"/>
            </w:tcBorders>
          </w:tcPr>
          <w:p>
            <w:pPr>
              <w:pStyle w:val="TableParagraph"/>
              <w:spacing w:before="4"/>
              <w:rPr>
                <w:sz w:val="24"/>
              </w:rPr>
            </w:pPr>
            <w:r>
              <w:rPr>
                <w:sz w:val="24"/>
              </w:rPr>
              <w:t>Arizona</w:t>
            </w:r>
            <w:r>
              <w:rPr>
                <w:spacing w:val="19"/>
                <w:sz w:val="24"/>
              </w:rPr>
              <w:t> </w:t>
            </w:r>
            <w:r>
              <w:rPr>
                <w:sz w:val="24"/>
              </w:rPr>
              <w:t>Supreme</w:t>
            </w:r>
            <w:r>
              <w:rPr>
                <w:spacing w:val="40"/>
                <w:sz w:val="24"/>
              </w:rPr>
              <w:t> </w:t>
            </w:r>
            <w:r>
              <w:rPr>
                <w:sz w:val="24"/>
              </w:rPr>
              <w:t>Court</w:t>
            </w:r>
            <w:r>
              <w:rPr>
                <w:spacing w:val="20"/>
                <w:sz w:val="24"/>
              </w:rPr>
              <w:t> </w:t>
            </w:r>
            <w:r>
              <w:rPr>
                <w:sz w:val="24"/>
              </w:rPr>
              <w:t>No.</w:t>
            </w:r>
            <w:r>
              <w:rPr>
                <w:spacing w:val="8"/>
                <w:sz w:val="24"/>
              </w:rPr>
              <w:t> </w:t>
            </w:r>
            <w:r>
              <w:rPr>
                <w:sz w:val="24"/>
              </w:rPr>
              <w:t>R-26-</w:t>
            </w:r>
            <w:r>
              <w:rPr>
                <w:spacing w:val="-4"/>
                <w:sz w:val="24"/>
              </w:rPr>
              <w:t>0019</w:t>
            </w:r>
          </w:p>
          <w:p>
            <w:pPr>
              <w:pStyle w:val="TableParagraph"/>
              <w:spacing w:before="19"/>
              <w:ind w:left="0"/>
              <w:rPr>
                <w:b/>
                <w:sz w:val="24"/>
              </w:rPr>
            </w:pPr>
          </w:p>
          <w:p>
            <w:pPr>
              <w:pStyle w:val="TableParagraph"/>
              <w:spacing w:line="254" w:lineRule="auto"/>
              <w:rPr>
                <w:sz w:val="24"/>
              </w:rPr>
            </w:pPr>
            <w:r>
              <w:rPr>
                <w:sz w:val="24"/>
              </w:rPr>
              <w:t>Comment</w:t>
            </w:r>
            <w:r>
              <w:rPr>
                <w:spacing w:val="-9"/>
                <w:sz w:val="24"/>
              </w:rPr>
              <w:t> </w:t>
            </w:r>
            <w:r>
              <w:rPr>
                <w:sz w:val="24"/>
              </w:rPr>
              <w:t>of</w:t>
            </w:r>
            <w:r>
              <w:rPr>
                <w:spacing w:val="-10"/>
                <w:sz w:val="24"/>
              </w:rPr>
              <w:t> </w:t>
            </w:r>
            <w:r>
              <w:rPr>
                <w:sz w:val="24"/>
              </w:rPr>
              <w:t>the</w:t>
            </w:r>
            <w:r>
              <w:rPr>
                <w:spacing w:val="-10"/>
                <w:sz w:val="24"/>
              </w:rPr>
              <w:t> </w:t>
            </w:r>
            <w:r>
              <w:rPr>
                <w:sz w:val="24"/>
              </w:rPr>
              <w:t>Attorney</w:t>
            </w:r>
            <w:r>
              <w:rPr>
                <w:spacing w:val="-9"/>
                <w:sz w:val="24"/>
              </w:rPr>
              <w:t> </w:t>
            </w:r>
            <w:r>
              <w:rPr>
                <w:sz w:val="24"/>
              </w:rPr>
              <w:t>Regulation Advisory Committee</w:t>
            </w:r>
          </w:p>
        </w:tc>
      </w:tr>
    </w:tbl>
    <w:p>
      <w:pPr>
        <w:pStyle w:val="BodyText"/>
        <w:spacing w:before="284"/>
        <w:rPr>
          <w:b/>
          <w:sz w:val="28"/>
        </w:rPr>
      </w:pPr>
    </w:p>
    <w:p>
      <w:pPr>
        <w:pStyle w:val="Heading2"/>
        <w:spacing w:line="374" w:lineRule="auto"/>
      </w:pPr>
      <w:r>
        <w:rPr/>
        <w:t>COMMENT</w:t>
      </w:r>
      <w:r>
        <w:rPr>
          <w:spacing w:val="32"/>
        </w:rPr>
        <w:t> </w:t>
      </w:r>
      <w:r>
        <w:rPr/>
        <w:t>IN</w:t>
      </w:r>
      <w:r>
        <w:rPr>
          <w:spacing w:val="31"/>
        </w:rPr>
        <w:t> </w:t>
      </w:r>
      <w:r>
        <w:rPr/>
        <w:t>SUPPORT</w:t>
      </w:r>
      <w:r>
        <w:rPr>
          <w:spacing w:val="-6"/>
        </w:rPr>
        <w:t> </w:t>
      </w:r>
      <w:r>
        <w:rPr/>
        <w:t>OF</w:t>
      </w:r>
      <w:r>
        <w:rPr>
          <w:spacing w:val="-7"/>
        </w:rPr>
        <w:t> </w:t>
      </w:r>
      <w:r>
        <w:rPr/>
        <w:t>PETITION</w:t>
      </w:r>
      <w:r>
        <w:rPr>
          <w:spacing w:val="-7"/>
        </w:rPr>
        <w:t> </w:t>
      </w:r>
      <w:r>
        <w:rPr/>
        <w:t>TO</w:t>
      </w:r>
      <w:r>
        <w:rPr>
          <w:spacing w:val="-6"/>
        </w:rPr>
        <w:t> </w:t>
      </w:r>
      <w:r>
        <w:rPr/>
        <w:t>AMEND ARIZONA SUPREME COURT RULES 79 and 80.</w:t>
      </w:r>
    </w:p>
    <w:p>
      <w:pPr>
        <w:pStyle w:val="BodyText"/>
        <w:spacing w:before="154"/>
        <w:rPr>
          <w:b/>
        </w:rPr>
      </w:pPr>
    </w:p>
    <w:p>
      <w:pPr>
        <w:pStyle w:val="BodyText"/>
        <w:spacing w:line="480" w:lineRule="auto"/>
        <w:ind w:left="359" w:right="357" w:firstLine="720"/>
        <w:jc w:val="both"/>
      </w:pPr>
      <w:r>
        <w:rPr/>
        <w:t>The Attorney Regulation Advisory Committee (ARC) submits this comment in response to Petition R-26-0019. ARC is a standing committee of the Arizona Supreme Court responsible for reviewing and providing recommendations on matters related to attorney regulation and discipline.</w:t>
      </w:r>
    </w:p>
    <w:p>
      <w:pPr>
        <w:pStyle w:val="BodyText"/>
        <w:spacing w:line="480" w:lineRule="auto"/>
        <w:ind w:left="360" w:right="354" w:firstLine="720"/>
        <w:jc w:val="both"/>
      </w:pPr>
      <w:r>
        <w:rPr/>
        <w:t>At its regularly scheduled meeting on March 17, 2026, the Committee reviewed and discussed this matter. By a vote of 15-0-0-0-2, ARC approved submission of this comment in</w:t>
      </w:r>
      <w:r>
        <w:rPr>
          <w:spacing w:val="40"/>
        </w:rPr>
        <w:t> </w:t>
      </w:r>
      <w:r>
        <w:rPr/>
        <w:t>support and respectfully urges the Arizona Supreme Court to favorably consider and approve the proposed rule changes modifying the procedures governing formal proceedings involving the unauthorized practice of law and amending Rules 79 and 80 of the Rules of the Supreme Court of Arizona, as submitted by Jessica J. Fotinos on behalf of the State Bar of Arizona.</w:t>
      </w:r>
    </w:p>
    <w:p>
      <w:pPr>
        <w:pStyle w:val="BodyText"/>
        <w:spacing w:after="0" w:line="480" w:lineRule="auto"/>
        <w:jc w:val="both"/>
        <w:sectPr>
          <w:footerReference w:type="default" r:id="rId5"/>
          <w:type w:val="continuous"/>
          <w:pgSz w:w="12240" w:h="15840"/>
          <w:pgMar w:header="0" w:footer="1055" w:top="1580" w:bottom="1240" w:left="720" w:right="1080"/>
          <w:pgNumType w:start="1"/>
        </w:sectPr>
      </w:pPr>
    </w:p>
    <w:p>
      <w:pPr>
        <w:pStyle w:val="BodyText"/>
        <w:spacing w:before="98"/>
        <w:ind w:left="3960"/>
      </w:pPr>
      <w:r>
        <w:rPr/>
        <w:t>RESPECTFULLY</w:t>
      </w:r>
      <w:r>
        <w:rPr>
          <w:spacing w:val="-4"/>
        </w:rPr>
        <w:t> </w:t>
      </w:r>
      <w:r>
        <w:rPr/>
        <w:t>SUBMITTED</w:t>
      </w:r>
      <w:r>
        <w:rPr>
          <w:spacing w:val="-3"/>
        </w:rPr>
        <w:t> </w:t>
      </w:r>
      <w:r>
        <w:rPr/>
        <w:t>this</w:t>
      </w:r>
      <w:r>
        <w:rPr>
          <w:spacing w:val="-2"/>
        </w:rPr>
        <w:t> </w:t>
      </w:r>
      <w:r>
        <w:rPr/>
        <w:t>27</w:t>
      </w:r>
      <w:r>
        <w:rPr>
          <w:vertAlign w:val="superscript"/>
        </w:rPr>
        <w:t>th</w:t>
      </w:r>
      <w:r>
        <w:rPr>
          <w:spacing w:val="-1"/>
          <w:vertAlign w:val="baseline"/>
        </w:rPr>
        <w:t> </w:t>
      </w:r>
      <w:r>
        <w:rPr>
          <w:vertAlign w:val="baseline"/>
        </w:rPr>
        <w:t>day</w:t>
      </w:r>
      <w:r>
        <w:rPr>
          <w:spacing w:val="-2"/>
          <w:vertAlign w:val="baseline"/>
        </w:rPr>
        <w:t> </w:t>
      </w:r>
      <w:r>
        <w:rPr>
          <w:vertAlign w:val="baseline"/>
        </w:rPr>
        <w:t>of</w:t>
      </w:r>
      <w:r>
        <w:rPr>
          <w:spacing w:val="-3"/>
          <w:vertAlign w:val="baseline"/>
        </w:rPr>
        <w:t> </w:t>
      </w:r>
      <w:r>
        <w:rPr>
          <w:vertAlign w:val="baseline"/>
        </w:rPr>
        <w:t>April,</w:t>
      </w:r>
      <w:r>
        <w:rPr>
          <w:spacing w:val="-2"/>
          <w:vertAlign w:val="baseline"/>
        </w:rPr>
        <w:t> 2026.</w:t>
      </w:r>
    </w:p>
    <w:p>
      <w:pPr>
        <w:pStyle w:val="BodyText"/>
        <w:spacing w:before="102"/>
        <w:rPr>
          <w:sz w:val="20"/>
        </w:rPr>
      </w:pPr>
      <w:r>
        <w:rPr>
          <w:sz w:val="20"/>
        </w:rPr>
        <mc:AlternateContent>
          <mc:Choice Requires="wps">
            <w:drawing>
              <wp:anchor distT="0" distB="0" distL="0" distR="0" allowOverlap="1" layoutInCell="1" locked="0" behindDoc="1" simplePos="0" relativeHeight="487587840">
                <wp:simplePos x="0" y="0"/>
                <wp:positionH relativeFrom="page">
                  <wp:posOffset>3648075</wp:posOffset>
                </wp:positionH>
                <wp:positionV relativeFrom="paragraph">
                  <wp:posOffset>226074</wp:posOffset>
                </wp:positionV>
                <wp:extent cx="2844800" cy="62230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2844800" cy="622300"/>
                          <a:chExt cx="2844800" cy="622300"/>
                        </a:xfrm>
                      </wpg:grpSpPr>
                      <pic:pic>
                        <pic:nvPicPr>
                          <pic:cNvPr id="3" name="Image 3" descr="Text, letter  AI-generated content may be incorrect. "/>
                          <pic:cNvPicPr/>
                        </pic:nvPicPr>
                        <pic:blipFill>
                          <a:blip r:embed="rId7" cstate="print"/>
                          <a:stretch>
                            <a:fillRect/>
                          </a:stretch>
                        </pic:blipFill>
                        <pic:spPr>
                          <a:xfrm>
                            <a:off x="146241" y="0"/>
                            <a:ext cx="2142761" cy="622299"/>
                          </a:xfrm>
                          <a:prstGeom prst="rect">
                            <a:avLst/>
                          </a:prstGeom>
                        </pic:spPr>
                      </pic:pic>
                      <wps:wsp>
                        <wps:cNvPr id="4" name="Graphic 4"/>
                        <wps:cNvSpPr/>
                        <wps:spPr>
                          <a:xfrm>
                            <a:off x="0" y="587316"/>
                            <a:ext cx="2844800" cy="1270"/>
                          </a:xfrm>
                          <a:custGeom>
                            <a:avLst/>
                            <a:gdLst/>
                            <a:ahLst/>
                            <a:cxnLst/>
                            <a:rect l="l" t="t" r="r" b="b"/>
                            <a:pathLst>
                              <a:path w="2844800" h="0">
                                <a:moveTo>
                                  <a:pt x="0" y="0"/>
                                </a:moveTo>
                                <a:lnTo>
                                  <a:pt x="2844800" y="0"/>
                                </a:lnTo>
                              </a:path>
                            </a:pathLst>
                          </a:custGeom>
                          <a:ln w="666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7.25pt;margin-top:17.80117pt;width:224pt;height:49pt;mso-position-horizontal-relative:page;mso-position-vertical-relative:paragraph;z-index:-15728640;mso-wrap-distance-left:0;mso-wrap-distance-right:0" id="docshapegroup2" coordorigin="5745,356" coordsize="4480,980">
                <v:shape style="position:absolute;left:5975;top:356;width:3375;height:980" type="#_x0000_t75" id="docshape3" alt="Text, letter  AI-generated content may be incorrect. " stroked="false">
                  <v:imagedata r:id="rId7" o:title=""/>
                </v:shape>
                <v:line style="position:absolute" from="5745,1281" to="10225,1281" stroked="true" strokeweight=".525pt" strokecolor="#000000">
                  <v:stroke dashstyle="solid"/>
                </v:line>
                <w10:wrap type="topAndBottom"/>
              </v:group>
            </w:pict>
          </mc:Fallback>
        </mc:AlternateContent>
      </w:r>
    </w:p>
    <w:p>
      <w:pPr>
        <w:pStyle w:val="BodyText"/>
        <w:spacing w:before="126"/>
        <w:ind w:left="5023"/>
      </w:pPr>
      <w:r>
        <w:rPr/>
        <w:t>Vice</w:t>
      </w:r>
      <w:r>
        <w:rPr>
          <w:spacing w:val="-5"/>
        </w:rPr>
        <w:t> </w:t>
      </w:r>
      <w:r>
        <w:rPr/>
        <w:t>Chief</w:t>
      </w:r>
      <w:r>
        <w:rPr>
          <w:spacing w:val="-2"/>
        </w:rPr>
        <w:t> </w:t>
      </w:r>
      <w:r>
        <w:rPr/>
        <w:t>Justice</w:t>
      </w:r>
      <w:r>
        <w:rPr>
          <w:spacing w:val="-2"/>
        </w:rPr>
        <w:t> </w:t>
      </w:r>
      <w:r>
        <w:rPr/>
        <w:t>John</w:t>
      </w:r>
      <w:r>
        <w:rPr>
          <w:spacing w:val="1"/>
        </w:rPr>
        <w:t> </w:t>
      </w:r>
      <w:r>
        <w:rPr/>
        <w:t>R.</w:t>
      </w:r>
      <w:r>
        <w:rPr>
          <w:spacing w:val="-1"/>
        </w:rPr>
        <w:t> </w:t>
      </w:r>
      <w:r>
        <w:rPr/>
        <w:t>Lopez </w:t>
      </w:r>
      <w:r>
        <w:rPr>
          <w:spacing w:val="-5"/>
        </w:rPr>
        <w:t>IV</w:t>
      </w:r>
    </w:p>
    <w:p>
      <w:pPr>
        <w:pStyle w:val="BodyText"/>
        <w:ind w:left="5040"/>
      </w:pPr>
      <w:r>
        <w:rPr/>
        <w:t>Chair,</w:t>
      </w:r>
      <w:r>
        <w:rPr>
          <w:spacing w:val="-2"/>
        </w:rPr>
        <w:t> </w:t>
      </w:r>
      <w:r>
        <w:rPr/>
        <w:t>Attorney</w:t>
      </w:r>
      <w:r>
        <w:rPr>
          <w:spacing w:val="-2"/>
        </w:rPr>
        <w:t> </w:t>
      </w:r>
      <w:r>
        <w:rPr/>
        <w:t>Regulation</w:t>
      </w:r>
      <w:r>
        <w:rPr>
          <w:spacing w:val="-2"/>
        </w:rPr>
        <w:t> </w:t>
      </w:r>
      <w:r>
        <w:rPr/>
        <w:t>Advisory</w:t>
      </w:r>
      <w:r>
        <w:rPr>
          <w:spacing w:val="-1"/>
        </w:rPr>
        <w:t> </w:t>
      </w:r>
      <w:r>
        <w:rPr>
          <w:spacing w:val="-2"/>
        </w:rPr>
        <w:t>Committee</w:t>
      </w:r>
    </w:p>
    <w:sectPr>
      <w:pgSz w:w="12240" w:h="15840"/>
      <w:pgMar w:header="0" w:footer="1055" w:top="1480" w:bottom="124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4560">
              <wp:simplePos x="0" y="0"/>
              <wp:positionH relativeFrom="page">
                <wp:posOffset>3802379</wp:posOffset>
              </wp:positionH>
              <wp:positionV relativeFrom="page">
                <wp:posOffset>9248478</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399994pt;margin-top:728.226624pt;width:13pt;height:15.3pt;mso-position-horizontal-relative:page;mso-position-vertical-relative:page;z-index:-15761920"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227" w:right="2876"/>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1963" w:right="1532"/>
      <w:jc w:val="cente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0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arc@courts.az.gov"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Maricopa County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Attorney Regulation Advisory Committee</dc:creator>
  <dc:title>COMMENT IN SUPPORT OF PETITION TO AMEND ARIZONA SUPREME COURT RULES 79 and 80.</dc:title>
  <dcterms:created xsi:type="dcterms:W3CDTF">2026-04-28T22:59:44Z</dcterms:created>
  <dcterms:modified xsi:type="dcterms:W3CDTF">2026-04-28T22:59:44Z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0x0101008F24E253BD646E42B7BF957CEC81C8F4</vt:lpwstr>
  </property>
  <property fmtid="{D5CDD505-2E9C-101B-9397-08002B2CF9AE}" pid="3" name="Created">
    <vt:filetime>2026-04-27T00:00:00Z</vt:filetime>
  </property>
  <property fmtid="{D5CDD505-2E9C-101B-9397-08002B2CF9AE}" pid="4" name="Creator">
    <vt:lpwstr>Acrobat PDFMaker 26 for Word</vt:lpwstr>
  </property>
  <property fmtid="{D5CDD505-2E9C-101B-9397-08002B2CF9AE}" pid="5" name="LastSaved">
    <vt:filetime>2026-04-28T00:00:00Z</vt:filetime>
  </property>
  <property fmtid="{D5CDD505-2E9C-101B-9397-08002B2CF9AE}" pid="6" name="MediaServiceImageTags">
    <vt:lpwstr/>
  </property>
  <property fmtid="{D5CDD505-2E9C-101B-9397-08002B2CF9AE}" pid="7" name="Producer">
    <vt:lpwstr>Adobe PDF Library 26.1.183</vt:lpwstr>
  </property>
  <property fmtid="{D5CDD505-2E9C-101B-9397-08002B2CF9AE}" pid="8" name="SourceModified">
    <vt:lpwstr>D:20250326153920</vt:lpwstr>
  </property>
  <property fmtid="{D5CDD505-2E9C-101B-9397-08002B2CF9AE}" pid="9" name="_ExtendedDescription">
    <vt:lpwstr/>
  </property>
</Properties>
</file>