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98" w:lineRule="exact" w:before="62"/>
        <w:ind w:left="360"/>
      </w:pPr>
      <w:r>
        <w:rPr/>
        <w:t>Vice</w:t>
      </w:r>
      <w:r>
        <w:rPr>
          <w:spacing w:val="-6"/>
        </w:rPr>
        <w:t> </w:t>
      </w:r>
      <w:r>
        <w:rPr/>
        <w:t>Chief</w:t>
      </w:r>
      <w:r>
        <w:rPr>
          <w:spacing w:val="-3"/>
        </w:rPr>
        <w:t> </w:t>
      </w:r>
      <w:r>
        <w:rPr/>
        <w:t>Justice</w:t>
      </w:r>
      <w:r>
        <w:rPr>
          <w:spacing w:val="-3"/>
        </w:rPr>
        <w:t> </w:t>
      </w:r>
      <w:r>
        <w:rPr/>
        <w:t>John</w:t>
      </w:r>
      <w:r>
        <w:rPr>
          <w:spacing w:val="-6"/>
        </w:rPr>
        <w:t> </w:t>
      </w:r>
      <w:r>
        <w:rPr/>
        <w:t>R.</w:t>
      </w:r>
      <w:r>
        <w:rPr>
          <w:spacing w:val="-6"/>
        </w:rPr>
        <w:t> </w:t>
      </w:r>
      <w:r>
        <w:rPr/>
        <w:t>Lopez</w:t>
      </w:r>
      <w:r>
        <w:rPr>
          <w:spacing w:val="-3"/>
        </w:rPr>
        <w:t> </w:t>
      </w:r>
      <w:r>
        <w:rPr>
          <w:spacing w:val="-5"/>
        </w:rPr>
        <w:t>IV</w:t>
      </w:r>
    </w:p>
    <w:p>
      <w:pPr>
        <w:pStyle w:val="BodyText"/>
        <w:ind w:left="360" w:right="3851"/>
      </w:pPr>
      <w:r>
        <w:rPr/>
        <w:t>Chair,</w:t>
      </w:r>
      <w:r>
        <w:rPr>
          <w:spacing w:val="-10"/>
        </w:rPr>
        <w:t> </w:t>
      </w:r>
      <w:r>
        <w:rPr/>
        <w:t>Attorney</w:t>
      </w:r>
      <w:r>
        <w:rPr>
          <w:spacing w:val="-10"/>
        </w:rPr>
        <w:t> </w:t>
      </w:r>
      <w:r>
        <w:rPr/>
        <w:t>Regulation</w:t>
      </w:r>
      <w:r>
        <w:rPr>
          <w:spacing w:val="-10"/>
        </w:rPr>
        <w:t> </w:t>
      </w:r>
      <w:r>
        <w:rPr/>
        <w:t>Advisory</w:t>
      </w:r>
      <w:r>
        <w:rPr>
          <w:spacing w:val="-10"/>
        </w:rPr>
        <w:t> </w:t>
      </w:r>
      <w:r>
        <w:rPr/>
        <w:t>Committee Arizona Supreme Court</w:t>
      </w:r>
    </w:p>
    <w:p>
      <w:pPr>
        <w:pStyle w:val="BodyText"/>
        <w:ind w:left="360" w:right="5973"/>
      </w:pPr>
      <w:r>
        <w:rPr/>
        <w:t>1501</w:t>
      </w:r>
      <w:r>
        <w:rPr>
          <w:spacing w:val="-13"/>
        </w:rPr>
        <w:t> </w:t>
      </w:r>
      <w:r>
        <w:rPr/>
        <w:t>W.</w:t>
      </w:r>
      <w:r>
        <w:rPr>
          <w:spacing w:val="-13"/>
        </w:rPr>
        <w:t> </w:t>
      </w:r>
      <w:r>
        <w:rPr/>
        <w:t>Washington</w:t>
      </w:r>
      <w:r>
        <w:rPr>
          <w:spacing w:val="-13"/>
        </w:rPr>
        <w:t> </w:t>
      </w:r>
      <w:r>
        <w:rPr/>
        <w:t>Street Phoenix, AZ</w:t>
      </w:r>
      <w:r>
        <w:rPr>
          <w:spacing w:val="40"/>
        </w:rPr>
        <w:t> </w:t>
      </w:r>
      <w:r>
        <w:rPr/>
        <w:t>85007</w:t>
      </w:r>
    </w:p>
    <w:p>
      <w:pPr>
        <w:pStyle w:val="BodyText"/>
        <w:ind w:left="360" w:right="6932"/>
      </w:pPr>
      <w:r>
        <w:rPr/>
        <w:t>Telephone: 602-452-3378 E-mail:</w:t>
      </w:r>
      <w:r>
        <w:rPr>
          <w:spacing w:val="-9"/>
        </w:rPr>
        <w:t> </w:t>
      </w:r>
      <w:hyperlink r:id="rId6">
        <w:r>
          <w:rPr>
            <w:color w:val="0000FF"/>
            <w:spacing w:val="-2"/>
            <w:u w:val="single" w:color="0000FF"/>
          </w:rPr>
          <w:t>arc@courts.az.gov</w:t>
        </w:r>
      </w:hyperlink>
    </w:p>
    <w:p>
      <w:pPr>
        <w:pStyle w:val="BodyText"/>
      </w:pPr>
    </w:p>
    <w:p>
      <w:pPr>
        <w:pStyle w:val="BodyText"/>
      </w:pPr>
    </w:p>
    <w:p>
      <w:pPr>
        <w:pStyle w:val="Heading1"/>
        <w:ind w:left="3031" w:right="3034"/>
      </w:pPr>
      <w:bookmarkStart w:name="IN THE SUPREME COURT" w:id="1"/>
      <w:bookmarkEnd w:id="1"/>
      <w:r>
        <w:rPr>
          <w:b w:val="0"/>
        </w:rPr>
      </w:r>
      <w:bookmarkStart w:name="STATE OF ARIZONA" w:id="2"/>
      <w:bookmarkEnd w:id="2"/>
      <w:r>
        <w:rPr>
          <w:b w:val="0"/>
        </w:rPr>
      </w:r>
      <w:r>
        <w:rPr/>
        <w:t>IN</w:t>
      </w:r>
      <w:r>
        <w:rPr>
          <w:spacing w:val="-16"/>
        </w:rPr>
        <w:t> </w:t>
      </w:r>
      <w:r>
        <w:rPr/>
        <w:t>THE</w:t>
      </w:r>
      <w:r>
        <w:rPr>
          <w:spacing w:val="-13"/>
        </w:rPr>
        <w:t> </w:t>
      </w:r>
      <w:r>
        <w:rPr/>
        <w:t>SUPREME</w:t>
      </w:r>
      <w:r>
        <w:rPr>
          <w:spacing w:val="-13"/>
        </w:rPr>
        <w:t> </w:t>
      </w:r>
      <w:r>
        <w:rPr/>
        <w:t>COURT STATE OF ARIZONA</w:t>
      </w:r>
    </w:p>
    <w:p>
      <w:pPr>
        <w:pStyle w:val="BodyText"/>
        <w:spacing w:before="63"/>
        <w:rPr>
          <w:b/>
          <w:sz w:val="20"/>
        </w:rPr>
      </w:pPr>
    </w:p>
    <w:tbl>
      <w:tblPr>
        <w:tblW w:w="0" w:type="auto"/>
        <w:jc w:val="left"/>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5"/>
        <w:gridCol w:w="4281"/>
      </w:tblGrid>
      <w:tr>
        <w:trPr>
          <w:trHeight w:val="1495" w:hRule="atLeast"/>
        </w:trPr>
        <w:tc>
          <w:tcPr>
            <w:tcW w:w="4665" w:type="dxa"/>
            <w:tcBorders>
              <w:bottom w:val="single" w:sz="4" w:space="0" w:color="000000"/>
              <w:right w:val="single" w:sz="4" w:space="0" w:color="000000"/>
            </w:tcBorders>
          </w:tcPr>
          <w:p>
            <w:pPr>
              <w:pStyle w:val="TableParagraph"/>
              <w:spacing w:line="299" w:lineRule="exact" w:before="0"/>
              <w:ind w:left="100"/>
              <w:rPr>
                <w:sz w:val="26"/>
              </w:rPr>
            </w:pPr>
            <w:r>
              <w:rPr>
                <w:sz w:val="26"/>
              </w:rPr>
              <w:t>In</w:t>
            </w:r>
            <w:r>
              <w:rPr>
                <w:spacing w:val="-5"/>
                <w:sz w:val="26"/>
              </w:rPr>
              <w:t> </w:t>
            </w:r>
            <w:r>
              <w:rPr>
                <w:sz w:val="26"/>
              </w:rPr>
              <w:t>the</w:t>
            </w:r>
            <w:r>
              <w:rPr>
                <w:spacing w:val="-4"/>
                <w:sz w:val="26"/>
              </w:rPr>
              <w:t> </w:t>
            </w:r>
            <w:r>
              <w:rPr>
                <w:sz w:val="26"/>
              </w:rPr>
              <w:t>Matter</w:t>
            </w:r>
            <w:r>
              <w:rPr>
                <w:spacing w:val="-5"/>
                <w:sz w:val="26"/>
              </w:rPr>
              <w:t> of</w:t>
            </w:r>
          </w:p>
          <w:p>
            <w:pPr>
              <w:pStyle w:val="TableParagraph"/>
              <w:rPr>
                <w:b/>
                <w:sz w:val="26"/>
              </w:rPr>
            </w:pPr>
          </w:p>
          <w:p>
            <w:pPr>
              <w:pStyle w:val="TableParagraph"/>
              <w:ind w:left="100"/>
              <w:rPr>
                <w:sz w:val="26"/>
              </w:rPr>
            </w:pPr>
            <w:r>
              <w:rPr>
                <w:sz w:val="26"/>
              </w:rPr>
              <w:t>Petition</w:t>
            </w:r>
            <w:r>
              <w:rPr>
                <w:spacing w:val="-9"/>
                <w:sz w:val="26"/>
              </w:rPr>
              <w:t> </w:t>
            </w:r>
            <w:r>
              <w:rPr>
                <w:sz w:val="26"/>
              </w:rPr>
              <w:t>to</w:t>
            </w:r>
            <w:r>
              <w:rPr>
                <w:spacing w:val="-7"/>
                <w:sz w:val="26"/>
              </w:rPr>
              <w:t> </w:t>
            </w:r>
            <w:r>
              <w:rPr>
                <w:sz w:val="26"/>
              </w:rPr>
              <w:t>Amend</w:t>
            </w:r>
            <w:r>
              <w:rPr>
                <w:spacing w:val="-7"/>
                <w:sz w:val="26"/>
              </w:rPr>
              <w:t> </w:t>
            </w:r>
            <w:r>
              <w:rPr>
                <w:sz w:val="26"/>
              </w:rPr>
              <w:t>Arizona</w:t>
            </w:r>
            <w:r>
              <w:rPr>
                <w:spacing w:val="-9"/>
                <w:sz w:val="26"/>
              </w:rPr>
              <w:t> </w:t>
            </w:r>
            <w:r>
              <w:rPr>
                <w:sz w:val="26"/>
              </w:rPr>
              <w:t>Supreme</w:t>
            </w:r>
            <w:r>
              <w:rPr>
                <w:spacing w:val="-9"/>
                <w:sz w:val="26"/>
              </w:rPr>
              <w:t> </w:t>
            </w:r>
            <w:r>
              <w:rPr>
                <w:sz w:val="26"/>
              </w:rPr>
              <w:t>Court Rules 35, 38, and 39</w:t>
            </w:r>
          </w:p>
        </w:tc>
        <w:tc>
          <w:tcPr>
            <w:tcW w:w="4281" w:type="dxa"/>
            <w:tcBorders>
              <w:left w:val="single" w:sz="4" w:space="0" w:color="000000"/>
            </w:tcBorders>
          </w:tcPr>
          <w:p>
            <w:pPr>
              <w:pStyle w:val="TableParagraph"/>
              <w:spacing w:line="299" w:lineRule="exact" w:before="0"/>
              <w:ind w:left="105"/>
              <w:rPr>
                <w:sz w:val="26"/>
              </w:rPr>
            </w:pPr>
            <w:r>
              <w:rPr>
                <w:sz w:val="26"/>
              </w:rPr>
              <w:t>Arizona</w:t>
            </w:r>
            <w:r>
              <w:rPr>
                <w:spacing w:val="-8"/>
                <w:sz w:val="26"/>
              </w:rPr>
              <w:t> </w:t>
            </w:r>
            <w:r>
              <w:rPr>
                <w:sz w:val="26"/>
              </w:rPr>
              <w:t>Supreme</w:t>
            </w:r>
            <w:r>
              <w:rPr>
                <w:spacing w:val="-7"/>
                <w:sz w:val="26"/>
              </w:rPr>
              <w:t> </w:t>
            </w:r>
            <w:r>
              <w:rPr>
                <w:sz w:val="26"/>
              </w:rPr>
              <w:t>Court</w:t>
            </w:r>
            <w:r>
              <w:rPr>
                <w:spacing w:val="-8"/>
                <w:sz w:val="26"/>
              </w:rPr>
              <w:t> </w:t>
            </w:r>
            <w:r>
              <w:rPr>
                <w:sz w:val="26"/>
              </w:rPr>
              <w:t>No.</w:t>
            </w:r>
            <w:r>
              <w:rPr>
                <w:spacing w:val="-7"/>
                <w:sz w:val="26"/>
              </w:rPr>
              <w:t> </w:t>
            </w:r>
            <w:r>
              <w:rPr>
                <w:sz w:val="26"/>
              </w:rPr>
              <w:t>R-26-</w:t>
            </w:r>
            <w:r>
              <w:rPr>
                <w:spacing w:val="-4"/>
                <w:sz w:val="26"/>
              </w:rPr>
              <w:t>0010</w:t>
            </w:r>
          </w:p>
          <w:p>
            <w:pPr>
              <w:pStyle w:val="TableParagraph"/>
              <w:rPr>
                <w:b/>
                <w:sz w:val="26"/>
              </w:rPr>
            </w:pPr>
          </w:p>
          <w:p>
            <w:pPr>
              <w:pStyle w:val="TableParagraph"/>
              <w:ind w:left="105"/>
              <w:rPr>
                <w:sz w:val="26"/>
              </w:rPr>
            </w:pPr>
            <w:r>
              <w:rPr>
                <w:sz w:val="26"/>
              </w:rPr>
              <w:t>Comment</w:t>
            </w:r>
            <w:r>
              <w:rPr>
                <w:spacing w:val="-8"/>
                <w:sz w:val="26"/>
              </w:rPr>
              <w:t> </w:t>
            </w:r>
            <w:r>
              <w:rPr>
                <w:sz w:val="26"/>
              </w:rPr>
              <w:t>of</w:t>
            </w:r>
            <w:r>
              <w:rPr>
                <w:spacing w:val="-11"/>
                <w:sz w:val="26"/>
              </w:rPr>
              <w:t> </w:t>
            </w:r>
            <w:r>
              <w:rPr>
                <w:sz w:val="26"/>
              </w:rPr>
              <w:t>the</w:t>
            </w:r>
            <w:r>
              <w:rPr>
                <w:spacing w:val="-11"/>
                <w:sz w:val="26"/>
              </w:rPr>
              <w:t> </w:t>
            </w:r>
            <w:r>
              <w:rPr>
                <w:sz w:val="26"/>
              </w:rPr>
              <w:t>Attorney</w:t>
            </w:r>
            <w:r>
              <w:rPr>
                <w:spacing w:val="-11"/>
                <w:sz w:val="26"/>
              </w:rPr>
              <w:t> </w:t>
            </w:r>
            <w:r>
              <w:rPr>
                <w:sz w:val="26"/>
              </w:rPr>
              <w:t>Regulation Advisory Committee</w:t>
            </w:r>
          </w:p>
        </w:tc>
      </w:tr>
    </w:tbl>
    <w:p>
      <w:pPr>
        <w:pStyle w:val="BodyText"/>
        <w:rPr>
          <w:b/>
        </w:rPr>
      </w:pPr>
    </w:p>
    <w:p>
      <w:pPr>
        <w:pStyle w:val="BodyText"/>
        <w:rPr>
          <w:b/>
        </w:rPr>
      </w:pPr>
    </w:p>
    <w:p>
      <w:pPr>
        <w:pStyle w:val="BodyText"/>
        <w:spacing w:before="7"/>
        <w:rPr>
          <w:b/>
        </w:rPr>
      </w:pPr>
    </w:p>
    <w:p>
      <w:pPr>
        <w:spacing w:line="357" w:lineRule="auto" w:before="0"/>
        <w:ind w:left="1351" w:right="1284" w:firstLine="0"/>
        <w:jc w:val="center"/>
        <w:rPr>
          <w:b/>
          <w:sz w:val="26"/>
        </w:rPr>
      </w:pPr>
      <w:r>
        <w:rPr>
          <w:b/>
          <w:sz w:val="26"/>
        </w:rPr>
        <w:t>COMMENT</w:t>
      </w:r>
      <w:r>
        <w:rPr>
          <w:b/>
          <w:spacing w:val="-8"/>
          <w:sz w:val="26"/>
        </w:rPr>
        <w:t> </w:t>
      </w:r>
      <w:r>
        <w:rPr>
          <w:b/>
          <w:sz w:val="26"/>
        </w:rPr>
        <w:t>IN</w:t>
      </w:r>
      <w:r>
        <w:rPr>
          <w:b/>
          <w:spacing w:val="-5"/>
          <w:sz w:val="26"/>
        </w:rPr>
        <w:t> </w:t>
      </w:r>
      <w:r>
        <w:rPr>
          <w:b/>
          <w:sz w:val="26"/>
        </w:rPr>
        <w:t>SUPPORT</w:t>
      </w:r>
      <w:r>
        <w:rPr>
          <w:b/>
          <w:spacing w:val="-8"/>
          <w:sz w:val="26"/>
        </w:rPr>
        <w:t> </w:t>
      </w:r>
      <w:r>
        <w:rPr>
          <w:b/>
          <w:sz w:val="26"/>
        </w:rPr>
        <w:t>OF</w:t>
      </w:r>
      <w:r>
        <w:rPr>
          <w:b/>
          <w:spacing w:val="-5"/>
          <w:sz w:val="26"/>
        </w:rPr>
        <w:t> </w:t>
      </w:r>
      <w:r>
        <w:rPr>
          <w:b/>
          <w:sz w:val="26"/>
        </w:rPr>
        <w:t>PETITION</w:t>
      </w:r>
      <w:r>
        <w:rPr>
          <w:b/>
          <w:spacing w:val="-8"/>
          <w:sz w:val="26"/>
        </w:rPr>
        <w:t> </w:t>
      </w:r>
      <w:r>
        <w:rPr>
          <w:b/>
          <w:sz w:val="26"/>
        </w:rPr>
        <w:t>TO</w:t>
      </w:r>
      <w:r>
        <w:rPr>
          <w:b/>
          <w:spacing w:val="-8"/>
          <w:sz w:val="26"/>
        </w:rPr>
        <w:t> </w:t>
      </w:r>
      <w:r>
        <w:rPr>
          <w:b/>
          <w:sz w:val="26"/>
        </w:rPr>
        <w:t>AMEND ARIZONA SUPREME COURT RULES 35, 38, AND 39</w:t>
      </w:r>
    </w:p>
    <w:p>
      <w:pPr>
        <w:pStyle w:val="BodyText"/>
        <w:rPr>
          <w:b/>
        </w:rPr>
      </w:pPr>
    </w:p>
    <w:p>
      <w:pPr>
        <w:pStyle w:val="BodyText"/>
        <w:spacing w:before="59"/>
        <w:rPr>
          <w:b/>
        </w:rPr>
      </w:pPr>
    </w:p>
    <w:p>
      <w:pPr>
        <w:pStyle w:val="BodyText"/>
        <w:spacing w:line="451" w:lineRule="auto"/>
        <w:ind w:left="359" w:right="358" w:firstLine="710"/>
        <w:jc w:val="both"/>
      </w:pPr>
      <w:r>
        <w:rPr/>
        <w:t>The Arizona Supreme Court’s Attorney Regulation Advisory Committee (ARC) supports the petition to amend Arizona Supreme Court Rules 35, 38, and 39.</w:t>
      </w:r>
    </w:p>
    <w:p>
      <w:pPr>
        <w:pStyle w:val="BodyText"/>
        <w:spacing w:line="448" w:lineRule="auto"/>
        <w:ind w:left="358" w:right="360" w:firstLine="720"/>
        <w:jc w:val="both"/>
      </w:pPr>
      <w:r>
        <w:rPr/>
        <w:t>At</w:t>
      </w:r>
      <w:r>
        <w:rPr>
          <w:spacing w:val="-17"/>
        </w:rPr>
        <w:t> </w:t>
      </w:r>
      <w:r>
        <w:rPr/>
        <w:t>its</w:t>
      </w:r>
      <w:r>
        <w:rPr>
          <w:spacing w:val="-16"/>
        </w:rPr>
        <w:t> </w:t>
      </w:r>
      <w:r>
        <w:rPr/>
        <w:t>regularly</w:t>
      </w:r>
      <w:r>
        <w:rPr>
          <w:spacing w:val="-16"/>
        </w:rPr>
        <w:t> </w:t>
      </w:r>
      <w:r>
        <w:rPr/>
        <w:t>scheduled</w:t>
      </w:r>
      <w:r>
        <w:rPr>
          <w:spacing w:val="-16"/>
        </w:rPr>
        <w:t> </w:t>
      </w:r>
      <w:r>
        <w:rPr/>
        <w:t>meeting</w:t>
      </w:r>
      <w:r>
        <w:rPr>
          <w:spacing w:val="-17"/>
        </w:rPr>
        <w:t> </w:t>
      </w:r>
      <w:r>
        <w:rPr/>
        <w:t>on</w:t>
      </w:r>
      <w:r>
        <w:rPr>
          <w:spacing w:val="-16"/>
        </w:rPr>
        <w:t> </w:t>
      </w:r>
      <w:r>
        <w:rPr/>
        <w:t>March</w:t>
      </w:r>
      <w:r>
        <w:rPr>
          <w:spacing w:val="-16"/>
        </w:rPr>
        <w:t> </w:t>
      </w:r>
      <w:r>
        <w:rPr/>
        <w:t>17,</w:t>
      </w:r>
      <w:r>
        <w:rPr>
          <w:spacing w:val="-16"/>
        </w:rPr>
        <w:t> </w:t>
      </w:r>
      <w:r>
        <w:rPr/>
        <w:t>2026,</w:t>
      </w:r>
      <w:r>
        <w:rPr>
          <w:spacing w:val="-17"/>
        </w:rPr>
        <w:t> </w:t>
      </w:r>
      <w:r>
        <w:rPr/>
        <w:t>ARC</w:t>
      </w:r>
      <w:r>
        <w:rPr>
          <w:spacing w:val="-16"/>
        </w:rPr>
        <w:t> </w:t>
      </w:r>
      <w:r>
        <w:rPr/>
        <w:t>reviewed</w:t>
      </w:r>
      <w:r>
        <w:rPr>
          <w:spacing w:val="-16"/>
        </w:rPr>
        <w:t> </w:t>
      </w:r>
      <w:r>
        <w:rPr/>
        <w:t>and</w:t>
      </w:r>
      <w:r>
        <w:rPr>
          <w:spacing w:val="-16"/>
        </w:rPr>
        <w:t> </w:t>
      </w:r>
      <w:r>
        <w:rPr/>
        <w:t>discussed this matter. Accordingly, by a unanimous vote, ARC directed the submission of this comment in support and urges the Arizona Supreme Court to favorably consider and approve the proposed petition to amend Rules 35, 38, and 38 of the Rules of the Supreme Court of Arizona as submitted by Michael Donovan on behalf of the Committee </w:t>
      </w:r>
      <w:r>
        <w:rPr/>
        <w:t>on </w:t>
      </w:r>
      <w:r>
        <w:rPr>
          <w:spacing w:val="-2"/>
        </w:rPr>
        <w:t>Examinations.</w:t>
      </w:r>
    </w:p>
    <w:p>
      <w:pPr>
        <w:pStyle w:val="BodyText"/>
        <w:spacing w:before="247"/>
        <w:ind w:left="3267"/>
      </w:pPr>
      <w:r>
        <w:rPr/>
        <w:t>RESPECTFULLY</w:t>
      </w:r>
      <w:r>
        <w:rPr>
          <w:spacing w:val="-9"/>
        </w:rPr>
        <w:t> </w:t>
      </w:r>
      <w:r>
        <w:rPr/>
        <w:t>SUBMITTED</w:t>
      </w:r>
      <w:r>
        <w:rPr>
          <w:spacing w:val="-6"/>
        </w:rPr>
        <w:t> </w:t>
      </w:r>
      <w:r>
        <w:rPr/>
        <w:t>this</w:t>
      </w:r>
      <w:r>
        <w:rPr>
          <w:spacing w:val="-9"/>
        </w:rPr>
        <w:t> </w:t>
      </w:r>
      <w:r>
        <w:rPr/>
        <w:t>27</w:t>
      </w:r>
      <w:r>
        <w:rPr>
          <w:vertAlign w:val="superscript"/>
        </w:rPr>
        <w:t>th</w:t>
      </w:r>
      <w:r>
        <w:rPr>
          <w:spacing w:val="-7"/>
          <w:vertAlign w:val="baseline"/>
        </w:rPr>
        <w:t> </w:t>
      </w:r>
      <w:r>
        <w:rPr>
          <w:vertAlign w:val="baseline"/>
        </w:rPr>
        <w:t>day</w:t>
      </w:r>
      <w:r>
        <w:rPr>
          <w:spacing w:val="-9"/>
          <w:vertAlign w:val="baseline"/>
        </w:rPr>
        <w:t> </w:t>
      </w:r>
      <w:r>
        <w:rPr>
          <w:vertAlign w:val="baseline"/>
        </w:rPr>
        <w:t>of</w:t>
      </w:r>
      <w:r>
        <w:rPr>
          <w:spacing w:val="-8"/>
          <w:vertAlign w:val="baseline"/>
        </w:rPr>
        <w:t> </w:t>
      </w:r>
      <w:r>
        <w:rPr>
          <w:vertAlign w:val="baseline"/>
        </w:rPr>
        <w:t>April,</w:t>
      </w:r>
      <w:r>
        <w:rPr>
          <w:spacing w:val="-6"/>
          <w:vertAlign w:val="baseline"/>
        </w:rPr>
        <w:t> </w:t>
      </w:r>
      <w:r>
        <w:rPr>
          <w:spacing w:val="-2"/>
          <w:vertAlign w:val="baseline"/>
        </w:rPr>
        <w:t>2026.</w:t>
      </w:r>
    </w:p>
    <w:p>
      <w:pPr>
        <w:pStyle w:val="BodyText"/>
        <w:spacing w:after="0"/>
        <w:sectPr>
          <w:footerReference w:type="default" r:id="rId5"/>
          <w:type w:val="continuous"/>
          <w:pgSz w:w="12240" w:h="15840"/>
          <w:pgMar w:header="0" w:footer="1063" w:top="1380" w:bottom="1260" w:left="1080" w:right="1080"/>
          <w:pgNumType w:start="1"/>
        </w:sectPr>
      </w:pPr>
    </w:p>
    <w:p>
      <w:pPr>
        <w:pStyle w:val="BodyText"/>
      </w:pPr>
    </w:p>
    <w:p>
      <w:pPr>
        <w:pStyle w:val="BodyText"/>
      </w:pPr>
    </w:p>
    <w:p>
      <w:pPr>
        <w:pStyle w:val="BodyText"/>
        <w:spacing w:before="2"/>
      </w:pPr>
    </w:p>
    <w:p>
      <w:pPr>
        <w:pStyle w:val="BodyText"/>
        <w:ind w:left="4668"/>
      </w:pPr>
      <w:r>
        <w:rPr/>
        <mc:AlternateContent>
          <mc:Choice Requires="wps">
            <w:drawing>
              <wp:anchor distT="0" distB="0" distL="0" distR="0" allowOverlap="1" layoutInCell="1" locked="0" behindDoc="1" simplePos="0" relativeHeight="487550976">
                <wp:simplePos x="0" y="0"/>
                <wp:positionH relativeFrom="page">
                  <wp:posOffset>3650412</wp:posOffset>
                </wp:positionH>
                <wp:positionV relativeFrom="paragraph">
                  <wp:posOffset>-567641</wp:posOffset>
                </wp:positionV>
                <wp:extent cx="2889885" cy="6223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889885" cy="622300"/>
                          <a:chExt cx="2889885" cy="622300"/>
                        </a:xfrm>
                      </wpg:grpSpPr>
                      <pic:pic>
                        <pic:nvPicPr>
                          <pic:cNvPr id="3" name="Image 3" descr="Text, letter  AI-generated content may be incorrect. "/>
                          <pic:cNvPicPr/>
                        </pic:nvPicPr>
                        <pic:blipFill>
                          <a:blip r:embed="rId7" cstate="print"/>
                          <a:stretch>
                            <a:fillRect/>
                          </a:stretch>
                        </pic:blipFill>
                        <pic:spPr>
                          <a:xfrm>
                            <a:off x="96280" y="0"/>
                            <a:ext cx="2142772" cy="622299"/>
                          </a:xfrm>
                          <a:prstGeom prst="rect">
                            <a:avLst/>
                          </a:prstGeom>
                        </pic:spPr>
                      </pic:pic>
                      <wps:wsp>
                        <wps:cNvPr id="4" name="Graphic 4"/>
                        <wps:cNvSpPr/>
                        <wps:spPr>
                          <a:xfrm>
                            <a:off x="0" y="563908"/>
                            <a:ext cx="2889885" cy="1270"/>
                          </a:xfrm>
                          <a:custGeom>
                            <a:avLst/>
                            <a:gdLst/>
                            <a:ahLst/>
                            <a:cxnLst/>
                            <a:rect l="l" t="t" r="r" b="b"/>
                            <a:pathLst>
                              <a:path w="2889885" h="0">
                                <a:moveTo>
                                  <a:pt x="0" y="0"/>
                                </a:moveTo>
                                <a:lnTo>
                                  <a:pt x="2889577" y="0"/>
                                </a:lnTo>
                              </a:path>
                            </a:pathLst>
                          </a:custGeom>
                          <a:ln w="67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7.434082pt;margin-top:-44.696194pt;width:227.55pt;height:49pt;mso-position-horizontal-relative:page;mso-position-vertical-relative:paragraph;z-index:-15765504" id="docshapegroup2" coordorigin="5749,-894" coordsize="4551,980">
                <v:shape style="position:absolute;left:5900;top:-894;width:3375;height:980" type="#_x0000_t75" id="docshape3" alt="Text, letter  AI-generated content may be incorrect. " stroked="false">
                  <v:imagedata r:id="rId7" o:title=""/>
                </v:shape>
                <v:line style="position:absolute" from="5749,-6" to="10299,-6" stroked="true" strokeweight=".531360pt" strokecolor="#000000">
                  <v:stroke dashstyle="solid"/>
                </v:line>
                <w10:wrap type="none"/>
              </v:group>
            </w:pict>
          </mc:Fallback>
        </mc:AlternateContent>
      </w:r>
      <w:r>
        <w:rPr/>
        <w:t>Vice</w:t>
      </w:r>
      <w:r>
        <w:rPr>
          <w:spacing w:val="-3"/>
        </w:rPr>
        <w:t> </w:t>
      </w:r>
      <w:r>
        <w:rPr/>
        <w:t>Chief</w:t>
      </w:r>
      <w:r>
        <w:rPr>
          <w:spacing w:val="-5"/>
        </w:rPr>
        <w:t> </w:t>
      </w:r>
      <w:r>
        <w:rPr/>
        <w:t>Justice</w:t>
      </w:r>
      <w:r>
        <w:rPr>
          <w:spacing w:val="-5"/>
        </w:rPr>
        <w:t> </w:t>
      </w:r>
      <w:r>
        <w:rPr/>
        <w:t>John</w:t>
      </w:r>
      <w:r>
        <w:rPr>
          <w:spacing w:val="-5"/>
        </w:rPr>
        <w:t> </w:t>
      </w:r>
      <w:r>
        <w:rPr/>
        <w:t>R.</w:t>
      </w:r>
      <w:r>
        <w:rPr>
          <w:spacing w:val="-3"/>
        </w:rPr>
        <w:t> </w:t>
      </w:r>
      <w:r>
        <w:rPr/>
        <w:t>Lopez</w:t>
      </w:r>
      <w:r>
        <w:rPr>
          <w:spacing w:val="-5"/>
        </w:rPr>
        <w:t> IV</w:t>
      </w:r>
    </w:p>
    <w:p>
      <w:pPr>
        <w:pStyle w:val="BodyText"/>
        <w:spacing w:before="1"/>
        <w:ind w:left="4668"/>
      </w:pPr>
      <w:r>
        <w:rPr>
          <w:spacing w:val="-2"/>
        </w:rPr>
        <w:t>Chair,</w:t>
      </w:r>
      <w:r>
        <w:rPr>
          <w:spacing w:val="-1"/>
        </w:rPr>
        <w:t> </w:t>
      </w:r>
      <w:r>
        <w:rPr>
          <w:spacing w:val="-2"/>
        </w:rPr>
        <w:t>Attorney</w:t>
      </w:r>
      <w:r>
        <w:rPr>
          <w:spacing w:val="-1"/>
        </w:rPr>
        <w:t> </w:t>
      </w:r>
      <w:r>
        <w:rPr>
          <w:spacing w:val="-2"/>
        </w:rPr>
        <w:t>Regulation Advisory</w:t>
      </w:r>
      <w:r>
        <w:rPr/>
        <w:t> </w:t>
      </w:r>
      <w:r>
        <w:rPr>
          <w:spacing w:val="-2"/>
        </w:rPr>
        <w:t>Committee</w:t>
      </w:r>
    </w:p>
    <w:sectPr>
      <w:pgSz w:w="12240" w:h="15840"/>
      <w:pgMar w:header="0" w:footer="1063" w:top="126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0976">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27.866638pt;width:13pt;height:15.3pt;mso-position-horizontal-relative:page;mso-position-vertical-relative:page;z-index:-15765504"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ind w:left="1351" w:right="1284"/>
      <w:jc w:val="center"/>
      <w:outlineLvl w:val="1"/>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rc@courts.az.gov"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Maricopa County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ATTORNEY REGULATION ADVISORY COMMITTEE</dc:creator>
  <dc:title>COMMENT IN SUPPORT OF PETITION TO AMEND R-26-0010</dc:title>
  <dcterms:created xsi:type="dcterms:W3CDTF">2026-04-28T22:58:25Z</dcterms:created>
  <dcterms:modified xsi:type="dcterms:W3CDTF">2026-04-28T22:58:25Z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0x0101008F24E253BD646E42B7BF957CEC81C8F4</vt:lpwstr>
  </property>
  <property fmtid="{D5CDD505-2E9C-101B-9397-08002B2CF9AE}" pid="3" name="Created">
    <vt:filetime>2026-04-27T00:00:00Z</vt:filetime>
  </property>
  <property fmtid="{D5CDD505-2E9C-101B-9397-08002B2CF9AE}" pid="4" name="Creator">
    <vt:lpwstr>Acrobat PDFMaker 26 for Word</vt:lpwstr>
  </property>
  <property fmtid="{D5CDD505-2E9C-101B-9397-08002B2CF9AE}" pid="5" name="LastSaved">
    <vt:filetime>2026-04-28T00:00:00Z</vt:filetime>
  </property>
  <property fmtid="{D5CDD505-2E9C-101B-9397-08002B2CF9AE}" pid="6" name="MediaServiceImageTags">
    <vt:lpwstr/>
  </property>
  <property fmtid="{D5CDD505-2E9C-101B-9397-08002B2CF9AE}" pid="7" name="Producer">
    <vt:lpwstr>Adobe PDF Library 26.1.183</vt:lpwstr>
  </property>
  <property fmtid="{D5CDD505-2E9C-101B-9397-08002B2CF9AE}" pid="8" name="SourceModified">
    <vt:lpwstr>D:20260427224056</vt:lpwstr>
  </property>
  <property fmtid="{D5CDD505-2E9C-101B-9397-08002B2CF9AE}" pid="9" name="_ExtendedDescription">
    <vt:lpwstr/>
  </property>
</Properties>
</file>