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02BA" w14:textId="77777777" w:rsidR="009C3B71" w:rsidRPr="009476E6" w:rsidRDefault="009C3B71">
      <w:pPr>
        <w:jc w:val="both"/>
        <w:rPr>
          <w:sz w:val="28"/>
          <w:szCs w:val="28"/>
        </w:rPr>
      </w:pPr>
      <w:r w:rsidRPr="009476E6">
        <w:rPr>
          <w:sz w:val="28"/>
          <w:szCs w:val="28"/>
        </w:rPr>
        <w:t>Samuel A. Thumma</w:t>
      </w:r>
    </w:p>
    <w:p w14:paraId="2C161B71" w14:textId="77777777" w:rsidR="00F86E67" w:rsidRPr="0056612F" w:rsidRDefault="00F86E67" w:rsidP="00F86E67">
      <w:pPr>
        <w:rPr>
          <w:sz w:val="28"/>
          <w:szCs w:val="28"/>
        </w:rPr>
      </w:pPr>
      <w:r w:rsidRPr="0056612F">
        <w:rPr>
          <w:sz w:val="28"/>
          <w:szCs w:val="28"/>
        </w:rPr>
        <w:t>Cynthia J. Bailey</w:t>
      </w:r>
    </w:p>
    <w:p w14:paraId="3B12ED26" w14:textId="576B5B21" w:rsidR="00EF4A44" w:rsidRPr="0056612F" w:rsidRDefault="00EF4A44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Andrew J. Becke</w:t>
      </w:r>
    </w:p>
    <w:p w14:paraId="38A8C2A6" w14:textId="79534D4A" w:rsidR="00D719DF" w:rsidRPr="0056612F" w:rsidRDefault="00D719DF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Michael J. Brown</w:t>
      </w:r>
    </w:p>
    <w:p w14:paraId="3BF3722B" w14:textId="77777777" w:rsidR="00D44CF4" w:rsidRDefault="00D44CF4" w:rsidP="009C3B71">
      <w:pPr>
        <w:rPr>
          <w:sz w:val="28"/>
          <w:szCs w:val="28"/>
        </w:rPr>
      </w:pPr>
      <w:r>
        <w:rPr>
          <w:sz w:val="28"/>
          <w:szCs w:val="28"/>
        </w:rPr>
        <w:t>Michael S. Catlett</w:t>
      </w:r>
    </w:p>
    <w:p w14:paraId="5C8CA5A4" w14:textId="4DEA98C4" w:rsidR="002A13F8" w:rsidRPr="0056612F" w:rsidRDefault="002A13F8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Kent E. Cattani</w:t>
      </w:r>
    </w:p>
    <w:p w14:paraId="23E9FA7C" w14:textId="77777777" w:rsidR="00D44CF4" w:rsidRDefault="00D44CF4" w:rsidP="009C3B71">
      <w:pPr>
        <w:rPr>
          <w:sz w:val="28"/>
          <w:szCs w:val="28"/>
        </w:rPr>
      </w:pPr>
      <w:r>
        <w:rPr>
          <w:sz w:val="28"/>
          <w:szCs w:val="28"/>
        </w:rPr>
        <w:t>Brian Y. Furuya</w:t>
      </w:r>
    </w:p>
    <w:p w14:paraId="3DE87A8E" w14:textId="40D419AE" w:rsidR="00044EAB" w:rsidRPr="0056612F" w:rsidRDefault="00044EAB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D. Andrew Gaona</w:t>
      </w:r>
    </w:p>
    <w:p w14:paraId="50F0DE96" w14:textId="77777777" w:rsidR="004D4864" w:rsidRDefault="004D4864" w:rsidP="00692E23">
      <w:pPr>
        <w:rPr>
          <w:sz w:val="28"/>
          <w:szCs w:val="28"/>
        </w:rPr>
      </w:pPr>
      <w:r>
        <w:rPr>
          <w:sz w:val="28"/>
          <w:szCs w:val="28"/>
        </w:rPr>
        <w:t>Anni Hill Foster</w:t>
      </w:r>
    </w:p>
    <w:p w14:paraId="2D0E3776" w14:textId="10C0D67B" w:rsidR="00692E23" w:rsidRPr="0056612F" w:rsidRDefault="00692E23" w:rsidP="00692E23">
      <w:pPr>
        <w:rPr>
          <w:sz w:val="28"/>
          <w:szCs w:val="28"/>
        </w:rPr>
      </w:pPr>
      <w:r w:rsidRPr="0056612F">
        <w:rPr>
          <w:sz w:val="28"/>
          <w:szCs w:val="28"/>
        </w:rPr>
        <w:t>Randall M. Howe</w:t>
      </w:r>
    </w:p>
    <w:p w14:paraId="1DEAA195" w14:textId="5A514CB5" w:rsidR="002C03C2" w:rsidRPr="0056612F" w:rsidRDefault="002C03C2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Andrew M. Jacobs</w:t>
      </w:r>
    </w:p>
    <w:p w14:paraId="6E0A9AD0" w14:textId="0AA87446" w:rsidR="00BC4AD1" w:rsidRPr="009476E6" w:rsidRDefault="00BC4AD1" w:rsidP="009C3B71">
      <w:pPr>
        <w:rPr>
          <w:sz w:val="28"/>
          <w:szCs w:val="28"/>
        </w:rPr>
      </w:pPr>
      <w:r w:rsidRPr="0056612F">
        <w:rPr>
          <w:sz w:val="28"/>
          <w:szCs w:val="28"/>
        </w:rPr>
        <w:t>Paul J. McMurdie (Retired)</w:t>
      </w:r>
    </w:p>
    <w:p w14:paraId="4E0F2993" w14:textId="151E10C2" w:rsidR="00B20CCF" w:rsidRDefault="00B20CCF" w:rsidP="009C3B71">
      <w:pPr>
        <w:rPr>
          <w:sz w:val="28"/>
          <w:szCs w:val="28"/>
        </w:rPr>
      </w:pPr>
      <w:r>
        <w:rPr>
          <w:sz w:val="28"/>
          <w:szCs w:val="28"/>
        </w:rPr>
        <w:t>Angela K. Paton</w:t>
      </w:r>
    </w:p>
    <w:p w14:paraId="4A6861DD" w14:textId="10387BCF" w:rsidR="00E065E6" w:rsidRDefault="00E065E6" w:rsidP="009C3B71">
      <w:pPr>
        <w:rPr>
          <w:sz w:val="28"/>
          <w:szCs w:val="28"/>
        </w:rPr>
      </w:pPr>
      <w:r>
        <w:rPr>
          <w:sz w:val="28"/>
          <w:szCs w:val="28"/>
        </w:rPr>
        <w:t>Jennifer M. Perkins</w:t>
      </w:r>
    </w:p>
    <w:p w14:paraId="4489BB78" w14:textId="0A005924" w:rsidR="009C3B71" w:rsidRPr="001F3F71" w:rsidRDefault="009C3B71" w:rsidP="009C3B71">
      <w:pPr>
        <w:rPr>
          <w:sz w:val="28"/>
          <w:szCs w:val="28"/>
        </w:rPr>
      </w:pPr>
      <w:r w:rsidRPr="009476E6">
        <w:rPr>
          <w:sz w:val="28"/>
          <w:szCs w:val="28"/>
        </w:rPr>
        <w:t>Judge</w:t>
      </w:r>
      <w:r w:rsidR="002C03C2" w:rsidRPr="009476E6">
        <w:rPr>
          <w:sz w:val="28"/>
          <w:szCs w:val="28"/>
        </w:rPr>
        <w:t>s</w:t>
      </w:r>
      <w:r w:rsidRPr="009476E6">
        <w:rPr>
          <w:sz w:val="28"/>
          <w:szCs w:val="28"/>
        </w:rPr>
        <w:t>, Arizona Court of</w:t>
      </w:r>
      <w:r w:rsidRPr="001F3F71">
        <w:rPr>
          <w:sz w:val="28"/>
          <w:szCs w:val="28"/>
        </w:rPr>
        <w:t xml:space="preserve"> Appeals</w:t>
      </w:r>
    </w:p>
    <w:p w14:paraId="72E9C1E2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Division One</w:t>
      </w:r>
    </w:p>
    <w:p w14:paraId="0CBFEC66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State Courts Building</w:t>
      </w:r>
    </w:p>
    <w:p w14:paraId="39DCAABF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1501 West Washington</w:t>
      </w:r>
    </w:p>
    <w:p w14:paraId="618F22DF" w14:textId="158B3851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 xml:space="preserve">Phoenix, </w:t>
      </w:r>
      <w:r w:rsidR="00C56400" w:rsidRPr="001F3F71">
        <w:rPr>
          <w:sz w:val="28"/>
          <w:szCs w:val="28"/>
        </w:rPr>
        <w:t>Arizona</w:t>
      </w:r>
      <w:r w:rsidR="00AD78B3">
        <w:rPr>
          <w:sz w:val="28"/>
          <w:szCs w:val="28"/>
        </w:rPr>
        <w:t xml:space="preserve"> </w:t>
      </w:r>
      <w:r w:rsidR="00C56400" w:rsidRPr="001F3F71">
        <w:rPr>
          <w:sz w:val="28"/>
          <w:szCs w:val="28"/>
        </w:rPr>
        <w:t>85007</w:t>
      </w:r>
    </w:p>
    <w:p w14:paraId="4B39BBC6" w14:textId="684FB75C" w:rsidR="009C3B71" w:rsidRDefault="009107A9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Telephone</w:t>
      </w:r>
      <w:r w:rsidR="00C56400" w:rsidRPr="001F3F71">
        <w:rPr>
          <w:sz w:val="28"/>
          <w:szCs w:val="28"/>
        </w:rPr>
        <w:t xml:space="preserve">: </w:t>
      </w:r>
      <w:r w:rsidR="00651E25">
        <w:rPr>
          <w:sz w:val="28"/>
          <w:szCs w:val="28"/>
        </w:rPr>
        <w:t xml:space="preserve"> </w:t>
      </w:r>
      <w:r w:rsidR="009C3B71" w:rsidRPr="001F3F71">
        <w:rPr>
          <w:sz w:val="28"/>
          <w:szCs w:val="28"/>
        </w:rPr>
        <w:t>602</w:t>
      </w:r>
      <w:r w:rsidR="00651E25">
        <w:rPr>
          <w:sz w:val="28"/>
          <w:szCs w:val="28"/>
        </w:rPr>
        <w:t>.4</w:t>
      </w:r>
      <w:r w:rsidR="009F0414">
        <w:rPr>
          <w:sz w:val="28"/>
          <w:szCs w:val="28"/>
        </w:rPr>
        <w:t>52</w:t>
      </w:r>
      <w:r w:rsidR="00651E25">
        <w:rPr>
          <w:sz w:val="28"/>
          <w:szCs w:val="28"/>
        </w:rPr>
        <w:t>.</w:t>
      </w:r>
      <w:r w:rsidR="005D5A20">
        <w:rPr>
          <w:sz w:val="28"/>
          <w:szCs w:val="28"/>
        </w:rPr>
        <w:t>6700</w:t>
      </w:r>
    </w:p>
    <w:p w14:paraId="16C829FF" w14:textId="77777777" w:rsidR="00AA27C1" w:rsidRDefault="00AA27C1" w:rsidP="009C3B71">
      <w:pPr>
        <w:rPr>
          <w:sz w:val="28"/>
          <w:szCs w:val="28"/>
        </w:rPr>
      </w:pPr>
    </w:p>
    <w:p w14:paraId="4A776BB1" w14:textId="3B06A2DC" w:rsidR="00AA27C1" w:rsidRDefault="00AA27C1" w:rsidP="009C3B71">
      <w:pPr>
        <w:rPr>
          <w:sz w:val="28"/>
          <w:szCs w:val="28"/>
        </w:rPr>
      </w:pPr>
      <w:r w:rsidRPr="009476E6">
        <w:rPr>
          <w:sz w:val="28"/>
          <w:szCs w:val="28"/>
        </w:rPr>
        <w:t>Sean E. Brearcliff</w:t>
      </w:r>
      <w:r w:rsidR="007700CD" w:rsidRPr="009476E6">
        <w:rPr>
          <w:sz w:val="28"/>
          <w:szCs w:val="28"/>
        </w:rPr>
        <w:t>e</w:t>
      </w:r>
    </w:p>
    <w:p w14:paraId="7C2ADA2F" w14:textId="6B0ACFA0" w:rsidR="002B4BB1" w:rsidRDefault="002B4BB1" w:rsidP="009C3B71">
      <w:pPr>
        <w:rPr>
          <w:sz w:val="28"/>
          <w:szCs w:val="28"/>
        </w:rPr>
      </w:pPr>
      <w:r>
        <w:rPr>
          <w:sz w:val="28"/>
          <w:szCs w:val="28"/>
        </w:rPr>
        <w:t>Jeffrey L. Sklar</w:t>
      </w:r>
    </w:p>
    <w:p w14:paraId="2F46467E" w14:textId="639592BA" w:rsidR="00AA27C1" w:rsidRDefault="00AA27C1" w:rsidP="009C3B71">
      <w:pPr>
        <w:rPr>
          <w:sz w:val="28"/>
          <w:szCs w:val="28"/>
        </w:rPr>
      </w:pPr>
      <w:r>
        <w:rPr>
          <w:sz w:val="28"/>
          <w:szCs w:val="28"/>
        </w:rPr>
        <w:t>Judg</w:t>
      </w:r>
      <w:r w:rsidR="007700CD">
        <w:rPr>
          <w:sz w:val="28"/>
          <w:szCs w:val="28"/>
        </w:rPr>
        <w:t>e, Arizona Court of Appeals</w:t>
      </w:r>
    </w:p>
    <w:p w14:paraId="291537B8" w14:textId="600C95ED" w:rsidR="007700CD" w:rsidRDefault="007700CD" w:rsidP="009C3B71">
      <w:pPr>
        <w:rPr>
          <w:sz w:val="28"/>
          <w:szCs w:val="28"/>
        </w:rPr>
      </w:pPr>
      <w:r>
        <w:rPr>
          <w:sz w:val="28"/>
          <w:szCs w:val="28"/>
        </w:rPr>
        <w:t>Division Two</w:t>
      </w:r>
    </w:p>
    <w:p w14:paraId="02194599" w14:textId="2DFFB6B6" w:rsidR="00F235C9" w:rsidRDefault="00F235C9" w:rsidP="009C3B71">
      <w:pPr>
        <w:rPr>
          <w:sz w:val="28"/>
          <w:szCs w:val="28"/>
        </w:rPr>
      </w:pPr>
      <w:r>
        <w:rPr>
          <w:sz w:val="28"/>
          <w:szCs w:val="28"/>
        </w:rPr>
        <w:t>400 West Congress Street</w:t>
      </w:r>
    </w:p>
    <w:p w14:paraId="1BDC5033" w14:textId="68FB115A" w:rsidR="00651E25" w:rsidRDefault="00651E25" w:rsidP="009C3B71">
      <w:pPr>
        <w:rPr>
          <w:sz w:val="28"/>
          <w:szCs w:val="28"/>
        </w:rPr>
      </w:pPr>
      <w:r>
        <w:rPr>
          <w:sz w:val="28"/>
          <w:szCs w:val="28"/>
        </w:rPr>
        <w:t>North Building, Suite 200</w:t>
      </w:r>
    </w:p>
    <w:p w14:paraId="56C4922E" w14:textId="57511A5D" w:rsidR="00651E25" w:rsidRDefault="00651E25" w:rsidP="009C3B71">
      <w:pPr>
        <w:rPr>
          <w:sz w:val="28"/>
          <w:szCs w:val="28"/>
        </w:rPr>
      </w:pPr>
      <w:r>
        <w:rPr>
          <w:sz w:val="28"/>
          <w:szCs w:val="28"/>
        </w:rPr>
        <w:t>Tucson, Arizona  85701</w:t>
      </w:r>
    </w:p>
    <w:p w14:paraId="42A0BA48" w14:textId="553A30D8" w:rsidR="00651E25" w:rsidRDefault="00651E25" w:rsidP="009C3B71">
      <w:pPr>
        <w:rPr>
          <w:sz w:val="28"/>
          <w:szCs w:val="28"/>
        </w:rPr>
      </w:pPr>
      <w:r>
        <w:rPr>
          <w:sz w:val="28"/>
          <w:szCs w:val="28"/>
        </w:rPr>
        <w:t>Telephone:  520.628.6954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006EFA44" w14:textId="59AB0203" w:rsidR="001451DE" w:rsidRPr="00801C5D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  </w:t>
      </w:r>
      <w:r w:rsidRPr="001C1D58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R-2</w:t>
      </w:r>
      <w:r w:rsidR="009F73C1">
        <w:rPr>
          <w:color w:val="000000"/>
          <w:sz w:val="28"/>
          <w:szCs w:val="28"/>
        </w:rPr>
        <w:t>6</w:t>
      </w:r>
      <w:r w:rsidR="00801C5D">
        <w:rPr>
          <w:color w:val="000000"/>
          <w:sz w:val="28"/>
          <w:szCs w:val="28"/>
        </w:rPr>
        <w:t>-</w:t>
      </w:r>
      <w:r w:rsidR="009F73C1">
        <w:rPr>
          <w:color w:val="000000"/>
          <w:sz w:val="28"/>
          <w:szCs w:val="28"/>
        </w:rPr>
        <w:t>0060</w:t>
      </w:r>
    </w:p>
    <w:p w14:paraId="3C83C098" w14:textId="77777777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Pr="001C1D58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25806269" w14:textId="7754DC05" w:rsidR="00623CFC" w:rsidRPr="00FA5CA3" w:rsidRDefault="00416291" w:rsidP="001451D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PETITION TO AMEND RULE 111   </w:t>
      </w:r>
      <w:r w:rsidR="00623CFC" w:rsidRPr="001C1D58">
        <w:rPr>
          <w:color w:val="000000"/>
          <w:sz w:val="28"/>
          <w:szCs w:val="28"/>
        </w:rPr>
        <w:t>)</w:t>
      </w:r>
      <w:r w:rsidR="005D5A20">
        <w:rPr>
          <w:color w:val="000000"/>
          <w:sz w:val="28"/>
          <w:szCs w:val="28"/>
        </w:rPr>
        <w:t xml:space="preserve">    </w:t>
      </w:r>
      <w:r w:rsidR="009F73C1" w:rsidRPr="00FA5CA3">
        <w:rPr>
          <w:b/>
          <w:bCs/>
          <w:color w:val="000000"/>
          <w:sz w:val="28"/>
          <w:szCs w:val="28"/>
        </w:rPr>
        <w:t xml:space="preserve">RESPONSE TO PETITION </w:t>
      </w:r>
    </w:p>
    <w:p w14:paraId="494C1742" w14:textId="0D89A56E" w:rsidR="001451DE" w:rsidRPr="001F3F71" w:rsidRDefault="00416291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OF THE RULES OF THE                   )</w:t>
      </w:r>
      <w:r w:rsidR="001451DE" w:rsidRPr="001F3F71">
        <w:rPr>
          <w:color w:val="000000"/>
          <w:sz w:val="28"/>
          <w:szCs w:val="28"/>
        </w:rPr>
        <w:t xml:space="preserve">    </w:t>
      </w:r>
    </w:p>
    <w:p w14:paraId="667BA89B" w14:textId="749C18F1" w:rsidR="001451DE" w:rsidRPr="001F3F71" w:rsidRDefault="00416291" w:rsidP="005D5A2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SUPREME COURT OF ARIZONA   </w:t>
      </w:r>
      <w:r w:rsidR="001A3658" w:rsidRPr="001C1D58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   </w:t>
      </w:r>
    </w:p>
    <w:p w14:paraId="31003FAA" w14:textId="5E86DEB3" w:rsidR="001451DE" w:rsidRPr="001F3F71" w:rsidRDefault="001451DE" w:rsidP="001451DE">
      <w:pPr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>_</w:t>
      </w:r>
      <w:r w:rsidR="001F3F71">
        <w:rPr>
          <w:color w:val="000000"/>
          <w:sz w:val="28"/>
          <w:szCs w:val="28"/>
        </w:rPr>
        <w:t>_____________________________</w:t>
      </w:r>
      <w:r w:rsidR="0050019B">
        <w:rPr>
          <w:color w:val="000000"/>
          <w:sz w:val="28"/>
          <w:szCs w:val="28"/>
        </w:rPr>
        <w:t xml:space="preserve"> </w:t>
      </w:r>
      <w:r w:rsidR="001F3F71" w:rsidRPr="001C1D58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                       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741EFC3C" w14:textId="58372958" w:rsidR="00002008" w:rsidRDefault="00716C6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1F3F71">
        <w:rPr>
          <w:szCs w:val="28"/>
        </w:rPr>
        <w:tab/>
      </w:r>
      <w:r w:rsidR="00187CD4">
        <w:rPr>
          <w:szCs w:val="28"/>
        </w:rPr>
        <w:t xml:space="preserve">The undersigned hereby file this </w:t>
      </w:r>
      <w:r w:rsidR="002F125B">
        <w:rPr>
          <w:szCs w:val="28"/>
        </w:rPr>
        <w:t>R</w:t>
      </w:r>
      <w:r w:rsidR="00187CD4">
        <w:rPr>
          <w:szCs w:val="28"/>
        </w:rPr>
        <w:t>esponse to the Petition to Amend Arizona Supreme Court Rule 11</w:t>
      </w:r>
      <w:r w:rsidR="005D4DE4">
        <w:rPr>
          <w:szCs w:val="28"/>
        </w:rPr>
        <w:t>1</w:t>
      </w:r>
      <w:r w:rsidR="00187CD4">
        <w:rPr>
          <w:szCs w:val="28"/>
        </w:rPr>
        <w:t xml:space="preserve"> (</w:t>
      </w:r>
      <w:r w:rsidR="00AA450E">
        <w:rPr>
          <w:szCs w:val="28"/>
        </w:rPr>
        <w:t>“</w:t>
      </w:r>
      <w:r w:rsidR="00187CD4">
        <w:rPr>
          <w:szCs w:val="28"/>
        </w:rPr>
        <w:t>Petition</w:t>
      </w:r>
      <w:r w:rsidR="00AA450E">
        <w:rPr>
          <w:szCs w:val="28"/>
        </w:rPr>
        <w:t>”</w:t>
      </w:r>
      <w:r w:rsidR="00187CD4">
        <w:rPr>
          <w:szCs w:val="28"/>
        </w:rPr>
        <w:t>) filed by Arizona Supreme Court Staff Attorney Laura R. Curry</w:t>
      </w:r>
      <w:r w:rsidR="005D4DE4">
        <w:rPr>
          <w:szCs w:val="28"/>
        </w:rPr>
        <w:t xml:space="preserve">. </w:t>
      </w:r>
      <w:r w:rsidR="00106519">
        <w:rPr>
          <w:szCs w:val="28"/>
        </w:rPr>
        <w:t xml:space="preserve">While supporting the change suggested in the Petition, the undersigned request additional changes that </w:t>
      </w:r>
      <w:r w:rsidR="00397119">
        <w:rPr>
          <w:szCs w:val="28"/>
        </w:rPr>
        <w:t xml:space="preserve">would treat all memorandum decisions the same while still affording the Arizona Supreme Court the </w:t>
      </w:r>
      <w:r w:rsidR="0083052D">
        <w:rPr>
          <w:szCs w:val="28"/>
        </w:rPr>
        <w:t xml:space="preserve">authority </w:t>
      </w:r>
      <w:r w:rsidR="00397119">
        <w:rPr>
          <w:szCs w:val="28"/>
        </w:rPr>
        <w:t>to determine what can be cited as persuasive authority.</w:t>
      </w:r>
    </w:p>
    <w:p w14:paraId="7F3CE483" w14:textId="6CB76E57" w:rsidR="00C7024C" w:rsidRDefault="00002008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313DC8">
        <w:rPr>
          <w:szCs w:val="28"/>
        </w:rPr>
        <w:t>Currently, with some exceptions</w:t>
      </w:r>
      <w:r w:rsidR="00F4014F">
        <w:rPr>
          <w:szCs w:val="28"/>
        </w:rPr>
        <w:t xml:space="preserve"> and limitations</w:t>
      </w:r>
      <w:r w:rsidR="00313DC8">
        <w:rPr>
          <w:szCs w:val="28"/>
        </w:rPr>
        <w:t>, a</w:t>
      </w:r>
      <w:r w:rsidR="001331FA">
        <w:rPr>
          <w:szCs w:val="28"/>
        </w:rPr>
        <w:t>n Arizona</w:t>
      </w:r>
      <w:r w:rsidR="00313DC8">
        <w:rPr>
          <w:szCs w:val="28"/>
        </w:rPr>
        <w:t xml:space="preserve"> </w:t>
      </w:r>
      <w:r w:rsidR="00F4014F">
        <w:rPr>
          <w:szCs w:val="28"/>
        </w:rPr>
        <w:t xml:space="preserve">Court of Appeals </w:t>
      </w:r>
      <w:r w:rsidR="00313DC8">
        <w:rPr>
          <w:szCs w:val="28"/>
        </w:rPr>
        <w:t xml:space="preserve">memorandum decision may be cited “for persuasive value.” </w:t>
      </w:r>
      <w:r w:rsidR="00F4014F">
        <w:rPr>
          <w:szCs w:val="28"/>
        </w:rPr>
        <w:t>Ariz. R. Sup. Ct. 111(c)(1)(C)</w:t>
      </w:r>
      <w:r w:rsidR="00124DD4">
        <w:rPr>
          <w:szCs w:val="28"/>
        </w:rPr>
        <w:t xml:space="preserve"> (2026)</w:t>
      </w:r>
      <w:r w:rsidR="00F4014F">
        <w:rPr>
          <w:szCs w:val="28"/>
        </w:rPr>
        <w:t xml:space="preserve">. </w:t>
      </w:r>
      <w:r w:rsidR="005D4DE4">
        <w:rPr>
          <w:szCs w:val="28"/>
        </w:rPr>
        <w:t xml:space="preserve">The Petition </w:t>
      </w:r>
      <w:r w:rsidR="00B86822">
        <w:rPr>
          <w:szCs w:val="28"/>
        </w:rPr>
        <w:t xml:space="preserve">seeks to add </w:t>
      </w:r>
      <w:r w:rsidR="00C7024C">
        <w:rPr>
          <w:szCs w:val="28"/>
        </w:rPr>
        <w:t>a</w:t>
      </w:r>
      <w:r w:rsidR="00E4637A">
        <w:rPr>
          <w:szCs w:val="28"/>
        </w:rPr>
        <w:t xml:space="preserve"> </w:t>
      </w:r>
      <w:r w:rsidR="00C7024C">
        <w:rPr>
          <w:szCs w:val="28"/>
        </w:rPr>
        <w:t xml:space="preserve">provision </w:t>
      </w:r>
      <w:r w:rsidR="004372B2">
        <w:rPr>
          <w:szCs w:val="28"/>
        </w:rPr>
        <w:t xml:space="preserve">stating </w:t>
      </w:r>
      <w:r w:rsidR="00C7024C">
        <w:rPr>
          <w:szCs w:val="28"/>
        </w:rPr>
        <w:t>that, whe</w:t>
      </w:r>
      <w:r w:rsidR="00D6539C">
        <w:rPr>
          <w:szCs w:val="28"/>
        </w:rPr>
        <w:t>n</w:t>
      </w:r>
      <w:r w:rsidR="00C7024C">
        <w:rPr>
          <w:szCs w:val="28"/>
        </w:rPr>
        <w:t xml:space="preserve"> </w:t>
      </w:r>
      <w:r w:rsidR="00D6539C">
        <w:rPr>
          <w:szCs w:val="28"/>
        </w:rPr>
        <w:t xml:space="preserve">the </w:t>
      </w:r>
      <w:r w:rsidR="00C7024C">
        <w:rPr>
          <w:szCs w:val="28"/>
        </w:rPr>
        <w:t xml:space="preserve">Arizona </w:t>
      </w:r>
      <w:r w:rsidR="00D6539C">
        <w:rPr>
          <w:szCs w:val="28"/>
        </w:rPr>
        <w:t xml:space="preserve">Supreme Court denies a petition for review of an Arizona </w:t>
      </w:r>
      <w:r w:rsidR="00C7024C">
        <w:rPr>
          <w:szCs w:val="28"/>
        </w:rPr>
        <w:t xml:space="preserve">Court of Appeals memorandum decision, the Arizona Supreme Court “may order that the </w:t>
      </w:r>
      <w:r w:rsidR="00772B2E">
        <w:rPr>
          <w:szCs w:val="28"/>
        </w:rPr>
        <w:t xml:space="preserve">[Court of Appeals’ memorandum] </w:t>
      </w:r>
      <w:r w:rsidR="00C7024C">
        <w:rPr>
          <w:szCs w:val="28"/>
        </w:rPr>
        <w:t xml:space="preserve">decision, or portions of that decision, may not be cited for its persuasive value.” </w:t>
      </w:r>
      <w:r w:rsidR="00981497">
        <w:rPr>
          <w:szCs w:val="28"/>
        </w:rPr>
        <w:t>Stated differently, the</w:t>
      </w:r>
      <w:r w:rsidR="0032024C">
        <w:rPr>
          <w:szCs w:val="28"/>
        </w:rPr>
        <w:t xml:space="preserve"> requested amendment </w:t>
      </w:r>
      <w:r w:rsidR="003C461F">
        <w:rPr>
          <w:szCs w:val="28"/>
        </w:rPr>
        <w:t xml:space="preserve">would expressly authorize the Arizona Supreme Court, in its discretion, </w:t>
      </w:r>
      <w:r w:rsidR="00F16ADC">
        <w:rPr>
          <w:szCs w:val="28"/>
        </w:rPr>
        <w:t xml:space="preserve">to affirmatively </w:t>
      </w:r>
      <w:r w:rsidR="00D0590F">
        <w:rPr>
          <w:szCs w:val="28"/>
        </w:rPr>
        <w:t xml:space="preserve">order </w:t>
      </w:r>
      <w:r w:rsidR="003C461F">
        <w:rPr>
          <w:szCs w:val="28"/>
        </w:rPr>
        <w:t xml:space="preserve">that all or a portion of a memorandum decision </w:t>
      </w:r>
      <w:r w:rsidR="007909D4">
        <w:rPr>
          <w:szCs w:val="28"/>
        </w:rPr>
        <w:t>not be cited for persuasive value</w:t>
      </w:r>
      <w:r w:rsidR="00E4260B">
        <w:rPr>
          <w:szCs w:val="28"/>
        </w:rPr>
        <w:t xml:space="preserve"> when it </w:t>
      </w:r>
      <w:r w:rsidR="006F51B6">
        <w:rPr>
          <w:szCs w:val="28"/>
        </w:rPr>
        <w:t>denies a petition for review of that memorandum decision</w:t>
      </w:r>
      <w:r w:rsidR="00786401">
        <w:rPr>
          <w:szCs w:val="28"/>
        </w:rPr>
        <w:t>. T</w:t>
      </w:r>
      <w:r w:rsidR="00C7024C">
        <w:rPr>
          <w:szCs w:val="28"/>
        </w:rPr>
        <w:t>he undersigned support th</w:t>
      </w:r>
      <w:r w:rsidR="00786401">
        <w:rPr>
          <w:szCs w:val="28"/>
        </w:rPr>
        <w:t>at</w:t>
      </w:r>
      <w:r w:rsidR="001A1B1C">
        <w:rPr>
          <w:szCs w:val="28"/>
        </w:rPr>
        <w:t xml:space="preserve"> </w:t>
      </w:r>
      <w:r w:rsidR="00786401">
        <w:rPr>
          <w:szCs w:val="28"/>
        </w:rPr>
        <w:t xml:space="preserve">suggested </w:t>
      </w:r>
      <w:r w:rsidR="001A1B1C">
        <w:rPr>
          <w:szCs w:val="28"/>
        </w:rPr>
        <w:t>change.</w:t>
      </w:r>
    </w:p>
    <w:p w14:paraId="27A59BA5" w14:textId="7601B710" w:rsidR="00C54334" w:rsidRDefault="00C7024C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1622DA">
        <w:rPr>
          <w:szCs w:val="28"/>
        </w:rPr>
        <w:t>T</w:t>
      </w:r>
      <w:r w:rsidR="00C54334">
        <w:rPr>
          <w:szCs w:val="28"/>
        </w:rPr>
        <w:t>his Response requests further change</w:t>
      </w:r>
      <w:r w:rsidR="00652CD4">
        <w:rPr>
          <w:szCs w:val="28"/>
        </w:rPr>
        <w:t>s</w:t>
      </w:r>
      <w:r w:rsidR="00C54334">
        <w:rPr>
          <w:szCs w:val="28"/>
        </w:rPr>
        <w:t xml:space="preserve"> to Rule 111</w:t>
      </w:r>
      <w:r w:rsidR="001622DA">
        <w:rPr>
          <w:szCs w:val="28"/>
        </w:rPr>
        <w:t xml:space="preserve"> to </w:t>
      </w:r>
      <w:r w:rsidR="009752B7">
        <w:rPr>
          <w:szCs w:val="28"/>
        </w:rPr>
        <w:t xml:space="preserve">fix </w:t>
      </w:r>
      <w:r w:rsidR="001622DA">
        <w:rPr>
          <w:szCs w:val="28"/>
        </w:rPr>
        <w:t>a</w:t>
      </w:r>
      <w:r w:rsidR="00D505E9">
        <w:rPr>
          <w:szCs w:val="28"/>
        </w:rPr>
        <w:t xml:space="preserve"> </w:t>
      </w:r>
      <w:r w:rsidR="00CC6BE7">
        <w:rPr>
          <w:szCs w:val="28"/>
        </w:rPr>
        <w:t xml:space="preserve">related </w:t>
      </w:r>
      <w:r w:rsidR="00831AE1">
        <w:rPr>
          <w:szCs w:val="28"/>
        </w:rPr>
        <w:t>anomaly c</w:t>
      </w:r>
      <w:r w:rsidR="009752B7">
        <w:rPr>
          <w:szCs w:val="28"/>
        </w:rPr>
        <w:t>reated</w:t>
      </w:r>
      <w:r w:rsidR="00831AE1">
        <w:rPr>
          <w:szCs w:val="28"/>
        </w:rPr>
        <w:t xml:space="preserve"> by </w:t>
      </w:r>
      <w:r w:rsidR="00CC6BE7">
        <w:rPr>
          <w:szCs w:val="28"/>
        </w:rPr>
        <w:t xml:space="preserve">the current </w:t>
      </w:r>
      <w:r w:rsidR="003D3241">
        <w:rPr>
          <w:szCs w:val="28"/>
        </w:rPr>
        <w:t>R</w:t>
      </w:r>
      <w:r w:rsidR="00CC6BE7">
        <w:rPr>
          <w:szCs w:val="28"/>
        </w:rPr>
        <w:t xml:space="preserve">ules. </w:t>
      </w:r>
    </w:p>
    <w:p w14:paraId="10D2E0AF" w14:textId="1FDCE6DB" w:rsidR="00D505E9" w:rsidRDefault="00C54334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B543BA">
        <w:rPr>
          <w:szCs w:val="28"/>
        </w:rPr>
        <w:t xml:space="preserve">For </w:t>
      </w:r>
      <w:r w:rsidR="00E517BB">
        <w:rPr>
          <w:szCs w:val="28"/>
        </w:rPr>
        <w:t>decades</w:t>
      </w:r>
      <w:r w:rsidR="00B543BA">
        <w:rPr>
          <w:szCs w:val="28"/>
        </w:rPr>
        <w:t xml:space="preserve">, the Arizona Supreme Court </w:t>
      </w:r>
      <w:r w:rsidR="009752B7">
        <w:rPr>
          <w:szCs w:val="28"/>
        </w:rPr>
        <w:t xml:space="preserve">has </w:t>
      </w:r>
      <w:r w:rsidR="00E517BB">
        <w:rPr>
          <w:szCs w:val="28"/>
        </w:rPr>
        <w:t xml:space="preserve">had the authority to depublish </w:t>
      </w:r>
      <w:r w:rsidR="005D0117">
        <w:rPr>
          <w:szCs w:val="28"/>
        </w:rPr>
        <w:t>opinion</w:t>
      </w:r>
      <w:r w:rsidR="00EB085C">
        <w:rPr>
          <w:szCs w:val="28"/>
        </w:rPr>
        <w:t>s</w:t>
      </w:r>
      <w:r w:rsidR="005D0117">
        <w:rPr>
          <w:szCs w:val="28"/>
        </w:rPr>
        <w:t xml:space="preserve"> of the </w:t>
      </w:r>
      <w:r w:rsidR="00E517BB">
        <w:rPr>
          <w:szCs w:val="28"/>
        </w:rPr>
        <w:t xml:space="preserve">Arizona Court of Appeals. </w:t>
      </w:r>
      <w:r w:rsidR="00C46347" w:rsidRPr="00BF7E3B">
        <w:rPr>
          <w:i/>
          <w:iCs/>
          <w:szCs w:val="28"/>
        </w:rPr>
        <w:t>See</w:t>
      </w:r>
      <w:r w:rsidR="00A37772" w:rsidRPr="00E81ACB">
        <w:rPr>
          <w:i/>
          <w:iCs/>
          <w:szCs w:val="28"/>
        </w:rPr>
        <w:t>,</w:t>
      </w:r>
      <w:r w:rsidR="00A37772" w:rsidRPr="00A37772">
        <w:rPr>
          <w:i/>
          <w:iCs/>
          <w:szCs w:val="28"/>
        </w:rPr>
        <w:t xml:space="preserve"> e.g.</w:t>
      </w:r>
      <w:r w:rsidR="00A37772" w:rsidRPr="00E81ACB">
        <w:rPr>
          <w:szCs w:val="28"/>
        </w:rPr>
        <w:t>,</w:t>
      </w:r>
      <w:r w:rsidR="00C46347">
        <w:rPr>
          <w:szCs w:val="28"/>
        </w:rPr>
        <w:t xml:space="preserve"> </w:t>
      </w:r>
      <w:r w:rsidR="00A37772">
        <w:rPr>
          <w:szCs w:val="28"/>
        </w:rPr>
        <w:t xml:space="preserve">Ariz. R. Sup. Ct. 111(g) (2026); </w:t>
      </w:r>
      <w:r w:rsidR="00C46347">
        <w:rPr>
          <w:szCs w:val="28"/>
        </w:rPr>
        <w:t xml:space="preserve">Ariz. R. Sup. Ct. 111(g) (2014). </w:t>
      </w:r>
      <w:r w:rsidR="00A37772">
        <w:rPr>
          <w:szCs w:val="28"/>
        </w:rPr>
        <w:t xml:space="preserve">Until 2015, </w:t>
      </w:r>
      <w:r w:rsidR="005D0117">
        <w:rPr>
          <w:szCs w:val="28"/>
        </w:rPr>
        <w:t xml:space="preserve">a depublished opinion was treated like a memorandum decision: </w:t>
      </w:r>
      <w:r w:rsidR="00D505E9">
        <w:rPr>
          <w:szCs w:val="28"/>
        </w:rPr>
        <w:t xml:space="preserve"> </w:t>
      </w:r>
      <w:r w:rsidR="00FF5632">
        <w:rPr>
          <w:szCs w:val="28"/>
        </w:rPr>
        <w:t xml:space="preserve">neither </w:t>
      </w:r>
      <w:r w:rsidR="003043C7">
        <w:rPr>
          <w:szCs w:val="28"/>
        </w:rPr>
        <w:t>were</w:t>
      </w:r>
      <w:r w:rsidR="00FF5632">
        <w:rPr>
          <w:szCs w:val="28"/>
        </w:rPr>
        <w:t xml:space="preserve"> precedent </w:t>
      </w:r>
      <w:r w:rsidR="003043C7">
        <w:rPr>
          <w:szCs w:val="28"/>
        </w:rPr>
        <w:t xml:space="preserve">and </w:t>
      </w:r>
      <w:r w:rsidR="00D505E9">
        <w:rPr>
          <w:szCs w:val="28"/>
        </w:rPr>
        <w:t xml:space="preserve">neither could be cited in any court other than for limited </w:t>
      </w:r>
      <w:r w:rsidR="00113F4D">
        <w:rPr>
          <w:szCs w:val="28"/>
        </w:rPr>
        <w:t xml:space="preserve">purposes. </w:t>
      </w:r>
      <w:r w:rsidR="00113F4D" w:rsidRPr="00D505E9">
        <w:rPr>
          <w:i/>
          <w:iCs/>
          <w:szCs w:val="28"/>
        </w:rPr>
        <w:t>See</w:t>
      </w:r>
      <w:r w:rsidR="00113F4D">
        <w:rPr>
          <w:szCs w:val="28"/>
        </w:rPr>
        <w:t xml:space="preserve"> Ariz. R. Sup. Ct. 111(c) (2014) (allowing memorandum decisions to be cited only for “establishing the defense of res judicata, collateral estoppel</w:t>
      </w:r>
      <w:r w:rsidR="00124DD4">
        <w:rPr>
          <w:szCs w:val="28"/>
        </w:rPr>
        <w:t>,</w:t>
      </w:r>
      <w:r w:rsidR="00113F4D">
        <w:rPr>
          <w:szCs w:val="28"/>
        </w:rPr>
        <w:t xml:space="preserve"> or </w:t>
      </w:r>
      <w:r w:rsidR="00124DD4">
        <w:rPr>
          <w:szCs w:val="28"/>
        </w:rPr>
        <w:t xml:space="preserve">the </w:t>
      </w:r>
      <w:r w:rsidR="00113F4D">
        <w:rPr>
          <w:szCs w:val="28"/>
        </w:rPr>
        <w:t>law of the case</w:t>
      </w:r>
      <w:r w:rsidR="00555973">
        <w:rPr>
          <w:szCs w:val="28"/>
        </w:rPr>
        <w:t>;</w:t>
      </w:r>
      <w:r w:rsidR="00113F4D">
        <w:rPr>
          <w:szCs w:val="28"/>
        </w:rPr>
        <w:t>”</w:t>
      </w:r>
      <w:r w:rsidR="00555973">
        <w:rPr>
          <w:szCs w:val="28"/>
        </w:rPr>
        <w:t xml:space="preserve"> </w:t>
      </w:r>
      <w:r w:rsidR="00341D8D">
        <w:rPr>
          <w:szCs w:val="28"/>
        </w:rPr>
        <w:t>for helping the court to decide whether to issue a</w:t>
      </w:r>
      <w:r w:rsidR="00D505E9">
        <w:rPr>
          <w:szCs w:val="28"/>
        </w:rPr>
        <w:t xml:space="preserve">n opinion or to grant a motion for reconsideration or a petition for review). </w:t>
      </w:r>
    </w:p>
    <w:p w14:paraId="6A219EE6" w14:textId="20EAC401" w:rsidR="00042F86" w:rsidRPr="00042F86" w:rsidRDefault="00D505E9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DD7869">
        <w:rPr>
          <w:szCs w:val="28"/>
        </w:rPr>
        <w:t>S</w:t>
      </w:r>
      <w:r w:rsidR="00DB45F7">
        <w:rPr>
          <w:szCs w:val="28"/>
        </w:rPr>
        <w:t>ince</w:t>
      </w:r>
      <w:r w:rsidR="00584469">
        <w:rPr>
          <w:szCs w:val="28"/>
        </w:rPr>
        <w:t xml:space="preserve"> </w:t>
      </w:r>
      <w:r>
        <w:rPr>
          <w:szCs w:val="28"/>
        </w:rPr>
        <w:t>2015</w:t>
      </w:r>
      <w:r w:rsidR="00DB45F7">
        <w:rPr>
          <w:szCs w:val="28"/>
        </w:rPr>
        <w:t>,</w:t>
      </w:r>
      <w:r w:rsidR="00505C48">
        <w:rPr>
          <w:szCs w:val="28"/>
        </w:rPr>
        <w:t xml:space="preserve"> </w:t>
      </w:r>
      <w:r w:rsidR="00042229">
        <w:rPr>
          <w:szCs w:val="28"/>
        </w:rPr>
        <w:t>memorandum decisions issued on or after January 1, 20</w:t>
      </w:r>
      <w:r w:rsidR="00584469">
        <w:rPr>
          <w:szCs w:val="28"/>
        </w:rPr>
        <w:t>1</w:t>
      </w:r>
      <w:r w:rsidR="00042229">
        <w:rPr>
          <w:szCs w:val="28"/>
        </w:rPr>
        <w:t xml:space="preserve">5, can be cited </w:t>
      </w:r>
      <w:r w:rsidR="001464C9">
        <w:rPr>
          <w:szCs w:val="28"/>
        </w:rPr>
        <w:t>“</w:t>
      </w:r>
      <w:r w:rsidR="0024788D">
        <w:rPr>
          <w:szCs w:val="28"/>
        </w:rPr>
        <w:t>for persuasive value</w:t>
      </w:r>
      <w:r w:rsidR="001464C9">
        <w:rPr>
          <w:szCs w:val="28"/>
        </w:rPr>
        <w:t>”</w:t>
      </w:r>
      <w:r w:rsidR="00DB45F7">
        <w:rPr>
          <w:szCs w:val="28"/>
        </w:rPr>
        <w:t xml:space="preserve"> where “no opinion adequately addresses the issue before the court.” </w:t>
      </w:r>
      <w:r w:rsidR="0024788D">
        <w:rPr>
          <w:szCs w:val="28"/>
        </w:rPr>
        <w:t>Ariz. R. Sup. Ct. 111(c)(1)(C) (2026).</w:t>
      </w:r>
      <w:r w:rsidR="00DB45F7">
        <w:rPr>
          <w:szCs w:val="28"/>
        </w:rPr>
        <w:t xml:space="preserve"> The </w:t>
      </w:r>
      <w:r w:rsidR="001464C9">
        <w:rPr>
          <w:szCs w:val="28"/>
        </w:rPr>
        <w:t xml:space="preserve">anomalous exception to that ability to cite memorandum decisions for persuasive value </w:t>
      </w:r>
      <w:r w:rsidR="00042F86">
        <w:rPr>
          <w:szCs w:val="28"/>
        </w:rPr>
        <w:t xml:space="preserve">is a limitation that </w:t>
      </w:r>
      <w:r w:rsidR="00CC611A">
        <w:rPr>
          <w:szCs w:val="28"/>
        </w:rPr>
        <w:t xml:space="preserve">such a citation </w:t>
      </w:r>
      <w:r w:rsidR="000B6D0A">
        <w:rPr>
          <w:szCs w:val="28"/>
        </w:rPr>
        <w:t>is not</w:t>
      </w:r>
      <w:r w:rsidR="00CC611A">
        <w:rPr>
          <w:szCs w:val="28"/>
        </w:rPr>
        <w:t xml:space="preserve"> </w:t>
      </w:r>
      <w:r w:rsidR="00042F86">
        <w:rPr>
          <w:szCs w:val="28"/>
        </w:rPr>
        <w:t xml:space="preserve">“to a depublished opinion or a depublished portion of an opinion.” </w:t>
      </w:r>
      <w:r w:rsidR="00042F86" w:rsidRPr="00042F86">
        <w:rPr>
          <w:i/>
          <w:iCs/>
          <w:szCs w:val="28"/>
        </w:rPr>
        <w:t>Id.</w:t>
      </w:r>
      <w:r w:rsidR="009A5DAC">
        <w:rPr>
          <w:szCs w:val="28"/>
        </w:rPr>
        <w:t xml:space="preserve"> That rule, which was added in 2015, </w:t>
      </w:r>
      <w:r w:rsidR="00B76575">
        <w:rPr>
          <w:szCs w:val="28"/>
        </w:rPr>
        <w:t xml:space="preserve">results in the anomaly where a depublished opinion </w:t>
      </w:r>
      <w:r w:rsidR="00EB085C">
        <w:rPr>
          <w:szCs w:val="28"/>
        </w:rPr>
        <w:t>i</w:t>
      </w:r>
      <w:r w:rsidR="00B76575">
        <w:rPr>
          <w:szCs w:val="28"/>
        </w:rPr>
        <w:t>s treated as something less than a memorandum decision.</w:t>
      </w:r>
    </w:p>
    <w:p w14:paraId="452D2937" w14:textId="399A85C0" w:rsidR="006E190E" w:rsidRDefault="00A3565F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B76575">
        <w:rPr>
          <w:szCs w:val="28"/>
        </w:rPr>
        <w:t xml:space="preserve">As an example, under the current Rules, </w:t>
      </w:r>
      <w:r w:rsidR="0031215C">
        <w:rPr>
          <w:szCs w:val="28"/>
        </w:rPr>
        <w:t xml:space="preserve">when </w:t>
      </w:r>
      <w:r w:rsidR="00FB2B19">
        <w:rPr>
          <w:szCs w:val="28"/>
        </w:rPr>
        <w:t xml:space="preserve">the Arizona Supreme Court denies </w:t>
      </w:r>
      <w:r w:rsidR="004E5291">
        <w:rPr>
          <w:szCs w:val="28"/>
        </w:rPr>
        <w:t xml:space="preserve">a petition for </w:t>
      </w:r>
      <w:r w:rsidR="00FB2B19">
        <w:rPr>
          <w:szCs w:val="28"/>
        </w:rPr>
        <w:t xml:space="preserve">review of a </w:t>
      </w:r>
      <w:r w:rsidR="00B76575">
        <w:rPr>
          <w:szCs w:val="28"/>
        </w:rPr>
        <w:t xml:space="preserve">case decided by a </w:t>
      </w:r>
      <w:r w:rsidR="00FB2B19">
        <w:rPr>
          <w:szCs w:val="28"/>
        </w:rPr>
        <w:t xml:space="preserve">memorandum decision, </w:t>
      </w:r>
      <w:r w:rsidR="0031215C">
        <w:rPr>
          <w:szCs w:val="28"/>
        </w:rPr>
        <w:t xml:space="preserve">that memorandum decision can be cited </w:t>
      </w:r>
      <w:r w:rsidR="00601556">
        <w:rPr>
          <w:szCs w:val="28"/>
        </w:rPr>
        <w:t>“</w:t>
      </w:r>
      <w:r w:rsidR="0031215C">
        <w:rPr>
          <w:szCs w:val="28"/>
        </w:rPr>
        <w:t>for persuasive value.</w:t>
      </w:r>
      <w:r w:rsidR="00601556">
        <w:rPr>
          <w:szCs w:val="28"/>
        </w:rPr>
        <w:t>”</w:t>
      </w:r>
      <w:r w:rsidR="0031215C">
        <w:rPr>
          <w:szCs w:val="28"/>
        </w:rPr>
        <w:t xml:space="preserve"> </w:t>
      </w:r>
      <w:r w:rsidR="002122DF">
        <w:rPr>
          <w:szCs w:val="28"/>
        </w:rPr>
        <w:t>Ariz. R. Sup. Ct. 111(c)(1)(C)</w:t>
      </w:r>
      <w:r w:rsidR="00654497">
        <w:rPr>
          <w:szCs w:val="28"/>
        </w:rPr>
        <w:t xml:space="preserve"> (2026)</w:t>
      </w:r>
      <w:r w:rsidR="00202378">
        <w:rPr>
          <w:szCs w:val="28"/>
        </w:rPr>
        <w:t xml:space="preserve">. </w:t>
      </w:r>
      <w:r w:rsidR="0031215C">
        <w:rPr>
          <w:szCs w:val="28"/>
        </w:rPr>
        <w:t xml:space="preserve">By contrast, when the Arizona Supreme Court denies </w:t>
      </w:r>
      <w:r w:rsidR="004E5291">
        <w:rPr>
          <w:szCs w:val="28"/>
        </w:rPr>
        <w:t xml:space="preserve">a petition for </w:t>
      </w:r>
      <w:r w:rsidR="0031215C">
        <w:rPr>
          <w:szCs w:val="28"/>
        </w:rPr>
        <w:t xml:space="preserve">review of a </w:t>
      </w:r>
      <w:r w:rsidR="00601556">
        <w:rPr>
          <w:szCs w:val="28"/>
        </w:rPr>
        <w:t xml:space="preserve">case decided by an </w:t>
      </w:r>
      <w:r w:rsidR="0031215C">
        <w:rPr>
          <w:szCs w:val="28"/>
        </w:rPr>
        <w:t xml:space="preserve">opinion and </w:t>
      </w:r>
      <w:r w:rsidR="00601556">
        <w:rPr>
          <w:szCs w:val="28"/>
        </w:rPr>
        <w:t xml:space="preserve">also </w:t>
      </w:r>
      <w:r w:rsidR="0031215C">
        <w:rPr>
          <w:szCs w:val="28"/>
        </w:rPr>
        <w:t xml:space="preserve">depublishes that opinion, </w:t>
      </w:r>
      <w:r w:rsidR="0065370A">
        <w:rPr>
          <w:szCs w:val="28"/>
        </w:rPr>
        <w:t xml:space="preserve">under the current Rules, </w:t>
      </w:r>
      <w:r w:rsidR="0031215C">
        <w:rPr>
          <w:szCs w:val="28"/>
        </w:rPr>
        <w:t xml:space="preserve">the former opinion cannot be cited for </w:t>
      </w:r>
      <w:r w:rsidR="006F54D3">
        <w:rPr>
          <w:szCs w:val="28"/>
        </w:rPr>
        <w:t xml:space="preserve">persuasive value. </w:t>
      </w:r>
      <w:r w:rsidR="00202378" w:rsidRPr="00202378">
        <w:rPr>
          <w:i/>
          <w:iCs/>
          <w:szCs w:val="28"/>
        </w:rPr>
        <w:t>Id.</w:t>
      </w:r>
      <w:r w:rsidR="00104B7A">
        <w:rPr>
          <w:szCs w:val="28"/>
        </w:rPr>
        <w:t xml:space="preserve"> </w:t>
      </w:r>
      <w:r w:rsidR="008E1B27">
        <w:rPr>
          <w:szCs w:val="28"/>
        </w:rPr>
        <w:t xml:space="preserve">As a result, </w:t>
      </w:r>
      <w:r w:rsidR="002127F7">
        <w:rPr>
          <w:szCs w:val="28"/>
        </w:rPr>
        <w:t xml:space="preserve">when the Arizona Supreme Court denies review of an opinion but depublishes </w:t>
      </w:r>
      <w:r w:rsidR="00180E73">
        <w:rPr>
          <w:szCs w:val="28"/>
        </w:rPr>
        <w:t>it</w:t>
      </w:r>
      <w:r w:rsidR="002127F7">
        <w:rPr>
          <w:szCs w:val="28"/>
        </w:rPr>
        <w:t xml:space="preserve">, that </w:t>
      </w:r>
      <w:r w:rsidR="008E1B27">
        <w:rPr>
          <w:szCs w:val="28"/>
        </w:rPr>
        <w:t xml:space="preserve">former opinion (which has not been vacated) </w:t>
      </w:r>
      <w:r w:rsidR="002127F7" w:rsidRPr="00F96F0F">
        <w:rPr>
          <w:i/>
          <w:iCs/>
          <w:szCs w:val="28"/>
        </w:rPr>
        <w:t xml:space="preserve">cannot </w:t>
      </w:r>
      <w:r w:rsidR="002127F7">
        <w:rPr>
          <w:szCs w:val="28"/>
        </w:rPr>
        <w:t xml:space="preserve">be </w:t>
      </w:r>
      <w:r w:rsidR="00950773">
        <w:rPr>
          <w:szCs w:val="28"/>
        </w:rPr>
        <w:t xml:space="preserve">cited </w:t>
      </w:r>
      <w:r w:rsidR="00A05405">
        <w:rPr>
          <w:szCs w:val="28"/>
        </w:rPr>
        <w:t>for</w:t>
      </w:r>
      <w:r w:rsidR="00950773">
        <w:rPr>
          <w:szCs w:val="28"/>
        </w:rPr>
        <w:t xml:space="preserve"> persuasive </w:t>
      </w:r>
      <w:r w:rsidR="00A05405">
        <w:rPr>
          <w:szCs w:val="28"/>
        </w:rPr>
        <w:t>value</w:t>
      </w:r>
      <w:r w:rsidR="006E190E">
        <w:rPr>
          <w:szCs w:val="28"/>
        </w:rPr>
        <w:t xml:space="preserve">; </w:t>
      </w:r>
      <w:r w:rsidR="006D062B">
        <w:rPr>
          <w:szCs w:val="28"/>
        </w:rPr>
        <w:t xml:space="preserve">if, instead, the Arizona Supreme Court denies review of a memorandum decision, that memorandum decision </w:t>
      </w:r>
      <w:r w:rsidR="006D062B" w:rsidRPr="00F96F0F">
        <w:rPr>
          <w:i/>
          <w:iCs/>
          <w:szCs w:val="28"/>
        </w:rPr>
        <w:t xml:space="preserve">can </w:t>
      </w:r>
      <w:r w:rsidR="006D062B">
        <w:rPr>
          <w:szCs w:val="28"/>
        </w:rPr>
        <w:t xml:space="preserve">be cited </w:t>
      </w:r>
      <w:r w:rsidR="00A05405">
        <w:rPr>
          <w:szCs w:val="28"/>
        </w:rPr>
        <w:t>for</w:t>
      </w:r>
      <w:r w:rsidR="006D062B">
        <w:rPr>
          <w:szCs w:val="28"/>
        </w:rPr>
        <w:t xml:space="preserve"> persuasive </w:t>
      </w:r>
      <w:r w:rsidR="00A05405">
        <w:rPr>
          <w:szCs w:val="28"/>
        </w:rPr>
        <w:t>value</w:t>
      </w:r>
      <w:r w:rsidR="006D062B">
        <w:rPr>
          <w:szCs w:val="28"/>
        </w:rPr>
        <w:t>.</w:t>
      </w:r>
    </w:p>
    <w:p w14:paraId="158F2807" w14:textId="6F7B2C76" w:rsidR="00AA6239" w:rsidRPr="00AA6239" w:rsidRDefault="006E190E" w:rsidP="00CE2DBF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F55267">
        <w:rPr>
          <w:szCs w:val="28"/>
        </w:rPr>
        <w:t xml:space="preserve">That </w:t>
      </w:r>
      <w:r w:rsidR="004E5291">
        <w:rPr>
          <w:szCs w:val="28"/>
        </w:rPr>
        <w:t xml:space="preserve">result </w:t>
      </w:r>
      <w:r w:rsidR="00F55267">
        <w:rPr>
          <w:szCs w:val="28"/>
        </w:rPr>
        <w:t>also appears inconsistent with the standards for publishing an opinion in the first place.</w:t>
      </w:r>
      <w:r w:rsidR="006B06D1">
        <w:rPr>
          <w:szCs w:val="28"/>
        </w:rPr>
        <w:t xml:space="preserve"> </w:t>
      </w:r>
      <w:r w:rsidR="001A3644">
        <w:rPr>
          <w:szCs w:val="28"/>
        </w:rPr>
        <w:t>An</w:t>
      </w:r>
      <w:r w:rsidR="00CE2DBF">
        <w:rPr>
          <w:szCs w:val="28"/>
        </w:rPr>
        <w:t xml:space="preserve"> opinion is proper only “</w:t>
      </w:r>
      <w:r w:rsidR="00AA6239" w:rsidRPr="00AA6239">
        <w:rPr>
          <w:szCs w:val="28"/>
        </w:rPr>
        <w:t>when a majority of the judges acting determine that</w:t>
      </w:r>
      <w:r w:rsidR="00CE2DBF">
        <w:rPr>
          <w:szCs w:val="28"/>
        </w:rPr>
        <w:t>” the written decision</w:t>
      </w:r>
      <w:r w:rsidR="00AA6239" w:rsidRPr="00AA6239">
        <w:rPr>
          <w:szCs w:val="28"/>
        </w:rPr>
        <w:t>:</w:t>
      </w:r>
    </w:p>
    <w:p w14:paraId="2FFF58A7" w14:textId="1D5324E7" w:rsidR="00AA6239" w:rsidRPr="00F057E5" w:rsidRDefault="00AA6239" w:rsidP="001A3644">
      <w:pPr>
        <w:pStyle w:val="BodyText"/>
        <w:tabs>
          <w:tab w:val="left" w:pos="711"/>
        </w:tabs>
        <w:ind w:left="720" w:right="720"/>
        <w:jc w:val="both"/>
        <w:rPr>
          <w:szCs w:val="28"/>
        </w:rPr>
      </w:pPr>
      <w:r w:rsidRPr="00F057E5">
        <w:rPr>
          <w:szCs w:val="28"/>
        </w:rPr>
        <w:t>1.</w:t>
      </w:r>
      <w:r w:rsidR="00CE2DBF" w:rsidRPr="00F057E5">
        <w:rPr>
          <w:szCs w:val="28"/>
        </w:rPr>
        <w:tab/>
      </w:r>
      <w:r w:rsidRPr="00F057E5">
        <w:rPr>
          <w:szCs w:val="28"/>
        </w:rPr>
        <w:t>Establishes, alters, modifies or clarifies a rule of law, or</w:t>
      </w:r>
    </w:p>
    <w:p w14:paraId="71F8DCC6" w14:textId="46C8B2DF" w:rsidR="00AA6239" w:rsidRPr="00F057E5" w:rsidRDefault="00AA6239" w:rsidP="001A3644">
      <w:pPr>
        <w:pStyle w:val="BodyText"/>
        <w:tabs>
          <w:tab w:val="left" w:pos="711"/>
        </w:tabs>
        <w:ind w:left="720" w:right="720"/>
        <w:jc w:val="both"/>
        <w:rPr>
          <w:szCs w:val="28"/>
        </w:rPr>
      </w:pPr>
      <w:r w:rsidRPr="00F057E5">
        <w:rPr>
          <w:szCs w:val="28"/>
        </w:rPr>
        <w:t>2.</w:t>
      </w:r>
      <w:r w:rsidR="00CE2DBF" w:rsidRPr="00F057E5">
        <w:rPr>
          <w:szCs w:val="28"/>
        </w:rPr>
        <w:tab/>
      </w:r>
      <w:r w:rsidRPr="00F057E5">
        <w:rPr>
          <w:szCs w:val="28"/>
        </w:rPr>
        <w:t>Calls attention to a rule of law which appears to have been generally overlooked, or</w:t>
      </w:r>
    </w:p>
    <w:p w14:paraId="733A9D86" w14:textId="63ECEB91" w:rsidR="00AA6239" w:rsidRPr="00F057E5" w:rsidRDefault="00AA6239" w:rsidP="001A3644">
      <w:pPr>
        <w:pStyle w:val="BodyText"/>
        <w:tabs>
          <w:tab w:val="left" w:pos="711"/>
        </w:tabs>
        <w:ind w:left="720" w:right="720"/>
        <w:jc w:val="both"/>
        <w:rPr>
          <w:szCs w:val="28"/>
        </w:rPr>
      </w:pPr>
      <w:r w:rsidRPr="00F057E5">
        <w:rPr>
          <w:szCs w:val="28"/>
        </w:rPr>
        <w:t>3.</w:t>
      </w:r>
      <w:r w:rsidR="00CE2DBF" w:rsidRPr="00F057E5">
        <w:rPr>
          <w:szCs w:val="28"/>
        </w:rPr>
        <w:tab/>
      </w:r>
      <w:r w:rsidRPr="00F057E5">
        <w:rPr>
          <w:szCs w:val="28"/>
        </w:rPr>
        <w:t>Criticizes existing law, or</w:t>
      </w:r>
    </w:p>
    <w:p w14:paraId="34938762" w14:textId="77777777" w:rsidR="006B06D1" w:rsidRPr="00F057E5" w:rsidRDefault="00AA6239" w:rsidP="001A3644">
      <w:pPr>
        <w:pStyle w:val="BodyText"/>
        <w:tabs>
          <w:tab w:val="left" w:pos="711"/>
        </w:tabs>
        <w:ind w:left="720" w:right="720"/>
        <w:jc w:val="both"/>
        <w:rPr>
          <w:szCs w:val="28"/>
        </w:rPr>
      </w:pPr>
      <w:r w:rsidRPr="00F057E5">
        <w:rPr>
          <w:szCs w:val="28"/>
        </w:rPr>
        <w:t>4.</w:t>
      </w:r>
      <w:r w:rsidR="00CE2DBF" w:rsidRPr="00F057E5">
        <w:rPr>
          <w:szCs w:val="28"/>
        </w:rPr>
        <w:tab/>
      </w:r>
      <w:r w:rsidRPr="00F057E5">
        <w:rPr>
          <w:szCs w:val="28"/>
        </w:rPr>
        <w:t>Involves a legal or factual issue of unique interest or substantial public importance, or</w:t>
      </w:r>
      <w:r w:rsidR="006B06D1" w:rsidRPr="00F057E5">
        <w:rPr>
          <w:szCs w:val="28"/>
        </w:rPr>
        <w:t xml:space="preserve"> </w:t>
      </w:r>
    </w:p>
    <w:p w14:paraId="67F5BB8F" w14:textId="31D319C9" w:rsidR="008C229F" w:rsidRDefault="00AA6239" w:rsidP="001A3644">
      <w:pPr>
        <w:pStyle w:val="BodyText"/>
        <w:tabs>
          <w:tab w:val="left" w:pos="711"/>
        </w:tabs>
        <w:ind w:left="720" w:right="720"/>
        <w:jc w:val="both"/>
        <w:rPr>
          <w:szCs w:val="28"/>
        </w:rPr>
      </w:pPr>
      <w:r w:rsidRPr="00AA6239">
        <w:rPr>
          <w:szCs w:val="28"/>
        </w:rPr>
        <w:t xml:space="preserve">if the disposition of </w:t>
      </w:r>
      <w:r w:rsidR="004743B5">
        <w:rPr>
          <w:szCs w:val="28"/>
        </w:rPr>
        <w:t xml:space="preserve">[the] </w:t>
      </w:r>
      <w:r w:rsidRPr="00AA6239">
        <w:rPr>
          <w:szCs w:val="28"/>
        </w:rPr>
        <w:t xml:space="preserve">matter is accompanied by a separate concurring or dissenting expression, and the author of such separate expression desires that it be published, then the </w:t>
      </w:r>
      <w:r w:rsidR="008C229F">
        <w:rPr>
          <w:szCs w:val="28"/>
        </w:rPr>
        <w:t>d</w:t>
      </w:r>
      <w:r w:rsidRPr="00AA6239">
        <w:rPr>
          <w:szCs w:val="28"/>
        </w:rPr>
        <w:t>ecision shall be by opinion.</w:t>
      </w:r>
    </w:p>
    <w:p w14:paraId="5B0BFA9B" w14:textId="77777777" w:rsidR="008C229F" w:rsidRDefault="008C229F" w:rsidP="008C229F">
      <w:pPr>
        <w:pStyle w:val="BodyText"/>
        <w:tabs>
          <w:tab w:val="left" w:pos="711"/>
        </w:tabs>
        <w:ind w:left="1440" w:right="1354"/>
        <w:jc w:val="both"/>
        <w:rPr>
          <w:szCs w:val="28"/>
        </w:rPr>
      </w:pPr>
    </w:p>
    <w:p w14:paraId="7A823B7C" w14:textId="4C743389" w:rsidR="00AA6239" w:rsidRDefault="00CE2DBF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CE2DBF">
        <w:rPr>
          <w:szCs w:val="28"/>
        </w:rPr>
        <w:t>Ariz. R. Sup. Ct. 111(</w:t>
      </w:r>
      <w:r w:rsidR="00BE7B91">
        <w:rPr>
          <w:szCs w:val="28"/>
        </w:rPr>
        <w:t>b</w:t>
      </w:r>
      <w:r w:rsidRPr="00CE2DBF">
        <w:rPr>
          <w:szCs w:val="28"/>
        </w:rPr>
        <w:t>)</w:t>
      </w:r>
      <w:r w:rsidR="00787E0E">
        <w:rPr>
          <w:szCs w:val="28"/>
        </w:rPr>
        <w:t xml:space="preserve"> (2026)</w:t>
      </w:r>
      <w:r w:rsidRPr="00CE2DBF">
        <w:rPr>
          <w:szCs w:val="28"/>
        </w:rPr>
        <w:t>.</w:t>
      </w:r>
      <w:r w:rsidR="008C229F">
        <w:rPr>
          <w:szCs w:val="28"/>
        </w:rPr>
        <w:t xml:space="preserve"> Thus, </w:t>
      </w:r>
      <w:r w:rsidR="00473CF2">
        <w:rPr>
          <w:szCs w:val="28"/>
        </w:rPr>
        <w:t xml:space="preserve">most times, an opinion would </w:t>
      </w:r>
      <w:r w:rsidR="000E479D">
        <w:rPr>
          <w:szCs w:val="28"/>
        </w:rPr>
        <w:t>only issue where “no opinion adequately addresses the issue before the court</w:t>
      </w:r>
      <w:r w:rsidR="007A30C5">
        <w:rPr>
          <w:szCs w:val="28"/>
        </w:rPr>
        <w:t>.</w:t>
      </w:r>
      <w:r w:rsidR="000E479D">
        <w:rPr>
          <w:szCs w:val="28"/>
        </w:rPr>
        <w:t>”</w:t>
      </w:r>
      <w:r w:rsidR="00C611F8">
        <w:rPr>
          <w:szCs w:val="28"/>
        </w:rPr>
        <w:t xml:space="preserve"> Ariz. R. Sup. Ct. 111(c)(1)(C)</w:t>
      </w:r>
      <w:r w:rsidR="00DA52EC">
        <w:rPr>
          <w:szCs w:val="28"/>
        </w:rPr>
        <w:t xml:space="preserve"> (2026)</w:t>
      </w:r>
      <w:r w:rsidR="007A30C5">
        <w:rPr>
          <w:szCs w:val="28"/>
        </w:rPr>
        <w:t>. That</w:t>
      </w:r>
      <w:r w:rsidR="00C611F8">
        <w:rPr>
          <w:szCs w:val="28"/>
        </w:rPr>
        <w:t xml:space="preserve"> would seem to </w:t>
      </w:r>
      <w:r w:rsidR="00A71216">
        <w:rPr>
          <w:szCs w:val="28"/>
        </w:rPr>
        <w:t xml:space="preserve">support </w:t>
      </w:r>
      <w:r w:rsidR="00C611F8">
        <w:rPr>
          <w:szCs w:val="28"/>
        </w:rPr>
        <w:t xml:space="preserve">the ability to cite a memorandum decision </w:t>
      </w:r>
      <w:r w:rsidR="004A38EF">
        <w:rPr>
          <w:szCs w:val="28"/>
        </w:rPr>
        <w:t xml:space="preserve">that remains in place as a </w:t>
      </w:r>
      <w:r w:rsidR="00C611F8">
        <w:rPr>
          <w:szCs w:val="28"/>
        </w:rPr>
        <w:t xml:space="preserve">depublished opinion. </w:t>
      </w:r>
      <w:r w:rsidR="004A38EF">
        <w:rPr>
          <w:szCs w:val="28"/>
        </w:rPr>
        <w:t xml:space="preserve">Yet </w:t>
      </w:r>
      <w:r w:rsidR="00652CD4">
        <w:rPr>
          <w:szCs w:val="28"/>
        </w:rPr>
        <w:t xml:space="preserve">such a </w:t>
      </w:r>
      <w:r w:rsidR="004A38EF">
        <w:rPr>
          <w:szCs w:val="28"/>
        </w:rPr>
        <w:t xml:space="preserve">citation is prohibited by the </w:t>
      </w:r>
      <w:r w:rsidR="001A3644">
        <w:rPr>
          <w:szCs w:val="28"/>
        </w:rPr>
        <w:t>current</w:t>
      </w:r>
      <w:r w:rsidR="004A38EF">
        <w:rPr>
          <w:szCs w:val="28"/>
        </w:rPr>
        <w:t xml:space="preserve"> Rules</w:t>
      </w:r>
      <w:r w:rsidR="00652CD4">
        <w:rPr>
          <w:szCs w:val="28"/>
        </w:rPr>
        <w:t xml:space="preserve"> and would, in fact, subject the citing individual to sanctions</w:t>
      </w:r>
      <w:r w:rsidR="004A38EF">
        <w:rPr>
          <w:szCs w:val="28"/>
        </w:rPr>
        <w:t>.</w:t>
      </w:r>
    </w:p>
    <w:p w14:paraId="63504CDF" w14:textId="023EA205" w:rsidR="001A0C61" w:rsidRDefault="004A38EF" w:rsidP="006527AA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  <w:t xml:space="preserve">To cure this </w:t>
      </w:r>
      <w:r w:rsidR="00536CC8">
        <w:rPr>
          <w:szCs w:val="28"/>
        </w:rPr>
        <w:t>issue</w:t>
      </w:r>
      <w:r>
        <w:rPr>
          <w:szCs w:val="28"/>
        </w:rPr>
        <w:t>, along with enacting the amendment sought in the Petition</w:t>
      </w:r>
      <w:r w:rsidR="00315DD7">
        <w:rPr>
          <w:szCs w:val="28"/>
        </w:rPr>
        <w:t xml:space="preserve">—which </w:t>
      </w:r>
      <w:r w:rsidR="00FA525C">
        <w:rPr>
          <w:szCs w:val="28"/>
        </w:rPr>
        <w:t xml:space="preserve">would </w:t>
      </w:r>
      <w:r w:rsidR="00D92B8C">
        <w:rPr>
          <w:szCs w:val="28"/>
        </w:rPr>
        <w:t>expressly authorize the Arizona Supreme Court, in its discretion, to order</w:t>
      </w:r>
      <w:r w:rsidR="00536CC8">
        <w:rPr>
          <w:szCs w:val="28"/>
        </w:rPr>
        <w:t>, in a case where review is denied,</w:t>
      </w:r>
      <w:r w:rsidR="00D92B8C">
        <w:rPr>
          <w:szCs w:val="28"/>
        </w:rPr>
        <w:t xml:space="preserve"> that all or a portion of a memorandum decision not be cited for persuasive value</w:t>
      </w:r>
      <w:r w:rsidR="002E5C2E">
        <w:rPr>
          <w:szCs w:val="28"/>
        </w:rPr>
        <w:t xml:space="preserve">—the undersigned suggest two additional and related amendments:  (1) expressly stating that </w:t>
      </w:r>
      <w:r w:rsidR="00E14BDB">
        <w:rPr>
          <w:szCs w:val="28"/>
        </w:rPr>
        <w:t xml:space="preserve">a depublished opinion is a memorandum decision (with the Court having the authority to direct that all or a portion of that memorandum decision not be cited for persuasive value) and (2) </w:t>
      </w:r>
      <w:r w:rsidR="006527AA">
        <w:rPr>
          <w:szCs w:val="28"/>
        </w:rPr>
        <w:t xml:space="preserve">eliminating the directive that a depublished opinion (in whole or in part) </w:t>
      </w:r>
      <w:r w:rsidR="00536CC8">
        <w:rPr>
          <w:szCs w:val="28"/>
        </w:rPr>
        <w:t xml:space="preserve">automatically </w:t>
      </w:r>
      <w:r w:rsidR="006527AA">
        <w:rPr>
          <w:szCs w:val="28"/>
        </w:rPr>
        <w:t xml:space="preserve">cannot be cited for persuasive value. </w:t>
      </w:r>
      <w:r w:rsidR="009C1D7C">
        <w:rPr>
          <w:szCs w:val="28"/>
        </w:rPr>
        <w:t xml:space="preserve">The changes requested in this </w:t>
      </w:r>
      <w:r w:rsidR="00536CC8">
        <w:rPr>
          <w:szCs w:val="28"/>
        </w:rPr>
        <w:t>Response</w:t>
      </w:r>
      <w:r w:rsidR="009C1D7C">
        <w:rPr>
          <w:szCs w:val="28"/>
        </w:rPr>
        <w:t xml:space="preserve"> </w:t>
      </w:r>
      <w:r w:rsidR="00797470">
        <w:rPr>
          <w:szCs w:val="28"/>
        </w:rPr>
        <w:t xml:space="preserve">would </w:t>
      </w:r>
      <w:r w:rsidR="001F4A84">
        <w:rPr>
          <w:szCs w:val="28"/>
        </w:rPr>
        <w:t>(1) add a sentence to proposed Rule</w:t>
      </w:r>
      <w:r w:rsidR="0062473A">
        <w:rPr>
          <w:szCs w:val="28"/>
        </w:rPr>
        <w:t>s</w:t>
      </w:r>
      <w:r w:rsidR="001F4A84">
        <w:rPr>
          <w:szCs w:val="28"/>
        </w:rPr>
        <w:t xml:space="preserve"> 111(g)(1) </w:t>
      </w:r>
      <w:r w:rsidR="009C1D7C">
        <w:rPr>
          <w:szCs w:val="28"/>
        </w:rPr>
        <w:t xml:space="preserve">and </w:t>
      </w:r>
      <w:r w:rsidR="00611F7E">
        <w:rPr>
          <w:szCs w:val="28"/>
        </w:rPr>
        <w:t xml:space="preserve">111(g)(2) </w:t>
      </w:r>
      <w:r w:rsidR="001F4A84">
        <w:rPr>
          <w:szCs w:val="28"/>
        </w:rPr>
        <w:t>and (2) remove text from Rule 111(</w:t>
      </w:r>
      <w:r w:rsidR="00DA52EC">
        <w:rPr>
          <w:szCs w:val="28"/>
        </w:rPr>
        <w:t>c</w:t>
      </w:r>
      <w:r w:rsidR="001F4A84">
        <w:rPr>
          <w:szCs w:val="28"/>
        </w:rPr>
        <w:t>)(1)(</w:t>
      </w:r>
      <w:r w:rsidR="00DA52EC">
        <w:rPr>
          <w:szCs w:val="28"/>
        </w:rPr>
        <w:t>C</w:t>
      </w:r>
      <w:r w:rsidR="001F4A84">
        <w:rPr>
          <w:szCs w:val="28"/>
        </w:rPr>
        <w:t xml:space="preserve">). </w:t>
      </w:r>
    </w:p>
    <w:p w14:paraId="15D3D389" w14:textId="5022BFBE" w:rsidR="00797470" w:rsidRDefault="001A0C61" w:rsidP="006527AA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="005A0C4D">
        <w:rPr>
          <w:szCs w:val="28"/>
        </w:rPr>
        <w:t>T</w:t>
      </w:r>
      <w:r w:rsidR="001F4A84">
        <w:rPr>
          <w:szCs w:val="28"/>
        </w:rPr>
        <w:t>h</w:t>
      </w:r>
      <w:r w:rsidR="003D6404">
        <w:rPr>
          <w:szCs w:val="28"/>
        </w:rPr>
        <w:t>e</w:t>
      </w:r>
      <w:r w:rsidR="001F4A84">
        <w:rPr>
          <w:szCs w:val="28"/>
        </w:rPr>
        <w:t xml:space="preserve"> </w:t>
      </w:r>
      <w:r w:rsidR="003D6404">
        <w:rPr>
          <w:szCs w:val="28"/>
        </w:rPr>
        <w:t xml:space="preserve">changes requested in this Response </w:t>
      </w:r>
      <w:r w:rsidR="001F4A84">
        <w:rPr>
          <w:szCs w:val="28"/>
        </w:rPr>
        <w:t xml:space="preserve">would </w:t>
      </w:r>
      <w:r w:rsidR="003D6404">
        <w:rPr>
          <w:szCs w:val="28"/>
        </w:rPr>
        <w:t xml:space="preserve">add a sentence </w:t>
      </w:r>
      <w:r w:rsidR="001F4A84">
        <w:rPr>
          <w:szCs w:val="28"/>
        </w:rPr>
        <w:t xml:space="preserve">at the end of </w:t>
      </w:r>
      <w:r w:rsidR="005A0C4D">
        <w:rPr>
          <w:szCs w:val="28"/>
        </w:rPr>
        <w:t xml:space="preserve">proposed </w:t>
      </w:r>
      <w:r w:rsidR="001F4A84">
        <w:rPr>
          <w:szCs w:val="28"/>
        </w:rPr>
        <w:t>Rule</w:t>
      </w:r>
      <w:r w:rsidR="006E4381">
        <w:rPr>
          <w:szCs w:val="28"/>
        </w:rPr>
        <w:t>s</w:t>
      </w:r>
      <w:r w:rsidR="001F4A84">
        <w:rPr>
          <w:szCs w:val="28"/>
        </w:rPr>
        <w:t xml:space="preserve"> 111(g)(1) </w:t>
      </w:r>
      <w:r>
        <w:rPr>
          <w:szCs w:val="28"/>
        </w:rPr>
        <w:t xml:space="preserve">and 111(g)(2) </w:t>
      </w:r>
      <w:r w:rsidR="001F4A84">
        <w:rPr>
          <w:szCs w:val="28"/>
        </w:rPr>
        <w:t xml:space="preserve">in ALL CAPS </w:t>
      </w:r>
      <w:r w:rsidR="003D6404">
        <w:rPr>
          <w:szCs w:val="28"/>
        </w:rPr>
        <w:t xml:space="preserve">and highlighted </w:t>
      </w:r>
      <w:r w:rsidR="001F4A84">
        <w:rPr>
          <w:szCs w:val="28"/>
        </w:rPr>
        <w:t>as follows</w:t>
      </w:r>
      <w:r w:rsidR="00797470">
        <w:rPr>
          <w:szCs w:val="28"/>
        </w:rPr>
        <w:t>:</w:t>
      </w:r>
    </w:p>
    <w:p w14:paraId="17E78706" w14:textId="007698D1" w:rsidR="00A62F5B" w:rsidRPr="00A62F5B" w:rsidRDefault="00A62F5B" w:rsidP="00A62F5B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Pr="00A62F5B">
        <w:rPr>
          <w:szCs w:val="28"/>
        </w:rPr>
        <w:t>(g)</w:t>
      </w:r>
      <w:r w:rsidRPr="00A62F5B">
        <w:rPr>
          <w:szCs w:val="28"/>
        </w:rPr>
        <w:tab/>
      </w:r>
      <w:r w:rsidRPr="00A62F5B">
        <w:rPr>
          <w:b/>
          <w:bCs/>
          <w:strike/>
          <w:szCs w:val="28"/>
        </w:rPr>
        <w:t>Depublication</w:t>
      </w:r>
      <w:r w:rsidRPr="00A62F5B">
        <w:rPr>
          <w:b/>
          <w:bCs/>
          <w:szCs w:val="28"/>
        </w:rPr>
        <w:t xml:space="preserve">. </w:t>
      </w:r>
      <w:r w:rsidRPr="00A62F5B">
        <w:rPr>
          <w:b/>
          <w:bCs/>
          <w:szCs w:val="28"/>
          <w:u w:val="single"/>
        </w:rPr>
        <w:t>Court-Ordered Citation Limitations</w:t>
      </w:r>
      <w:r w:rsidRPr="00A62F5B">
        <w:rPr>
          <w:szCs w:val="28"/>
        </w:rPr>
        <w:t>.</w:t>
      </w:r>
    </w:p>
    <w:p w14:paraId="2833C1CE" w14:textId="5A1DF3E7" w:rsidR="00A62F5B" w:rsidRDefault="00A62F5B" w:rsidP="000E733D">
      <w:pPr>
        <w:pStyle w:val="BodyText"/>
        <w:tabs>
          <w:tab w:val="left" w:pos="711"/>
        </w:tabs>
        <w:ind w:left="1440"/>
        <w:jc w:val="both"/>
        <w:rPr>
          <w:szCs w:val="28"/>
        </w:rPr>
      </w:pPr>
      <w:r w:rsidRPr="00E23AE0">
        <w:rPr>
          <w:szCs w:val="28"/>
          <w:u w:val="single"/>
        </w:rPr>
        <w:t>(1)</w:t>
      </w:r>
      <w:r w:rsidRPr="00E23AE0">
        <w:rPr>
          <w:szCs w:val="28"/>
          <w:u w:val="single"/>
        </w:rPr>
        <w:tab/>
      </w:r>
      <w:r w:rsidRPr="00E23AE0">
        <w:rPr>
          <w:i/>
          <w:iCs/>
          <w:szCs w:val="28"/>
          <w:u w:val="single"/>
        </w:rPr>
        <w:t>Depublication</w:t>
      </w:r>
      <w:r w:rsidRPr="00A62F5B">
        <w:rPr>
          <w:szCs w:val="28"/>
        </w:rPr>
        <w:t>. Notwithstanding Rule 111(b), the Supreme Court may order that an opinion certified for publication by the Court of Appeals either not be published in its entirety or that a specified portion of the opinion not be published.</w:t>
      </w:r>
      <w:r w:rsidR="000E733D">
        <w:rPr>
          <w:szCs w:val="28"/>
        </w:rPr>
        <w:t xml:space="preserve"> </w:t>
      </w:r>
      <w:r w:rsidR="00DE21E8" w:rsidRPr="004C10F8">
        <w:rPr>
          <w:szCs w:val="28"/>
          <w:highlight w:val="yellow"/>
        </w:rPr>
        <w:t xml:space="preserve">AN OPINION OR SPECIFIC PORTION OF </w:t>
      </w:r>
      <w:r w:rsidR="004C10F8">
        <w:rPr>
          <w:szCs w:val="28"/>
          <w:highlight w:val="yellow"/>
        </w:rPr>
        <w:t xml:space="preserve">AN OPINION </w:t>
      </w:r>
      <w:r w:rsidR="00DE21E8" w:rsidRPr="004C10F8">
        <w:rPr>
          <w:szCs w:val="28"/>
          <w:highlight w:val="yellow"/>
        </w:rPr>
        <w:t xml:space="preserve">THAT IS DEPUBLISHED </w:t>
      </w:r>
      <w:r w:rsidR="004C10F8">
        <w:rPr>
          <w:szCs w:val="28"/>
          <w:highlight w:val="yellow"/>
        </w:rPr>
        <w:t xml:space="preserve">IS TREATED AS </w:t>
      </w:r>
      <w:r w:rsidR="004C10F8" w:rsidRPr="004C10F8">
        <w:rPr>
          <w:szCs w:val="28"/>
          <w:highlight w:val="yellow"/>
        </w:rPr>
        <w:t>A MEMORANDUM DECISION.</w:t>
      </w:r>
      <w:r w:rsidR="004C10F8">
        <w:rPr>
          <w:szCs w:val="28"/>
        </w:rPr>
        <w:t xml:space="preserve"> </w:t>
      </w:r>
    </w:p>
    <w:p w14:paraId="3045E438" w14:textId="77777777" w:rsidR="000E733D" w:rsidRPr="00A62F5B" w:rsidRDefault="000E733D" w:rsidP="000E733D">
      <w:pPr>
        <w:pStyle w:val="BodyText"/>
        <w:tabs>
          <w:tab w:val="left" w:pos="711"/>
        </w:tabs>
        <w:ind w:left="1440"/>
        <w:jc w:val="both"/>
        <w:rPr>
          <w:szCs w:val="28"/>
        </w:rPr>
      </w:pPr>
    </w:p>
    <w:p w14:paraId="5B18D8FE" w14:textId="3D36A065" w:rsidR="00797470" w:rsidRDefault="00E23AE0" w:rsidP="000E733D">
      <w:pPr>
        <w:pStyle w:val="BodyText"/>
        <w:tabs>
          <w:tab w:val="left" w:pos="711"/>
        </w:tabs>
        <w:ind w:left="1440" w:hanging="1440"/>
        <w:jc w:val="both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 w:rsidR="00A62F5B" w:rsidRPr="000E733D">
        <w:rPr>
          <w:szCs w:val="28"/>
          <w:u w:val="single"/>
        </w:rPr>
        <w:t>(2)</w:t>
      </w:r>
      <w:r w:rsidR="00A62F5B" w:rsidRPr="000E733D">
        <w:rPr>
          <w:szCs w:val="28"/>
          <w:u w:val="single"/>
        </w:rPr>
        <w:tab/>
      </w:r>
      <w:r w:rsidR="00A62F5B" w:rsidRPr="000E733D">
        <w:rPr>
          <w:i/>
          <w:iCs/>
          <w:szCs w:val="28"/>
          <w:u w:val="single"/>
        </w:rPr>
        <w:t>Memorandum Decisions</w:t>
      </w:r>
      <w:r w:rsidR="00A62F5B" w:rsidRPr="000E733D">
        <w:rPr>
          <w:szCs w:val="28"/>
          <w:u w:val="single"/>
        </w:rPr>
        <w:t>.  Notwithstanding Rule 111(c)(1)(C), if</w:t>
      </w:r>
      <w:r w:rsidRPr="000E733D">
        <w:rPr>
          <w:szCs w:val="28"/>
          <w:u w:val="single"/>
        </w:rPr>
        <w:t xml:space="preserve"> the Supreme Court denies a petition for review of a Court of Appeals memorandum decision, it may order that the decision, or portions of that decision, may not be cited for its persuasive value. </w:t>
      </w:r>
      <w:r w:rsidR="00562749" w:rsidRPr="00831244">
        <w:rPr>
          <w:szCs w:val="28"/>
          <w:highlight w:val="yellow"/>
        </w:rPr>
        <w:t>T</w:t>
      </w:r>
      <w:r w:rsidR="00970CA0" w:rsidRPr="00831244">
        <w:rPr>
          <w:szCs w:val="28"/>
          <w:highlight w:val="yellow"/>
        </w:rPr>
        <w:t xml:space="preserve">HE SUPREME COURT MAY ALSO ORDER THAT AN OPINION DEPUBLISHED UNDER RULE 111(G)(1), OR PORTIONS OF </w:t>
      </w:r>
      <w:r w:rsidR="00831244" w:rsidRPr="00831244">
        <w:rPr>
          <w:szCs w:val="28"/>
          <w:highlight w:val="yellow"/>
        </w:rPr>
        <w:t xml:space="preserve">A DEPUBLISHED </w:t>
      </w:r>
      <w:r w:rsidR="00970CA0" w:rsidRPr="00831244">
        <w:rPr>
          <w:szCs w:val="28"/>
          <w:highlight w:val="yellow"/>
        </w:rPr>
        <w:t xml:space="preserve">OPINION, MAY NOT BE CITED </w:t>
      </w:r>
      <w:r w:rsidR="00831244" w:rsidRPr="00831244">
        <w:rPr>
          <w:szCs w:val="28"/>
          <w:highlight w:val="yellow"/>
        </w:rPr>
        <w:t>FOR ITS PERSU</w:t>
      </w:r>
      <w:r w:rsidR="008F7BE8">
        <w:rPr>
          <w:szCs w:val="28"/>
          <w:highlight w:val="yellow"/>
        </w:rPr>
        <w:t>ASIVE</w:t>
      </w:r>
      <w:r w:rsidR="00831244" w:rsidRPr="00831244">
        <w:rPr>
          <w:szCs w:val="28"/>
          <w:highlight w:val="yellow"/>
        </w:rPr>
        <w:t xml:space="preserve"> VALUE</w:t>
      </w:r>
      <w:r w:rsidR="00562749" w:rsidRPr="00831244">
        <w:rPr>
          <w:szCs w:val="28"/>
          <w:highlight w:val="yellow"/>
        </w:rPr>
        <w:t>.</w:t>
      </w:r>
    </w:p>
    <w:p w14:paraId="388AFE28" w14:textId="77777777" w:rsidR="003D6404" w:rsidRPr="000E733D" w:rsidRDefault="003D6404" w:rsidP="000E733D">
      <w:pPr>
        <w:pStyle w:val="BodyText"/>
        <w:tabs>
          <w:tab w:val="left" w:pos="711"/>
        </w:tabs>
        <w:ind w:left="1440" w:hanging="1440"/>
        <w:jc w:val="both"/>
        <w:rPr>
          <w:szCs w:val="28"/>
          <w:u w:val="single"/>
        </w:rPr>
      </w:pPr>
    </w:p>
    <w:p w14:paraId="5F16049B" w14:textId="34A41259" w:rsidR="003D6404" w:rsidRDefault="003D6404" w:rsidP="006527AA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The changes requested in this Response would also </w:t>
      </w:r>
      <w:r w:rsidR="00652CD4">
        <w:rPr>
          <w:szCs w:val="28"/>
        </w:rPr>
        <w:t xml:space="preserve">modify </w:t>
      </w:r>
      <w:r>
        <w:rPr>
          <w:szCs w:val="28"/>
        </w:rPr>
        <w:t>Rule 111(</w:t>
      </w:r>
      <w:r w:rsidR="00CC23BE">
        <w:rPr>
          <w:szCs w:val="28"/>
        </w:rPr>
        <w:t>c</w:t>
      </w:r>
      <w:r w:rsidR="00AA3A5E">
        <w:rPr>
          <w:szCs w:val="28"/>
        </w:rPr>
        <w:t>)(1)(C)</w:t>
      </w:r>
      <w:r w:rsidR="00652CD4">
        <w:rPr>
          <w:szCs w:val="28"/>
        </w:rPr>
        <w:t xml:space="preserve"> </w:t>
      </w:r>
      <w:r w:rsidR="00BA4925">
        <w:rPr>
          <w:szCs w:val="28"/>
        </w:rPr>
        <w:t>as follows</w:t>
      </w:r>
      <w:r w:rsidR="00AA3A5E">
        <w:rPr>
          <w:szCs w:val="28"/>
        </w:rPr>
        <w:t>:</w:t>
      </w:r>
    </w:p>
    <w:p w14:paraId="05B7D2D3" w14:textId="77777777" w:rsidR="006E7171" w:rsidRPr="006E7171" w:rsidRDefault="00AA3A5E" w:rsidP="006E7171">
      <w:pPr>
        <w:pStyle w:val="BodyText"/>
        <w:tabs>
          <w:tab w:val="left" w:pos="711"/>
        </w:tabs>
        <w:spacing w:line="480" w:lineRule="auto"/>
        <w:jc w:val="both"/>
        <w:rPr>
          <w:b/>
          <w:bCs/>
          <w:szCs w:val="28"/>
        </w:rPr>
      </w:pPr>
      <w:r>
        <w:rPr>
          <w:szCs w:val="28"/>
        </w:rPr>
        <w:tab/>
      </w:r>
      <w:r w:rsidR="006E7171" w:rsidRPr="006E7171">
        <w:rPr>
          <w:b/>
          <w:bCs/>
          <w:szCs w:val="28"/>
        </w:rPr>
        <w:t>(c) Dispositions as Precedent.</w:t>
      </w:r>
    </w:p>
    <w:p w14:paraId="781F9109" w14:textId="50A26452" w:rsidR="006E7171" w:rsidRDefault="006E7171" w:rsidP="006E7171">
      <w:pPr>
        <w:pStyle w:val="BodyText"/>
        <w:tabs>
          <w:tab w:val="left" w:pos="711"/>
        </w:tabs>
        <w:ind w:left="1440"/>
        <w:jc w:val="both"/>
        <w:rPr>
          <w:szCs w:val="28"/>
        </w:rPr>
      </w:pPr>
      <w:r w:rsidRPr="006E7171">
        <w:rPr>
          <w:szCs w:val="28"/>
        </w:rPr>
        <w:t>(1) Memorandum decisions of Arizona state courts are not precedential and</w:t>
      </w:r>
      <w:r w:rsidR="009319AA">
        <w:rPr>
          <w:szCs w:val="28"/>
        </w:rPr>
        <w:t xml:space="preserve">, </w:t>
      </w:r>
      <w:r w:rsidR="009319AA" w:rsidRPr="00F96F0F">
        <w:rPr>
          <w:szCs w:val="28"/>
          <w:highlight w:val="yellow"/>
        </w:rPr>
        <w:t>UNLESS OTHERWISE ORDERED BY THE SUPREME COURT</w:t>
      </w:r>
      <w:r w:rsidR="0045656C" w:rsidRPr="00F96F0F">
        <w:rPr>
          <w:szCs w:val="28"/>
          <w:highlight w:val="yellow"/>
        </w:rPr>
        <w:t xml:space="preserve"> UNDER RULE 111(G)</w:t>
      </w:r>
      <w:r w:rsidR="009319AA" w:rsidRPr="00F96F0F">
        <w:rPr>
          <w:szCs w:val="28"/>
          <w:highlight w:val="yellow"/>
        </w:rPr>
        <w:t>,</w:t>
      </w:r>
      <w:r w:rsidRPr="006E7171">
        <w:rPr>
          <w:szCs w:val="28"/>
        </w:rPr>
        <w:t xml:space="preserve"> such a decision may be cited only:</w:t>
      </w:r>
    </w:p>
    <w:p w14:paraId="0CA8FEFE" w14:textId="77777777" w:rsidR="00487B25" w:rsidRPr="006E7171" w:rsidRDefault="00487B25" w:rsidP="006E7171">
      <w:pPr>
        <w:pStyle w:val="BodyText"/>
        <w:tabs>
          <w:tab w:val="left" w:pos="711"/>
        </w:tabs>
        <w:ind w:left="1440"/>
        <w:jc w:val="both"/>
        <w:rPr>
          <w:szCs w:val="28"/>
        </w:rPr>
      </w:pPr>
    </w:p>
    <w:p w14:paraId="6E0C02CC" w14:textId="77777777" w:rsidR="006E7171" w:rsidRPr="006E7171" w:rsidRDefault="006E7171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(A) to establish claim preclusion, issue preclusion, or law of the case;</w:t>
      </w:r>
    </w:p>
    <w:p w14:paraId="3B09E4B3" w14:textId="77777777" w:rsidR="00487B25" w:rsidRDefault="00487B25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5DD4481D" w14:textId="4A4B04F4" w:rsidR="006E7171" w:rsidRPr="006E7171" w:rsidRDefault="006E7171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(B) to assist the appellate court in deciding whether to issue a published opinion, grant a motion for reconsideration, or grant a petition for review; or</w:t>
      </w:r>
    </w:p>
    <w:p w14:paraId="1F6E5F60" w14:textId="77777777" w:rsidR="00487B25" w:rsidRDefault="00487B25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2A8AFCC7" w14:textId="77777777" w:rsidR="00652CD4" w:rsidRDefault="006E7171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(C) for persuasive value, but only if it was issued on or after January 1, 2015</w:t>
      </w:r>
      <w:r w:rsidRPr="00652CD4">
        <w:rPr>
          <w:strike/>
          <w:szCs w:val="28"/>
        </w:rPr>
        <w:t>;</w:t>
      </w:r>
      <w:r w:rsidRPr="006E7171">
        <w:rPr>
          <w:szCs w:val="28"/>
        </w:rPr>
        <w:t xml:space="preserve"> </w:t>
      </w:r>
      <w:r w:rsidR="00652CD4" w:rsidRPr="00652CD4">
        <w:rPr>
          <w:szCs w:val="28"/>
          <w:highlight w:val="yellow"/>
        </w:rPr>
        <w:t>AND</w:t>
      </w:r>
      <w:r w:rsidR="00652CD4">
        <w:rPr>
          <w:szCs w:val="28"/>
        </w:rPr>
        <w:t xml:space="preserve"> </w:t>
      </w:r>
      <w:r w:rsidRPr="006E7171">
        <w:rPr>
          <w:szCs w:val="28"/>
        </w:rPr>
        <w:t>no opinion adequately addresses the issue before the court</w:t>
      </w:r>
      <w:r w:rsidRPr="00652CD4">
        <w:rPr>
          <w:strike/>
          <w:szCs w:val="28"/>
        </w:rPr>
        <w:t>; and the citation is not to a depublished opinion or a depublished portion of an opinion</w:t>
      </w:r>
      <w:r w:rsidRPr="006E7171">
        <w:rPr>
          <w:szCs w:val="28"/>
        </w:rPr>
        <w:t>.</w:t>
      </w:r>
      <w:r w:rsidR="006527AA">
        <w:rPr>
          <w:szCs w:val="28"/>
        </w:rPr>
        <w:t xml:space="preserve"> </w:t>
      </w:r>
    </w:p>
    <w:p w14:paraId="1AC31D9D" w14:textId="77777777" w:rsidR="005A0C4D" w:rsidRDefault="005A0C4D" w:rsidP="00487B25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4BE565C8" w14:textId="77777777" w:rsidR="00C41CA7" w:rsidRPr="001F3F71" w:rsidRDefault="00C41CA7" w:rsidP="00716C66">
      <w:pPr>
        <w:spacing w:line="480" w:lineRule="auto"/>
        <w:jc w:val="center"/>
        <w:rPr>
          <w:b/>
          <w:sz w:val="28"/>
          <w:szCs w:val="28"/>
        </w:rPr>
      </w:pPr>
      <w:r w:rsidRPr="001F3F71">
        <w:rPr>
          <w:b/>
          <w:sz w:val="28"/>
          <w:szCs w:val="28"/>
        </w:rPr>
        <w:t>CONCLUSION</w:t>
      </w:r>
    </w:p>
    <w:p w14:paraId="54CFA3B2" w14:textId="648A2E89" w:rsidR="00652CD4" w:rsidRDefault="00652CD4" w:rsidP="00716C66">
      <w:pPr>
        <w:spacing w:line="48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undersigned support the change requested in the Petition and, given that requested change, </w:t>
      </w:r>
      <w:r w:rsidR="0078302E">
        <w:rPr>
          <w:bCs/>
          <w:sz w:val="28"/>
          <w:szCs w:val="28"/>
        </w:rPr>
        <w:t xml:space="preserve">respectfully </w:t>
      </w:r>
      <w:r w:rsidRPr="00652CD4">
        <w:rPr>
          <w:bCs/>
          <w:sz w:val="28"/>
          <w:szCs w:val="28"/>
        </w:rPr>
        <w:t xml:space="preserve">request further changes to Rule 111 to fix </w:t>
      </w:r>
      <w:r>
        <w:rPr>
          <w:bCs/>
          <w:sz w:val="28"/>
          <w:szCs w:val="28"/>
        </w:rPr>
        <w:t xml:space="preserve">this </w:t>
      </w:r>
      <w:r w:rsidRPr="00652CD4">
        <w:rPr>
          <w:bCs/>
          <w:sz w:val="28"/>
          <w:szCs w:val="28"/>
        </w:rPr>
        <w:t>related anomaly created by the current Rules</w:t>
      </w:r>
      <w:r>
        <w:rPr>
          <w:bCs/>
          <w:sz w:val="28"/>
          <w:szCs w:val="28"/>
        </w:rPr>
        <w:t xml:space="preserve"> as set forth above</w:t>
      </w:r>
      <w:r w:rsidRPr="00652CD4">
        <w:rPr>
          <w:bCs/>
          <w:sz w:val="28"/>
          <w:szCs w:val="28"/>
        </w:rPr>
        <w:t xml:space="preserve">. </w:t>
      </w:r>
      <w:r w:rsidR="004E6E10">
        <w:rPr>
          <w:bCs/>
          <w:sz w:val="28"/>
          <w:szCs w:val="28"/>
        </w:rPr>
        <w:t>Collectively, t</w:t>
      </w:r>
      <w:r>
        <w:rPr>
          <w:bCs/>
          <w:sz w:val="28"/>
          <w:szCs w:val="28"/>
        </w:rPr>
        <w:t xml:space="preserve">hese requested changes would (1) treat </w:t>
      </w:r>
      <w:r w:rsidR="004E6E10">
        <w:rPr>
          <w:bCs/>
          <w:sz w:val="28"/>
          <w:szCs w:val="28"/>
        </w:rPr>
        <w:t xml:space="preserve">a depublished opinion like a memorandum decision (which was the case before the 2015 changes allowing the citation of memorandum decisions for persuasive value) and (2) </w:t>
      </w:r>
      <w:r w:rsidR="004E6E10" w:rsidRPr="004E6E10">
        <w:rPr>
          <w:bCs/>
          <w:sz w:val="28"/>
          <w:szCs w:val="28"/>
        </w:rPr>
        <w:t xml:space="preserve">expressly authorize the Arizona Supreme Court, in its discretion, to affirmatively order that all or a portion of a memorandum decision </w:t>
      </w:r>
      <w:r w:rsidR="0078302E">
        <w:rPr>
          <w:bCs/>
          <w:sz w:val="28"/>
          <w:szCs w:val="28"/>
        </w:rPr>
        <w:t xml:space="preserve">(including a depublished opinion) </w:t>
      </w:r>
      <w:r w:rsidR="004E6E10" w:rsidRPr="004E6E10">
        <w:rPr>
          <w:bCs/>
          <w:sz w:val="28"/>
          <w:szCs w:val="28"/>
        </w:rPr>
        <w:t>not be cited for persuasive value.</w:t>
      </w:r>
    </w:p>
    <w:p w14:paraId="13EAD0F2" w14:textId="29DCD014" w:rsidR="00C41CA7" w:rsidRPr="001F3F71" w:rsidRDefault="00C41CA7" w:rsidP="00D65062">
      <w:pPr>
        <w:ind w:firstLine="720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DATED this </w:t>
      </w:r>
      <w:r w:rsidR="003010E8">
        <w:rPr>
          <w:sz w:val="28"/>
          <w:szCs w:val="28"/>
        </w:rPr>
        <w:t>28th</w:t>
      </w:r>
      <w:r w:rsidR="00FF2B36" w:rsidRPr="001F3F71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 xml:space="preserve">day of </w:t>
      </w:r>
      <w:r w:rsidR="0078302E">
        <w:rPr>
          <w:sz w:val="28"/>
          <w:szCs w:val="28"/>
        </w:rPr>
        <w:t>April</w:t>
      </w:r>
      <w:r w:rsidR="00FA3A0D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>20</w:t>
      </w:r>
      <w:r w:rsidR="00FA3A0D">
        <w:rPr>
          <w:sz w:val="28"/>
          <w:szCs w:val="28"/>
        </w:rPr>
        <w:t>2</w:t>
      </w:r>
      <w:r w:rsidR="0078302E">
        <w:rPr>
          <w:sz w:val="28"/>
          <w:szCs w:val="28"/>
        </w:rPr>
        <w:t>6</w:t>
      </w:r>
      <w:r w:rsidRPr="001F3F71">
        <w:rPr>
          <w:sz w:val="28"/>
          <w:szCs w:val="28"/>
        </w:rPr>
        <w:t>.</w:t>
      </w:r>
    </w:p>
    <w:p w14:paraId="3983313A" w14:textId="77777777" w:rsidR="0078302E" w:rsidRDefault="0078302E" w:rsidP="00FF2B36">
      <w:pPr>
        <w:jc w:val="both"/>
        <w:rPr>
          <w:sz w:val="28"/>
          <w:szCs w:val="28"/>
        </w:rPr>
      </w:pPr>
    </w:p>
    <w:p w14:paraId="17F4002C" w14:textId="743BFCFC" w:rsidR="0041229A" w:rsidRPr="00915297" w:rsidRDefault="0041229A" w:rsidP="00FF2B36">
      <w:pPr>
        <w:jc w:val="both"/>
        <w:rPr>
          <w:sz w:val="28"/>
          <w:szCs w:val="28"/>
          <w:u w:val="single"/>
        </w:rPr>
      </w:pPr>
      <w:r w:rsidRPr="001F3F71">
        <w:rPr>
          <w:sz w:val="28"/>
          <w:szCs w:val="28"/>
        </w:rPr>
        <w:t xml:space="preserve">               </w:t>
      </w:r>
      <w:r w:rsidR="001F3F71">
        <w:rPr>
          <w:sz w:val="28"/>
          <w:szCs w:val="28"/>
        </w:rPr>
        <w:t xml:space="preserve">                         </w:t>
      </w:r>
      <w:r w:rsidR="00915297">
        <w:rPr>
          <w:sz w:val="28"/>
          <w:szCs w:val="28"/>
        </w:rPr>
        <w:t xml:space="preserve">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</w:t>
      </w:r>
      <w:r w:rsidR="00915297" w:rsidRPr="00915297">
        <w:rPr>
          <w:sz w:val="28"/>
          <w:szCs w:val="28"/>
          <w:u w:val="single"/>
        </w:rPr>
        <w:t>_</w:t>
      </w:r>
    </w:p>
    <w:p w14:paraId="06B7549B" w14:textId="77777777" w:rsidR="0091039C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>Samuel A. Thumma</w:t>
      </w:r>
    </w:p>
    <w:p w14:paraId="2A9BE978" w14:textId="44F74967" w:rsidR="006A2803" w:rsidRDefault="006A2803" w:rsidP="006A2803">
      <w:pPr>
        <w:jc w:val="both"/>
        <w:rPr>
          <w:sz w:val="28"/>
          <w:szCs w:val="28"/>
        </w:rPr>
      </w:pPr>
    </w:p>
    <w:p w14:paraId="7A9E81B7" w14:textId="01C6BE3A" w:rsidR="006A2803" w:rsidRPr="00915297" w:rsidRDefault="00722300" w:rsidP="006A280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  <w:r w:rsidR="001F3F71">
        <w:rPr>
          <w:sz w:val="28"/>
          <w:szCs w:val="28"/>
        </w:rPr>
        <w:t xml:space="preserve">              </w:t>
      </w:r>
      <w:r w:rsidR="006909E2" w:rsidRPr="006909E2">
        <w:rPr>
          <w:sz w:val="28"/>
          <w:szCs w:val="28"/>
        </w:rPr>
        <w:t xml:space="preserve"> </w:t>
      </w:r>
      <w:r w:rsidR="006A2803">
        <w:rPr>
          <w:sz w:val="28"/>
          <w:szCs w:val="28"/>
        </w:rPr>
        <w:tab/>
      </w:r>
      <w:r w:rsidR="006A2803"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="006A2803" w:rsidRPr="00915297">
        <w:rPr>
          <w:sz w:val="28"/>
          <w:szCs w:val="28"/>
          <w:u w:val="single"/>
        </w:rPr>
        <w:t>_________________________</w:t>
      </w:r>
    </w:p>
    <w:p w14:paraId="6E42EDC8" w14:textId="3272D693" w:rsidR="006909E2" w:rsidRPr="006909E2" w:rsidRDefault="006909E2" w:rsidP="006A2803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Cynthia J. Bailey</w:t>
      </w:r>
    </w:p>
    <w:p w14:paraId="11CAF2A0" w14:textId="00B1474C" w:rsidR="006909E2" w:rsidRPr="006909E2" w:rsidRDefault="006909E2" w:rsidP="006909E2">
      <w:pPr>
        <w:jc w:val="both"/>
        <w:rPr>
          <w:sz w:val="28"/>
          <w:szCs w:val="28"/>
        </w:rPr>
      </w:pPr>
    </w:p>
    <w:p w14:paraId="31CA96B4" w14:textId="05FB67FC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6909E2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</w:t>
      </w:r>
      <w:r w:rsidR="00915297">
        <w:rPr>
          <w:sz w:val="28"/>
          <w:szCs w:val="28"/>
          <w:u w:val="single"/>
        </w:rPr>
        <w:t>_</w:t>
      </w:r>
      <w:r w:rsidRPr="00915297">
        <w:rPr>
          <w:sz w:val="28"/>
          <w:szCs w:val="28"/>
          <w:u w:val="single"/>
        </w:rPr>
        <w:t>_</w:t>
      </w:r>
    </w:p>
    <w:p w14:paraId="4404422B" w14:textId="3BFA6FB6" w:rsidR="006909E2" w:rsidRPr="006909E2" w:rsidRDefault="006909E2" w:rsidP="006909E2">
      <w:pPr>
        <w:jc w:val="both"/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Andrew J. Becke</w:t>
      </w:r>
    </w:p>
    <w:p w14:paraId="741B202F" w14:textId="2C08D1AD" w:rsidR="006909E2" w:rsidRPr="006909E2" w:rsidRDefault="006909E2" w:rsidP="006909E2">
      <w:pPr>
        <w:jc w:val="both"/>
        <w:rPr>
          <w:sz w:val="28"/>
          <w:szCs w:val="28"/>
        </w:rPr>
      </w:pPr>
    </w:p>
    <w:p w14:paraId="4FAEADE6" w14:textId="57A7A2AF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6909E2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7B523016" w14:textId="0FBC40CB" w:rsidR="006909E2" w:rsidRPr="006909E2" w:rsidRDefault="006909E2" w:rsidP="006909E2">
      <w:pPr>
        <w:jc w:val="both"/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Michael J. Brown</w:t>
      </w:r>
    </w:p>
    <w:p w14:paraId="5F4D5E1C" w14:textId="6960B3FC" w:rsidR="006909E2" w:rsidRPr="006909E2" w:rsidRDefault="006909E2" w:rsidP="006909E2">
      <w:pPr>
        <w:jc w:val="both"/>
        <w:rPr>
          <w:sz w:val="28"/>
          <w:szCs w:val="28"/>
        </w:rPr>
      </w:pPr>
    </w:p>
    <w:p w14:paraId="362042CC" w14:textId="3BA5E729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6909E2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0EAF51CC" w14:textId="4D000057" w:rsidR="006909E2" w:rsidRPr="006909E2" w:rsidRDefault="006909E2" w:rsidP="006909E2">
      <w:pPr>
        <w:jc w:val="both"/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Michael S. Catlett</w:t>
      </w:r>
    </w:p>
    <w:p w14:paraId="1A91869A" w14:textId="3DE5C398" w:rsidR="006909E2" w:rsidRPr="006909E2" w:rsidRDefault="006909E2" w:rsidP="006909E2">
      <w:pPr>
        <w:jc w:val="both"/>
        <w:rPr>
          <w:sz w:val="28"/>
          <w:szCs w:val="28"/>
        </w:rPr>
      </w:pPr>
    </w:p>
    <w:p w14:paraId="5BE57F4F" w14:textId="455C6E68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6909E2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0E51F0D7" w14:textId="55199171" w:rsidR="006909E2" w:rsidRPr="006909E2" w:rsidRDefault="006909E2" w:rsidP="006909E2">
      <w:pPr>
        <w:jc w:val="both"/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Kent E. Cattani</w:t>
      </w:r>
    </w:p>
    <w:p w14:paraId="7B7C41E1" w14:textId="328D75BC" w:rsidR="006909E2" w:rsidRPr="006909E2" w:rsidRDefault="006909E2" w:rsidP="006909E2">
      <w:pPr>
        <w:jc w:val="both"/>
        <w:rPr>
          <w:sz w:val="28"/>
          <w:szCs w:val="28"/>
        </w:rPr>
      </w:pPr>
    </w:p>
    <w:p w14:paraId="68F83C36" w14:textId="72C3CA88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6909E2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162ADDFA" w14:textId="7F77921F" w:rsidR="006909E2" w:rsidRPr="006909E2" w:rsidRDefault="006909E2" w:rsidP="006909E2">
      <w:pPr>
        <w:jc w:val="both"/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Brian Y. Furuya</w:t>
      </w:r>
    </w:p>
    <w:p w14:paraId="579F10D9" w14:textId="77EA8D21" w:rsidR="0082390E" w:rsidRPr="0082390E" w:rsidRDefault="0082390E" w:rsidP="006909E2">
      <w:pPr>
        <w:jc w:val="both"/>
        <w:rPr>
          <w:sz w:val="28"/>
          <w:szCs w:val="28"/>
        </w:rPr>
      </w:pPr>
    </w:p>
    <w:p w14:paraId="0C563B43" w14:textId="4921426F" w:rsidR="0082390E" w:rsidRPr="00915297" w:rsidRDefault="0082390E" w:rsidP="0082390E">
      <w:pPr>
        <w:jc w:val="both"/>
        <w:rPr>
          <w:sz w:val="28"/>
          <w:szCs w:val="28"/>
          <w:u w:val="single"/>
        </w:rPr>
      </w:pPr>
      <w:r w:rsidRPr="0082390E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632C386D" w14:textId="6D0276E0" w:rsidR="0082390E" w:rsidRPr="0082390E" w:rsidRDefault="0082390E" w:rsidP="0082390E">
      <w:pPr>
        <w:jc w:val="both"/>
        <w:rPr>
          <w:sz w:val="28"/>
          <w:szCs w:val="28"/>
        </w:rPr>
      </w:pPr>
      <w:r w:rsidRPr="0082390E">
        <w:rPr>
          <w:sz w:val="28"/>
          <w:szCs w:val="28"/>
        </w:rPr>
        <w:t xml:space="preserve">                                         </w:t>
      </w:r>
      <w:r w:rsidR="006909E2">
        <w:rPr>
          <w:sz w:val="28"/>
          <w:szCs w:val="28"/>
        </w:rPr>
        <w:t>D. Andrew Gaona</w:t>
      </w:r>
    </w:p>
    <w:p w14:paraId="4DA89494" w14:textId="7C35110A" w:rsidR="0082390E" w:rsidRPr="0082390E" w:rsidRDefault="0082390E" w:rsidP="0082390E">
      <w:pPr>
        <w:jc w:val="both"/>
        <w:rPr>
          <w:sz w:val="28"/>
          <w:szCs w:val="28"/>
        </w:rPr>
      </w:pPr>
    </w:p>
    <w:p w14:paraId="5758C981" w14:textId="0E27427E" w:rsidR="0082390E" w:rsidRPr="00915297" w:rsidRDefault="0082390E" w:rsidP="0082390E">
      <w:pPr>
        <w:jc w:val="both"/>
        <w:rPr>
          <w:sz w:val="28"/>
          <w:szCs w:val="28"/>
          <w:u w:val="single"/>
        </w:rPr>
      </w:pPr>
      <w:r w:rsidRPr="0082390E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04374E9B" w14:textId="1BCE9DFC" w:rsidR="0082390E" w:rsidRPr="0082390E" w:rsidRDefault="0082390E" w:rsidP="0082390E">
      <w:pPr>
        <w:jc w:val="both"/>
        <w:rPr>
          <w:sz w:val="28"/>
          <w:szCs w:val="28"/>
        </w:rPr>
      </w:pPr>
      <w:r w:rsidRPr="0082390E">
        <w:rPr>
          <w:sz w:val="28"/>
          <w:szCs w:val="28"/>
        </w:rPr>
        <w:t xml:space="preserve">                                         </w:t>
      </w:r>
      <w:r w:rsidR="006909E2">
        <w:rPr>
          <w:sz w:val="28"/>
          <w:szCs w:val="28"/>
        </w:rPr>
        <w:t>Anni Hill Foster</w:t>
      </w:r>
    </w:p>
    <w:p w14:paraId="20B28959" w14:textId="1ADB95C3" w:rsidR="0082390E" w:rsidRPr="0082390E" w:rsidRDefault="0082390E" w:rsidP="0082390E">
      <w:pPr>
        <w:jc w:val="both"/>
        <w:rPr>
          <w:sz w:val="28"/>
          <w:szCs w:val="28"/>
        </w:rPr>
      </w:pPr>
    </w:p>
    <w:p w14:paraId="7C4BCE5B" w14:textId="7A6B90BD" w:rsidR="0082390E" w:rsidRPr="00915297" w:rsidRDefault="0082390E" w:rsidP="0082390E">
      <w:pPr>
        <w:jc w:val="both"/>
        <w:rPr>
          <w:sz w:val="28"/>
          <w:szCs w:val="28"/>
          <w:u w:val="single"/>
        </w:rPr>
      </w:pPr>
      <w:r w:rsidRPr="0082390E">
        <w:rPr>
          <w:sz w:val="28"/>
          <w:szCs w:val="28"/>
        </w:rPr>
        <w:t xml:space="preserve">                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03386DA7" w14:textId="69DC7880" w:rsidR="0082390E" w:rsidRPr="0082390E" w:rsidRDefault="0082390E" w:rsidP="0082390E">
      <w:pPr>
        <w:jc w:val="both"/>
        <w:rPr>
          <w:sz w:val="28"/>
          <w:szCs w:val="28"/>
        </w:rPr>
      </w:pPr>
      <w:r w:rsidRPr="0082390E">
        <w:rPr>
          <w:sz w:val="28"/>
          <w:szCs w:val="28"/>
        </w:rPr>
        <w:t xml:space="preserve">                                         </w:t>
      </w:r>
      <w:r w:rsidR="006909E2">
        <w:rPr>
          <w:sz w:val="28"/>
          <w:szCs w:val="28"/>
        </w:rPr>
        <w:t>Randall M. Howe</w:t>
      </w:r>
    </w:p>
    <w:p w14:paraId="105F8291" w14:textId="750D0752" w:rsidR="0082390E" w:rsidRDefault="0082390E" w:rsidP="0082390E">
      <w:pPr>
        <w:jc w:val="both"/>
        <w:rPr>
          <w:sz w:val="28"/>
          <w:szCs w:val="28"/>
        </w:rPr>
      </w:pPr>
    </w:p>
    <w:p w14:paraId="3B209D96" w14:textId="14C19735" w:rsidR="0082390E" w:rsidRPr="00915297" w:rsidRDefault="0082390E" w:rsidP="0082390E">
      <w:pPr>
        <w:jc w:val="both"/>
        <w:rPr>
          <w:sz w:val="28"/>
          <w:szCs w:val="28"/>
          <w:u w:val="single"/>
        </w:rPr>
      </w:pPr>
      <w:r w:rsidRPr="001F3F7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 xml:space="preserve">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6D4A6413" w14:textId="4D8561AC" w:rsidR="0082390E" w:rsidRDefault="0082390E" w:rsidP="0082390E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="006909E2">
        <w:rPr>
          <w:sz w:val="28"/>
          <w:szCs w:val="28"/>
        </w:rPr>
        <w:t>Andrew M. Jacobs</w:t>
      </w:r>
    </w:p>
    <w:p w14:paraId="10B3CCB2" w14:textId="65D97F51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 w:rsidRPr="001F3F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5F8CA111" w14:textId="5A887DA8" w:rsidR="006909E2" w:rsidRDefault="006909E2" w:rsidP="006909E2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Paul J. McMurdie (retired)</w:t>
      </w:r>
    </w:p>
    <w:p w14:paraId="3CA58988" w14:textId="77777777" w:rsidR="006909E2" w:rsidRDefault="006909E2" w:rsidP="006909E2">
      <w:pPr>
        <w:tabs>
          <w:tab w:val="left" w:pos="2940"/>
        </w:tabs>
        <w:rPr>
          <w:sz w:val="28"/>
          <w:szCs w:val="28"/>
        </w:rPr>
      </w:pPr>
    </w:p>
    <w:p w14:paraId="3517F8B0" w14:textId="761AED09" w:rsidR="006909E2" w:rsidRPr="00915297" w:rsidRDefault="006909E2" w:rsidP="006909E2">
      <w:pPr>
        <w:tabs>
          <w:tab w:val="left" w:pos="29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3377DAF1" w14:textId="7C789A40" w:rsidR="006909E2" w:rsidRDefault="006909E2" w:rsidP="006909E2">
      <w:pPr>
        <w:tabs>
          <w:tab w:val="left" w:pos="2940"/>
        </w:tabs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Angela K. Paton</w:t>
      </w:r>
    </w:p>
    <w:p w14:paraId="4862B81E" w14:textId="77777777" w:rsidR="006909E2" w:rsidRDefault="006909E2" w:rsidP="0082390E">
      <w:pPr>
        <w:tabs>
          <w:tab w:val="left" w:pos="2970"/>
        </w:tabs>
        <w:rPr>
          <w:sz w:val="28"/>
          <w:szCs w:val="28"/>
        </w:rPr>
      </w:pPr>
    </w:p>
    <w:p w14:paraId="05C80107" w14:textId="7B6CAE88" w:rsidR="006909E2" w:rsidRPr="00915297" w:rsidRDefault="006909E2" w:rsidP="006909E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64DC22F0" w14:textId="400F4489" w:rsidR="006909E2" w:rsidRDefault="006909E2" w:rsidP="006909E2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Jennifer M. Perkins</w:t>
      </w:r>
    </w:p>
    <w:p w14:paraId="01D5405D" w14:textId="6C353045" w:rsidR="006909E2" w:rsidRDefault="006909E2" w:rsidP="006909E2">
      <w:pPr>
        <w:tabs>
          <w:tab w:val="left" w:pos="2970"/>
        </w:tabs>
        <w:rPr>
          <w:sz w:val="28"/>
          <w:szCs w:val="28"/>
        </w:rPr>
      </w:pPr>
    </w:p>
    <w:p w14:paraId="2D01E574" w14:textId="6097CE61" w:rsidR="006909E2" w:rsidRPr="00915297" w:rsidRDefault="006909E2" w:rsidP="006A280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3CCC5B86" w14:textId="21CB1660" w:rsidR="006909E2" w:rsidRDefault="006909E2" w:rsidP="006909E2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Sean E. Brearcliffe</w:t>
      </w:r>
    </w:p>
    <w:p w14:paraId="06DFE8FE" w14:textId="77777777" w:rsidR="006909E2" w:rsidRDefault="006909E2" w:rsidP="006909E2">
      <w:pPr>
        <w:tabs>
          <w:tab w:val="left" w:pos="2940"/>
        </w:tabs>
        <w:rPr>
          <w:sz w:val="28"/>
          <w:szCs w:val="28"/>
        </w:rPr>
      </w:pPr>
    </w:p>
    <w:p w14:paraId="56FA0C6C" w14:textId="2229585C" w:rsidR="006909E2" w:rsidRPr="00915297" w:rsidRDefault="006909E2" w:rsidP="006909E2">
      <w:pPr>
        <w:tabs>
          <w:tab w:val="left" w:pos="29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15297">
        <w:rPr>
          <w:sz w:val="28"/>
          <w:szCs w:val="28"/>
          <w:u w:val="single"/>
        </w:rPr>
        <w:t>_</w:t>
      </w:r>
      <w:r w:rsidR="00915297" w:rsidRPr="00915297">
        <w:rPr>
          <w:sz w:val="28"/>
          <w:szCs w:val="28"/>
          <w:u w:val="single"/>
        </w:rPr>
        <w:t>/S/</w:t>
      </w:r>
      <w:r w:rsidRPr="00915297">
        <w:rPr>
          <w:sz w:val="28"/>
          <w:szCs w:val="28"/>
          <w:u w:val="single"/>
        </w:rPr>
        <w:t>_________________________</w:t>
      </w:r>
    </w:p>
    <w:p w14:paraId="51BB7542" w14:textId="2B253E4C" w:rsidR="006909E2" w:rsidRDefault="006909E2" w:rsidP="006909E2">
      <w:pPr>
        <w:tabs>
          <w:tab w:val="left" w:pos="2940"/>
        </w:tabs>
        <w:rPr>
          <w:sz w:val="28"/>
          <w:szCs w:val="28"/>
        </w:rPr>
      </w:pPr>
      <w:r w:rsidRPr="006909E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Jeffrey L. Sklar</w:t>
      </w:r>
    </w:p>
    <w:p w14:paraId="0C7C09FB" w14:textId="272F9019" w:rsidR="00722300" w:rsidRDefault="007223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148B13" w14:textId="6C9EBA9B" w:rsidR="00DC293D" w:rsidRDefault="00F3416D" w:rsidP="00F3416D">
      <w:pPr>
        <w:kinsoku w:val="0"/>
        <w:overflowPunct w:val="0"/>
        <w:autoSpaceDE w:val="0"/>
        <w:autoSpaceDN w:val="0"/>
        <w:adjustRightInd w:val="0"/>
        <w:spacing w:line="322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</w:t>
      </w:r>
      <w:r w:rsidR="00DC293D">
        <w:rPr>
          <w:rStyle w:val="FootnoteReference"/>
          <w:b/>
          <w:bCs/>
          <w:sz w:val="28"/>
          <w:szCs w:val="28"/>
        </w:rPr>
        <w:footnoteReference w:id="1"/>
      </w:r>
    </w:p>
    <w:p w14:paraId="167B2B2C" w14:textId="77777777" w:rsidR="00DC293D" w:rsidRDefault="00DC293D" w:rsidP="00531D9D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outlineLvl w:val="0"/>
        <w:rPr>
          <w:b/>
          <w:bCs/>
          <w:position w:val="10"/>
          <w:sz w:val="18"/>
          <w:szCs w:val="18"/>
        </w:rPr>
      </w:pPr>
    </w:p>
    <w:p w14:paraId="0BABDBD7" w14:textId="34986198" w:rsidR="00531D9D" w:rsidRDefault="00531D9D" w:rsidP="00531D9D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Changes </w:t>
      </w:r>
      <w:r w:rsidR="00594D65">
        <w:rPr>
          <w:szCs w:val="28"/>
        </w:rPr>
        <w:t xml:space="preserve">to Arizona Supreme Court Rule 111 </w:t>
      </w:r>
      <w:r w:rsidR="000B5150">
        <w:rPr>
          <w:szCs w:val="28"/>
        </w:rPr>
        <w:t>requested in this Response:</w:t>
      </w:r>
    </w:p>
    <w:p w14:paraId="40CEED9C" w14:textId="77777777" w:rsidR="000B5150" w:rsidRPr="006E7171" w:rsidRDefault="000B5150" w:rsidP="000B5150">
      <w:pPr>
        <w:pStyle w:val="BodyText"/>
        <w:tabs>
          <w:tab w:val="left" w:pos="711"/>
        </w:tabs>
        <w:spacing w:line="480" w:lineRule="auto"/>
        <w:jc w:val="both"/>
        <w:rPr>
          <w:b/>
          <w:bCs/>
          <w:szCs w:val="28"/>
        </w:rPr>
      </w:pPr>
      <w:r>
        <w:rPr>
          <w:szCs w:val="28"/>
        </w:rPr>
        <w:tab/>
      </w:r>
      <w:r w:rsidRPr="006E7171">
        <w:rPr>
          <w:b/>
          <w:bCs/>
          <w:szCs w:val="28"/>
        </w:rPr>
        <w:t>(c) Dispositions as Precedent.</w:t>
      </w:r>
    </w:p>
    <w:p w14:paraId="5D7E56A8" w14:textId="77777777" w:rsidR="000B5150" w:rsidRDefault="000B5150" w:rsidP="000B5150">
      <w:pPr>
        <w:pStyle w:val="BodyText"/>
        <w:tabs>
          <w:tab w:val="left" w:pos="711"/>
        </w:tabs>
        <w:ind w:left="1440"/>
        <w:jc w:val="both"/>
        <w:rPr>
          <w:szCs w:val="28"/>
        </w:rPr>
      </w:pPr>
      <w:r w:rsidRPr="006E7171">
        <w:rPr>
          <w:szCs w:val="28"/>
        </w:rPr>
        <w:t>(1) Memorandum decisions of Arizona state courts are not precedential and</w:t>
      </w:r>
      <w:r>
        <w:rPr>
          <w:szCs w:val="28"/>
        </w:rPr>
        <w:t xml:space="preserve">, </w:t>
      </w:r>
      <w:r w:rsidRPr="004D2890">
        <w:rPr>
          <w:szCs w:val="28"/>
          <w:highlight w:val="yellow"/>
        </w:rPr>
        <w:t>UNLESS OTHERWISE ORDERED BY THE SUPREME COURT UNDER RULE 111(G),</w:t>
      </w:r>
      <w:r w:rsidRPr="006E7171">
        <w:rPr>
          <w:szCs w:val="28"/>
        </w:rPr>
        <w:t xml:space="preserve"> such a decision may be cited only:</w:t>
      </w:r>
    </w:p>
    <w:p w14:paraId="52CF54D4" w14:textId="77777777" w:rsidR="000B5150" w:rsidRPr="006E7171" w:rsidRDefault="000B5150" w:rsidP="000B5150">
      <w:pPr>
        <w:pStyle w:val="BodyText"/>
        <w:tabs>
          <w:tab w:val="left" w:pos="711"/>
        </w:tabs>
        <w:ind w:left="1440"/>
        <w:jc w:val="both"/>
        <w:rPr>
          <w:szCs w:val="28"/>
        </w:rPr>
      </w:pPr>
    </w:p>
    <w:p w14:paraId="76F63522" w14:textId="77777777" w:rsidR="000B5150" w:rsidRPr="006E7171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(A) to establish claim preclusion, issue preclusion, or law of the case;</w:t>
      </w:r>
    </w:p>
    <w:p w14:paraId="5E615DAC" w14:textId="77777777" w:rsidR="000B5150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5853874B" w14:textId="77777777" w:rsidR="000B5150" w:rsidRPr="006E7171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(B) to assist the appellate court in deciding whether to issue a published opinion, grant a motion for reconsideration, or grant a petition for review; or</w:t>
      </w:r>
    </w:p>
    <w:p w14:paraId="177A3319" w14:textId="77777777" w:rsidR="000B5150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4606FA4F" w14:textId="77777777" w:rsidR="000B5150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 w:rsidRPr="006E7171">
        <w:rPr>
          <w:szCs w:val="28"/>
        </w:rPr>
        <w:t>(C) for persuasive value, but only if it was issued on or after January 1, 2015</w:t>
      </w:r>
      <w:r w:rsidRPr="00652CD4">
        <w:rPr>
          <w:strike/>
          <w:szCs w:val="28"/>
        </w:rPr>
        <w:t>;</w:t>
      </w:r>
      <w:r w:rsidRPr="006E7171">
        <w:rPr>
          <w:szCs w:val="28"/>
        </w:rPr>
        <w:t xml:space="preserve"> </w:t>
      </w:r>
      <w:r w:rsidRPr="00652CD4">
        <w:rPr>
          <w:szCs w:val="28"/>
          <w:highlight w:val="yellow"/>
        </w:rPr>
        <w:t>AND</w:t>
      </w:r>
      <w:r>
        <w:rPr>
          <w:szCs w:val="28"/>
        </w:rPr>
        <w:t xml:space="preserve"> </w:t>
      </w:r>
      <w:r w:rsidRPr="006E7171">
        <w:rPr>
          <w:szCs w:val="28"/>
        </w:rPr>
        <w:t>no opinion adequately addresses the issue before the court</w:t>
      </w:r>
      <w:r w:rsidRPr="00652CD4">
        <w:rPr>
          <w:strike/>
          <w:szCs w:val="28"/>
        </w:rPr>
        <w:t>; and the citation is not to a depublished opinion or a depublished portion of an opinion</w:t>
      </w:r>
      <w:r w:rsidRPr="006E7171">
        <w:rPr>
          <w:szCs w:val="28"/>
        </w:rPr>
        <w:t>.</w:t>
      </w:r>
      <w:r>
        <w:rPr>
          <w:szCs w:val="28"/>
        </w:rPr>
        <w:t xml:space="preserve"> </w:t>
      </w:r>
    </w:p>
    <w:p w14:paraId="2A8FA08D" w14:textId="77777777" w:rsidR="0010233F" w:rsidRDefault="0010233F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77C1C37D" w14:textId="41AAF145" w:rsidR="0010233F" w:rsidRDefault="0010233F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  <w:r>
        <w:rPr>
          <w:szCs w:val="28"/>
        </w:rPr>
        <w:t>. . . .</w:t>
      </w:r>
    </w:p>
    <w:p w14:paraId="14BD7355" w14:textId="77777777" w:rsidR="000B5150" w:rsidRDefault="000B5150" w:rsidP="000B5150">
      <w:pPr>
        <w:pStyle w:val="BodyText"/>
        <w:tabs>
          <w:tab w:val="left" w:pos="711"/>
        </w:tabs>
        <w:ind w:left="2160"/>
        <w:jc w:val="both"/>
        <w:rPr>
          <w:szCs w:val="28"/>
        </w:rPr>
      </w:pPr>
    </w:p>
    <w:p w14:paraId="5B1D86F1" w14:textId="2238C85D" w:rsidR="00531D9D" w:rsidRPr="00A62F5B" w:rsidRDefault="00531D9D" w:rsidP="00531D9D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</w:r>
      <w:r w:rsidRPr="000B5150">
        <w:rPr>
          <w:b/>
          <w:bCs/>
          <w:szCs w:val="28"/>
        </w:rPr>
        <w:t>(g)</w:t>
      </w:r>
      <w:r w:rsidR="000B5150">
        <w:rPr>
          <w:b/>
          <w:bCs/>
          <w:szCs w:val="28"/>
        </w:rPr>
        <w:t xml:space="preserve"> </w:t>
      </w:r>
      <w:r w:rsidRPr="00A62F5B">
        <w:rPr>
          <w:b/>
          <w:bCs/>
          <w:strike/>
          <w:szCs w:val="28"/>
        </w:rPr>
        <w:t>Depublication</w:t>
      </w:r>
      <w:r w:rsidRPr="00A62F5B">
        <w:rPr>
          <w:b/>
          <w:bCs/>
          <w:szCs w:val="28"/>
        </w:rPr>
        <w:t xml:space="preserve">. </w:t>
      </w:r>
      <w:r w:rsidRPr="00A62F5B">
        <w:rPr>
          <w:b/>
          <w:bCs/>
          <w:szCs w:val="28"/>
          <w:u w:val="single"/>
        </w:rPr>
        <w:t>Court-Ordered Citation Limitations</w:t>
      </w:r>
      <w:r w:rsidRPr="00A62F5B">
        <w:rPr>
          <w:szCs w:val="28"/>
        </w:rPr>
        <w:t>.</w:t>
      </w:r>
    </w:p>
    <w:p w14:paraId="16CEC277" w14:textId="77777777" w:rsidR="00531D9D" w:rsidRDefault="00531D9D" w:rsidP="00531D9D">
      <w:pPr>
        <w:pStyle w:val="BodyText"/>
        <w:tabs>
          <w:tab w:val="left" w:pos="711"/>
        </w:tabs>
        <w:ind w:left="1440"/>
        <w:jc w:val="both"/>
        <w:rPr>
          <w:szCs w:val="28"/>
        </w:rPr>
      </w:pPr>
      <w:r w:rsidRPr="00E23AE0">
        <w:rPr>
          <w:szCs w:val="28"/>
          <w:u w:val="single"/>
        </w:rPr>
        <w:t>(1)</w:t>
      </w:r>
      <w:r w:rsidRPr="00E23AE0">
        <w:rPr>
          <w:szCs w:val="28"/>
          <w:u w:val="single"/>
        </w:rPr>
        <w:tab/>
      </w:r>
      <w:r w:rsidRPr="00E23AE0">
        <w:rPr>
          <w:i/>
          <w:iCs/>
          <w:szCs w:val="28"/>
          <w:u w:val="single"/>
        </w:rPr>
        <w:t>Depublication</w:t>
      </w:r>
      <w:r w:rsidRPr="00A62F5B">
        <w:rPr>
          <w:szCs w:val="28"/>
        </w:rPr>
        <w:t>. Notwithstanding Rule 111(b), the Supreme Court may order that an opinion certified for publication by the Court of Appeals either not be published in its entirety or that a specified portion of the opinion not be published.</w:t>
      </w:r>
      <w:r>
        <w:rPr>
          <w:szCs w:val="28"/>
        </w:rPr>
        <w:t xml:space="preserve"> </w:t>
      </w:r>
      <w:r w:rsidRPr="004C10F8">
        <w:rPr>
          <w:szCs w:val="28"/>
          <w:highlight w:val="yellow"/>
        </w:rPr>
        <w:t xml:space="preserve">AN OPINION OR SPECIFIC PORTION OF </w:t>
      </w:r>
      <w:r>
        <w:rPr>
          <w:szCs w:val="28"/>
          <w:highlight w:val="yellow"/>
        </w:rPr>
        <w:t xml:space="preserve">AN OPINION </w:t>
      </w:r>
      <w:r w:rsidRPr="004C10F8">
        <w:rPr>
          <w:szCs w:val="28"/>
          <w:highlight w:val="yellow"/>
        </w:rPr>
        <w:t xml:space="preserve">THAT IS DEPUBLISHED </w:t>
      </w:r>
      <w:r>
        <w:rPr>
          <w:szCs w:val="28"/>
          <w:highlight w:val="yellow"/>
        </w:rPr>
        <w:t xml:space="preserve">IS TREATED AS </w:t>
      </w:r>
      <w:r w:rsidRPr="004C10F8">
        <w:rPr>
          <w:szCs w:val="28"/>
          <w:highlight w:val="yellow"/>
        </w:rPr>
        <w:t>A MEMORANDUM DECISION.</w:t>
      </w:r>
      <w:r>
        <w:rPr>
          <w:szCs w:val="28"/>
        </w:rPr>
        <w:t xml:space="preserve"> </w:t>
      </w:r>
    </w:p>
    <w:p w14:paraId="15070CD3" w14:textId="77777777" w:rsidR="00531D9D" w:rsidRPr="00A62F5B" w:rsidRDefault="00531D9D" w:rsidP="00531D9D">
      <w:pPr>
        <w:pStyle w:val="BodyText"/>
        <w:tabs>
          <w:tab w:val="left" w:pos="711"/>
        </w:tabs>
        <w:ind w:left="1440"/>
        <w:jc w:val="both"/>
        <w:rPr>
          <w:szCs w:val="28"/>
        </w:rPr>
      </w:pPr>
    </w:p>
    <w:p w14:paraId="4A83B9F7" w14:textId="61E40654" w:rsidR="00531D9D" w:rsidRDefault="00531D9D" w:rsidP="00531D9D">
      <w:pPr>
        <w:pStyle w:val="BodyText"/>
        <w:tabs>
          <w:tab w:val="left" w:pos="711"/>
        </w:tabs>
        <w:ind w:left="1440" w:hanging="1440"/>
        <w:jc w:val="both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 w:rsidRPr="000E733D">
        <w:rPr>
          <w:szCs w:val="28"/>
          <w:u w:val="single"/>
        </w:rPr>
        <w:t>(2)</w:t>
      </w:r>
      <w:r w:rsidRPr="000E733D">
        <w:rPr>
          <w:szCs w:val="28"/>
          <w:u w:val="single"/>
        </w:rPr>
        <w:tab/>
      </w:r>
      <w:r w:rsidRPr="000E733D">
        <w:rPr>
          <w:i/>
          <w:iCs/>
          <w:szCs w:val="28"/>
          <w:u w:val="single"/>
        </w:rPr>
        <w:t>Memorandum Decisions</w:t>
      </w:r>
      <w:r w:rsidRPr="000E733D">
        <w:rPr>
          <w:szCs w:val="28"/>
          <w:u w:val="single"/>
        </w:rPr>
        <w:t xml:space="preserve">.  Notwithstanding Rule 111(c)(1)(C), if the Supreme Court denies a petition for review of a Court of Appeals memorandum decision, it may order that the decision, or portions of that decision, may not be cited for its persuasive value. </w:t>
      </w:r>
      <w:r w:rsidRPr="00831244">
        <w:rPr>
          <w:szCs w:val="28"/>
          <w:highlight w:val="yellow"/>
        </w:rPr>
        <w:t>THE SUPREME COURT MAY ALSO ORDER THAT AN OPINION DEPUBLISHED UNDER RULE 111(G)(1), OR PORTIONS OF A DEPUBLISHED OPINION, MAY NOT BE CITED FOR ITS PERSU</w:t>
      </w:r>
      <w:r w:rsidR="00390A29">
        <w:rPr>
          <w:szCs w:val="28"/>
          <w:highlight w:val="yellow"/>
        </w:rPr>
        <w:t>A</w:t>
      </w:r>
      <w:r w:rsidRPr="00831244">
        <w:rPr>
          <w:szCs w:val="28"/>
          <w:highlight w:val="yellow"/>
        </w:rPr>
        <w:t>SIVE VALUE.</w:t>
      </w:r>
    </w:p>
    <w:p w14:paraId="3BDDD9C3" w14:textId="77777777" w:rsidR="00531D9D" w:rsidRPr="00DC293D" w:rsidRDefault="00531D9D" w:rsidP="00531D9D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outlineLvl w:val="0"/>
        <w:rPr>
          <w:b/>
          <w:bCs/>
          <w:position w:val="10"/>
          <w:sz w:val="18"/>
          <w:szCs w:val="18"/>
        </w:rPr>
      </w:pPr>
    </w:p>
    <w:sectPr w:rsidR="00531D9D" w:rsidRPr="00DC293D" w:rsidSect="004A5F8B">
      <w:footerReference w:type="even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C4E8" w14:textId="77777777" w:rsidR="00D61D8E" w:rsidRDefault="00D61D8E">
      <w:r>
        <w:separator/>
      </w:r>
    </w:p>
  </w:endnote>
  <w:endnote w:type="continuationSeparator" w:id="0">
    <w:p w14:paraId="3CBDD5D0" w14:textId="77777777" w:rsidR="00D61D8E" w:rsidRDefault="00D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67BA" w14:textId="1C3531C8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r w:rsidR="00E03DC7">
      <w:fldChar w:fldCharType="begin"/>
    </w:r>
    <w:r w:rsidR="00E03DC7">
      <w:instrText xml:space="preserve"> NUMPAGES </w:instrText>
    </w:r>
    <w:r w:rsidR="00E03DC7">
      <w:fldChar w:fldCharType="separate"/>
    </w:r>
    <w:r w:rsidR="00E03DC7">
      <w:rPr>
        <w:noProof/>
      </w:rPr>
      <w:t>6</w:t>
    </w:r>
    <w:r w:rsidR="00E03D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41F3" w14:textId="77777777" w:rsidR="00D61D8E" w:rsidRDefault="00D61D8E">
      <w:r>
        <w:separator/>
      </w:r>
    </w:p>
  </w:footnote>
  <w:footnote w:type="continuationSeparator" w:id="0">
    <w:p w14:paraId="180512A2" w14:textId="77777777" w:rsidR="00D61D8E" w:rsidRDefault="00D61D8E">
      <w:r>
        <w:continuationSeparator/>
      </w:r>
    </w:p>
  </w:footnote>
  <w:footnote w:id="1">
    <w:p w14:paraId="115E0F42" w14:textId="40FA3CBF" w:rsidR="00DC293D" w:rsidRPr="00DC293D" w:rsidRDefault="00DC293D" w:rsidP="004D2890">
      <w:pPr>
        <w:pStyle w:val="FootnoteText"/>
        <w:jc w:val="both"/>
        <w:rPr>
          <w:sz w:val="22"/>
          <w:szCs w:val="22"/>
        </w:rPr>
      </w:pPr>
      <w:r w:rsidRPr="00DC293D">
        <w:rPr>
          <w:rStyle w:val="FootnoteReference"/>
          <w:sz w:val="22"/>
          <w:szCs w:val="22"/>
        </w:rPr>
        <w:footnoteRef/>
      </w:r>
      <w:r w:rsidRPr="00DC293D">
        <w:rPr>
          <w:sz w:val="22"/>
          <w:szCs w:val="22"/>
        </w:rPr>
        <w:t xml:space="preserve"> </w:t>
      </w:r>
      <w:r w:rsidR="000B5150" w:rsidRPr="004D2890">
        <w:rPr>
          <w:sz w:val="28"/>
          <w:szCs w:val="28"/>
        </w:rPr>
        <w:t>Requested changes are in ALL CAPS and highlighted, while requested</w:t>
      </w:r>
      <w:r w:rsidR="0010233F" w:rsidRPr="004D2890">
        <w:rPr>
          <w:sz w:val="28"/>
          <w:szCs w:val="28"/>
        </w:rPr>
        <w:t xml:space="preserve"> </w:t>
      </w:r>
      <w:r w:rsidRPr="004D2890">
        <w:rPr>
          <w:sz w:val="28"/>
          <w:szCs w:val="28"/>
        </w:rPr>
        <w:t xml:space="preserve">deletions are </w:t>
      </w:r>
      <w:r w:rsidR="00801C5D" w:rsidRPr="004D2890">
        <w:rPr>
          <w:sz w:val="28"/>
          <w:szCs w:val="28"/>
        </w:rPr>
        <w:t>shown</w:t>
      </w:r>
      <w:r w:rsidRPr="004D2890">
        <w:rPr>
          <w:sz w:val="28"/>
          <w:szCs w:val="28"/>
        </w:rPr>
        <w:t xml:space="preserve"> by strikeouts.</w:t>
      </w:r>
      <w:r w:rsidRPr="00DC293D">
        <w:rPr>
          <w:sz w:val="22"/>
          <w:szCs w:val="22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97679">
    <w:abstractNumId w:val="2"/>
  </w:num>
  <w:num w:numId="2" w16cid:durableId="830605484">
    <w:abstractNumId w:val="6"/>
  </w:num>
  <w:num w:numId="3" w16cid:durableId="1860657632">
    <w:abstractNumId w:val="8"/>
  </w:num>
  <w:num w:numId="4" w16cid:durableId="1816724402">
    <w:abstractNumId w:val="1"/>
  </w:num>
  <w:num w:numId="5" w16cid:durableId="1192105465">
    <w:abstractNumId w:val="9"/>
  </w:num>
  <w:num w:numId="6" w16cid:durableId="1669212922">
    <w:abstractNumId w:val="7"/>
  </w:num>
  <w:num w:numId="7" w16cid:durableId="920875692">
    <w:abstractNumId w:val="3"/>
  </w:num>
  <w:num w:numId="8" w16cid:durableId="1617633583">
    <w:abstractNumId w:val="5"/>
  </w:num>
  <w:num w:numId="9" w16cid:durableId="1483157355">
    <w:abstractNumId w:val="4"/>
  </w:num>
  <w:num w:numId="10" w16cid:durableId="1982684202">
    <w:abstractNumId w:val="10"/>
  </w:num>
  <w:num w:numId="11" w16cid:durableId="1267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A14"/>
    <w:rsid w:val="00001F43"/>
    <w:rsid w:val="00002008"/>
    <w:rsid w:val="00012954"/>
    <w:rsid w:val="00014F13"/>
    <w:rsid w:val="00016CB6"/>
    <w:rsid w:val="00017AE6"/>
    <w:rsid w:val="00020EBC"/>
    <w:rsid w:val="000223B0"/>
    <w:rsid w:val="00032AA1"/>
    <w:rsid w:val="000409A2"/>
    <w:rsid w:val="00041FC5"/>
    <w:rsid w:val="00042229"/>
    <w:rsid w:val="00042F86"/>
    <w:rsid w:val="0004337F"/>
    <w:rsid w:val="00044EAB"/>
    <w:rsid w:val="000467E6"/>
    <w:rsid w:val="00063A90"/>
    <w:rsid w:val="00064955"/>
    <w:rsid w:val="00073A6B"/>
    <w:rsid w:val="00085CF0"/>
    <w:rsid w:val="000901C7"/>
    <w:rsid w:val="000911A1"/>
    <w:rsid w:val="00095504"/>
    <w:rsid w:val="00096F15"/>
    <w:rsid w:val="000A189A"/>
    <w:rsid w:val="000A717F"/>
    <w:rsid w:val="000B3931"/>
    <w:rsid w:val="000B5150"/>
    <w:rsid w:val="000B659A"/>
    <w:rsid w:val="000B6D0A"/>
    <w:rsid w:val="000B796A"/>
    <w:rsid w:val="000C2E61"/>
    <w:rsid w:val="000C7BFD"/>
    <w:rsid w:val="000E3B3A"/>
    <w:rsid w:val="000E479D"/>
    <w:rsid w:val="000E4C28"/>
    <w:rsid w:val="000E733D"/>
    <w:rsid w:val="000E7EE1"/>
    <w:rsid w:val="000F3F84"/>
    <w:rsid w:val="0010233F"/>
    <w:rsid w:val="00104B7A"/>
    <w:rsid w:val="00106519"/>
    <w:rsid w:val="0011369A"/>
    <w:rsid w:val="00113F4D"/>
    <w:rsid w:val="00114090"/>
    <w:rsid w:val="00120C0B"/>
    <w:rsid w:val="001239F6"/>
    <w:rsid w:val="00124DD4"/>
    <w:rsid w:val="00127D52"/>
    <w:rsid w:val="00130F4B"/>
    <w:rsid w:val="00130FC7"/>
    <w:rsid w:val="001312F8"/>
    <w:rsid w:val="001331FA"/>
    <w:rsid w:val="001344CE"/>
    <w:rsid w:val="00144F99"/>
    <w:rsid w:val="001451DE"/>
    <w:rsid w:val="001464C9"/>
    <w:rsid w:val="00146B6B"/>
    <w:rsid w:val="001622DA"/>
    <w:rsid w:val="00180E73"/>
    <w:rsid w:val="001820BF"/>
    <w:rsid w:val="00187CD4"/>
    <w:rsid w:val="001A0C61"/>
    <w:rsid w:val="001A1B1C"/>
    <w:rsid w:val="001A3644"/>
    <w:rsid w:val="001A3658"/>
    <w:rsid w:val="001A7EF9"/>
    <w:rsid w:val="001B1E56"/>
    <w:rsid w:val="001B6095"/>
    <w:rsid w:val="001B776A"/>
    <w:rsid w:val="001C1D58"/>
    <w:rsid w:val="001C5AE5"/>
    <w:rsid w:val="001C6508"/>
    <w:rsid w:val="001E171A"/>
    <w:rsid w:val="001F2D3C"/>
    <w:rsid w:val="001F3F71"/>
    <w:rsid w:val="001F4A84"/>
    <w:rsid w:val="001F5A6E"/>
    <w:rsid w:val="0020046A"/>
    <w:rsid w:val="00202378"/>
    <w:rsid w:val="002039C6"/>
    <w:rsid w:val="0020422E"/>
    <w:rsid w:val="00204415"/>
    <w:rsid w:val="00206DD7"/>
    <w:rsid w:val="002122DF"/>
    <w:rsid w:val="002127F7"/>
    <w:rsid w:val="002302DC"/>
    <w:rsid w:val="00234D55"/>
    <w:rsid w:val="002359D9"/>
    <w:rsid w:val="0024788D"/>
    <w:rsid w:val="002545BD"/>
    <w:rsid w:val="00254E37"/>
    <w:rsid w:val="002775A8"/>
    <w:rsid w:val="0028184B"/>
    <w:rsid w:val="00282245"/>
    <w:rsid w:val="00284052"/>
    <w:rsid w:val="0029769D"/>
    <w:rsid w:val="002A13F8"/>
    <w:rsid w:val="002A62C5"/>
    <w:rsid w:val="002B4BB1"/>
    <w:rsid w:val="002B59A1"/>
    <w:rsid w:val="002C03C2"/>
    <w:rsid w:val="002C31D3"/>
    <w:rsid w:val="002D22D6"/>
    <w:rsid w:val="002D5B9B"/>
    <w:rsid w:val="002E475E"/>
    <w:rsid w:val="002E5C2E"/>
    <w:rsid w:val="002F125B"/>
    <w:rsid w:val="002F52F0"/>
    <w:rsid w:val="003010E8"/>
    <w:rsid w:val="003016A4"/>
    <w:rsid w:val="003043C7"/>
    <w:rsid w:val="00305EF7"/>
    <w:rsid w:val="0030696F"/>
    <w:rsid w:val="00307CA9"/>
    <w:rsid w:val="0031002A"/>
    <w:rsid w:val="0031215C"/>
    <w:rsid w:val="00313DC8"/>
    <w:rsid w:val="00315DD7"/>
    <w:rsid w:val="00316C1C"/>
    <w:rsid w:val="0032024C"/>
    <w:rsid w:val="00335AF8"/>
    <w:rsid w:val="00341D8D"/>
    <w:rsid w:val="003533B4"/>
    <w:rsid w:val="00372552"/>
    <w:rsid w:val="003815A3"/>
    <w:rsid w:val="00382EE8"/>
    <w:rsid w:val="00383275"/>
    <w:rsid w:val="00384804"/>
    <w:rsid w:val="00390A29"/>
    <w:rsid w:val="00391B9E"/>
    <w:rsid w:val="00395568"/>
    <w:rsid w:val="00397119"/>
    <w:rsid w:val="003A7A6C"/>
    <w:rsid w:val="003B3B4E"/>
    <w:rsid w:val="003B5BA5"/>
    <w:rsid w:val="003C461F"/>
    <w:rsid w:val="003C6602"/>
    <w:rsid w:val="003D2C42"/>
    <w:rsid w:val="003D3241"/>
    <w:rsid w:val="003D5C2F"/>
    <w:rsid w:val="003D6404"/>
    <w:rsid w:val="003D73E0"/>
    <w:rsid w:val="003E081A"/>
    <w:rsid w:val="003E7271"/>
    <w:rsid w:val="003E7C14"/>
    <w:rsid w:val="004057D7"/>
    <w:rsid w:val="0041229A"/>
    <w:rsid w:val="004132F1"/>
    <w:rsid w:val="00415027"/>
    <w:rsid w:val="00416291"/>
    <w:rsid w:val="004163C1"/>
    <w:rsid w:val="00430699"/>
    <w:rsid w:val="004332E1"/>
    <w:rsid w:val="00434DBF"/>
    <w:rsid w:val="004372B2"/>
    <w:rsid w:val="00440C7F"/>
    <w:rsid w:val="0044491E"/>
    <w:rsid w:val="004462DA"/>
    <w:rsid w:val="00450A4A"/>
    <w:rsid w:val="00452A0D"/>
    <w:rsid w:val="0045656C"/>
    <w:rsid w:val="0046594B"/>
    <w:rsid w:val="0046620F"/>
    <w:rsid w:val="00473CF2"/>
    <w:rsid w:val="004743B5"/>
    <w:rsid w:val="004761AA"/>
    <w:rsid w:val="004817A0"/>
    <w:rsid w:val="00482F54"/>
    <w:rsid w:val="00487B25"/>
    <w:rsid w:val="004A14B8"/>
    <w:rsid w:val="004A330A"/>
    <w:rsid w:val="004A38EF"/>
    <w:rsid w:val="004A4293"/>
    <w:rsid w:val="004A5F8B"/>
    <w:rsid w:val="004A7AE8"/>
    <w:rsid w:val="004A7FEA"/>
    <w:rsid w:val="004B1C9A"/>
    <w:rsid w:val="004C10F8"/>
    <w:rsid w:val="004D2890"/>
    <w:rsid w:val="004D4864"/>
    <w:rsid w:val="004D5499"/>
    <w:rsid w:val="004D673E"/>
    <w:rsid w:val="004E3B4E"/>
    <w:rsid w:val="004E5291"/>
    <w:rsid w:val="004E6E10"/>
    <w:rsid w:val="004F2247"/>
    <w:rsid w:val="0050019B"/>
    <w:rsid w:val="005045A9"/>
    <w:rsid w:val="00505C48"/>
    <w:rsid w:val="00526E00"/>
    <w:rsid w:val="00530CC1"/>
    <w:rsid w:val="00531D9D"/>
    <w:rsid w:val="00536CC8"/>
    <w:rsid w:val="00544249"/>
    <w:rsid w:val="00555973"/>
    <w:rsid w:val="00557B78"/>
    <w:rsid w:val="00562710"/>
    <w:rsid w:val="00562749"/>
    <w:rsid w:val="0056612F"/>
    <w:rsid w:val="005754E6"/>
    <w:rsid w:val="00584469"/>
    <w:rsid w:val="00587B8C"/>
    <w:rsid w:val="00594D65"/>
    <w:rsid w:val="005975AF"/>
    <w:rsid w:val="005A0C4D"/>
    <w:rsid w:val="005A7803"/>
    <w:rsid w:val="005B0047"/>
    <w:rsid w:val="005B5507"/>
    <w:rsid w:val="005B63B5"/>
    <w:rsid w:val="005C08D4"/>
    <w:rsid w:val="005C163E"/>
    <w:rsid w:val="005C49A0"/>
    <w:rsid w:val="005D0117"/>
    <w:rsid w:val="005D4DE4"/>
    <w:rsid w:val="005D5A20"/>
    <w:rsid w:val="005D70EB"/>
    <w:rsid w:val="005E02DD"/>
    <w:rsid w:val="005F1FBA"/>
    <w:rsid w:val="005F7BBA"/>
    <w:rsid w:val="005F7C78"/>
    <w:rsid w:val="006007F5"/>
    <w:rsid w:val="0060153C"/>
    <w:rsid w:val="00601556"/>
    <w:rsid w:val="0060188F"/>
    <w:rsid w:val="006052DE"/>
    <w:rsid w:val="00605591"/>
    <w:rsid w:val="006072CC"/>
    <w:rsid w:val="00611F7E"/>
    <w:rsid w:val="00616412"/>
    <w:rsid w:val="006169F1"/>
    <w:rsid w:val="00621B89"/>
    <w:rsid w:val="00622532"/>
    <w:rsid w:val="00623CFC"/>
    <w:rsid w:val="0062473A"/>
    <w:rsid w:val="00634487"/>
    <w:rsid w:val="00635A07"/>
    <w:rsid w:val="00642063"/>
    <w:rsid w:val="00645172"/>
    <w:rsid w:val="0064738A"/>
    <w:rsid w:val="00651E25"/>
    <w:rsid w:val="00652707"/>
    <w:rsid w:val="0065271B"/>
    <w:rsid w:val="006527AA"/>
    <w:rsid w:val="00652CD4"/>
    <w:rsid w:val="0065370A"/>
    <w:rsid w:val="00654497"/>
    <w:rsid w:val="00673036"/>
    <w:rsid w:val="006767FC"/>
    <w:rsid w:val="00681559"/>
    <w:rsid w:val="006909E2"/>
    <w:rsid w:val="00692E23"/>
    <w:rsid w:val="00695322"/>
    <w:rsid w:val="006A2803"/>
    <w:rsid w:val="006B06D1"/>
    <w:rsid w:val="006B1989"/>
    <w:rsid w:val="006B29C9"/>
    <w:rsid w:val="006B3DAB"/>
    <w:rsid w:val="006C3C86"/>
    <w:rsid w:val="006D062B"/>
    <w:rsid w:val="006D5FFA"/>
    <w:rsid w:val="006E190E"/>
    <w:rsid w:val="006E25A3"/>
    <w:rsid w:val="006E4381"/>
    <w:rsid w:val="006E7171"/>
    <w:rsid w:val="006F16AC"/>
    <w:rsid w:val="006F51B6"/>
    <w:rsid w:val="006F54D3"/>
    <w:rsid w:val="006F60FA"/>
    <w:rsid w:val="00707AF0"/>
    <w:rsid w:val="00711BCB"/>
    <w:rsid w:val="00716C66"/>
    <w:rsid w:val="00722300"/>
    <w:rsid w:val="007248ED"/>
    <w:rsid w:val="00726D5D"/>
    <w:rsid w:val="00737054"/>
    <w:rsid w:val="007451BC"/>
    <w:rsid w:val="007519C8"/>
    <w:rsid w:val="00753474"/>
    <w:rsid w:val="00753937"/>
    <w:rsid w:val="00763789"/>
    <w:rsid w:val="007640C5"/>
    <w:rsid w:val="007700CD"/>
    <w:rsid w:val="00772B2E"/>
    <w:rsid w:val="0078302E"/>
    <w:rsid w:val="00786401"/>
    <w:rsid w:val="00787E0E"/>
    <w:rsid w:val="007909D4"/>
    <w:rsid w:val="00792D43"/>
    <w:rsid w:val="00797470"/>
    <w:rsid w:val="007977BA"/>
    <w:rsid w:val="007A14F4"/>
    <w:rsid w:val="007A30C5"/>
    <w:rsid w:val="007B3A55"/>
    <w:rsid w:val="007C7FEC"/>
    <w:rsid w:val="007D211C"/>
    <w:rsid w:val="007E5E27"/>
    <w:rsid w:val="007E6660"/>
    <w:rsid w:val="007E6F40"/>
    <w:rsid w:val="00801C5D"/>
    <w:rsid w:val="0080653E"/>
    <w:rsid w:val="00806EBD"/>
    <w:rsid w:val="0081060F"/>
    <w:rsid w:val="008125F0"/>
    <w:rsid w:val="0082390E"/>
    <w:rsid w:val="008248E9"/>
    <w:rsid w:val="00825D70"/>
    <w:rsid w:val="0083052D"/>
    <w:rsid w:val="00831244"/>
    <w:rsid w:val="00831AE1"/>
    <w:rsid w:val="00833F02"/>
    <w:rsid w:val="00882916"/>
    <w:rsid w:val="008908F0"/>
    <w:rsid w:val="008A3913"/>
    <w:rsid w:val="008A5797"/>
    <w:rsid w:val="008B5A58"/>
    <w:rsid w:val="008C229F"/>
    <w:rsid w:val="008D3E3D"/>
    <w:rsid w:val="008D5CC9"/>
    <w:rsid w:val="008E1B27"/>
    <w:rsid w:val="008E1F23"/>
    <w:rsid w:val="008E7E85"/>
    <w:rsid w:val="008F7BE8"/>
    <w:rsid w:val="00903879"/>
    <w:rsid w:val="0090458F"/>
    <w:rsid w:val="0090569E"/>
    <w:rsid w:val="00907957"/>
    <w:rsid w:val="00907D53"/>
    <w:rsid w:val="0091039C"/>
    <w:rsid w:val="009107A9"/>
    <w:rsid w:val="00910CC0"/>
    <w:rsid w:val="00911252"/>
    <w:rsid w:val="00915297"/>
    <w:rsid w:val="009215E6"/>
    <w:rsid w:val="00924C95"/>
    <w:rsid w:val="00930D27"/>
    <w:rsid w:val="009319AA"/>
    <w:rsid w:val="009324D3"/>
    <w:rsid w:val="009352D0"/>
    <w:rsid w:val="009357D1"/>
    <w:rsid w:val="00937694"/>
    <w:rsid w:val="009459AF"/>
    <w:rsid w:val="00946825"/>
    <w:rsid w:val="009476E6"/>
    <w:rsid w:val="00950773"/>
    <w:rsid w:val="00955820"/>
    <w:rsid w:val="00955B6A"/>
    <w:rsid w:val="009667CB"/>
    <w:rsid w:val="00970CA0"/>
    <w:rsid w:val="009752B7"/>
    <w:rsid w:val="00981497"/>
    <w:rsid w:val="00985437"/>
    <w:rsid w:val="00986AEC"/>
    <w:rsid w:val="00994665"/>
    <w:rsid w:val="00997F98"/>
    <w:rsid w:val="009A5DAC"/>
    <w:rsid w:val="009A7D92"/>
    <w:rsid w:val="009B3E3D"/>
    <w:rsid w:val="009C1D7C"/>
    <w:rsid w:val="009C2B9E"/>
    <w:rsid w:val="009C3B71"/>
    <w:rsid w:val="009D231B"/>
    <w:rsid w:val="009D6214"/>
    <w:rsid w:val="009D7C4C"/>
    <w:rsid w:val="009E56BE"/>
    <w:rsid w:val="009F0414"/>
    <w:rsid w:val="009F73C1"/>
    <w:rsid w:val="00A01980"/>
    <w:rsid w:val="00A05405"/>
    <w:rsid w:val="00A072CF"/>
    <w:rsid w:val="00A22F5E"/>
    <w:rsid w:val="00A33841"/>
    <w:rsid w:val="00A3565F"/>
    <w:rsid w:val="00A37772"/>
    <w:rsid w:val="00A4013E"/>
    <w:rsid w:val="00A530BF"/>
    <w:rsid w:val="00A54216"/>
    <w:rsid w:val="00A6020D"/>
    <w:rsid w:val="00A61FF5"/>
    <w:rsid w:val="00A62F5B"/>
    <w:rsid w:val="00A63081"/>
    <w:rsid w:val="00A71216"/>
    <w:rsid w:val="00A73AC8"/>
    <w:rsid w:val="00A812D0"/>
    <w:rsid w:val="00A81C59"/>
    <w:rsid w:val="00A87E69"/>
    <w:rsid w:val="00AA07EF"/>
    <w:rsid w:val="00AA16F2"/>
    <w:rsid w:val="00AA27C1"/>
    <w:rsid w:val="00AA3A5E"/>
    <w:rsid w:val="00AA450E"/>
    <w:rsid w:val="00AA6239"/>
    <w:rsid w:val="00AA770F"/>
    <w:rsid w:val="00AC4BF5"/>
    <w:rsid w:val="00AC774F"/>
    <w:rsid w:val="00AD55C5"/>
    <w:rsid w:val="00AD78B3"/>
    <w:rsid w:val="00AF3BF5"/>
    <w:rsid w:val="00B021F3"/>
    <w:rsid w:val="00B12BA8"/>
    <w:rsid w:val="00B20CCF"/>
    <w:rsid w:val="00B23469"/>
    <w:rsid w:val="00B376AE"/>
    <w:rsid w:val="00B44D1E"/>
    <w:rsid w:val="00B46592"/>
    <w:rsid w:val="00B543BA"/>
    <w:rsid w:val="00B76575"/>
    <w:rsid w:val="00B80328"/>
    <w:rsid w:val="00B8061E"/>
    <w:rsid w:val="00B8428E"/>
    <w:rsid w:val="00B86684"/>
    <w:rsid w:val="00B86822"/>
    <w:rsid w:val="00B91E14"/>
    <w:rsid w:val="00B91FCC"/>
    <w:rsid w:val="00B93235"/>
    <w:rsid w:val="00B954F8"/>
    <w:rsid w:val="00BA340C"/>
    <w:rsid w:val="00BA4925"/>
    <w:rsid w:val="00BB4D87"/>
    <w:rsid w:val="00BC383F"/>
    <w:rsid w:val="00BC4AD1"/>
    <w:rsid w:val="00BD373E"/>
    <w:rsid w:val="00BE3429"/>
    <w:rsid w:val="00BE7B91"/>
    <w:rsid w:val="00BF086C"/>
    <w:rsid w:val="00BF4EFC"/>
    <w:rsid w:val="00BF7E3B"/>
    <w:rsid w:val="00C120DF"/>
    <w:rsid w:val="00C25222"/>
    <w:rsid w:val="00C2544C"/>
    <w:rsid w:val="00C3615C"/>
    <w:rsid w:val="00C41CA7"/>
    <w:rsid w:val="00C46347"/>
    <w:rsid w:val="00C47A05"/>
    <w:rsid w:val="00C529FB"/>
    <w:rsid w:val="00C54334"/>
    <w:rsid w:val="00C56400"/>
    <w:rsid w:val="00C5657E"/>
    <w:rsid w:val="00C611F8"/>
    <w:rsid w:val="00C632A7"/>
    <w:rsid w:val="00C66416"/>
    <w:rsid w:val="00C7024C"/>
    <w:rsid w:val="00C85B3B"/>
    <w:rsid w:val="00C873EE"/>
    <w:rsid w:val="00C90839"/>
    <w:rsid w:val="00C91585"/>
    <w:rsid w:val="00C97E1B"/>
    <w:rsid w:val="00CA0F80"/>
    <w:rsid w:val="00CB05DC"/>
    <w:rsid w:val="00CB69C5"/>
    <w:rsid w:val="00CC23BE"/>
    <w:rsid w:val="00CC2921"/>
    <w:rsid w:val="00CC611A"/>
    <w:rsid w:val="00CC6BE7"/>
    <w:rsid w:val="00CD4F6F"/>
    <w:rsid w:val="00CD58F4"/>
    <w:rsid w:val="00CD6962"/>
    <w:rsid w:val="00CE2DBF"/>
    <w:rsid w:val="00CE7C0D"/>
    <w:rsid w:val="00CF31C8"/>
    <w:rsid w:val="00CF4CB0"/>
    <w:rsid w:val="00D040A9"/>
    <w:rsid w:val="00D0590F"/>
    <w:rsid w:val="00D25ED1"/>
    <w:rsid w:val="00D27B00"/>
    <w:rsid w:val="00D27E20"/>
    <w:rsid w:val="00D27ECA"/>
    <w:rsid w:val="00D34176"/>
    <w:rsid w:val="00D4111E"/>
    <w:rsid w:val="00D44CF4"/>
    <w:rsid w:val="00D45FF9"/>
    <w:rsid w:val="00D505E9"/>
    <w:rsid w:val="00D61D16"/>
    <w:rsid w:val="00D61D8E"/>
    <w:rsid w:val="00D6490D"/>
    <w:rsid w:val="00D65062"/>
    <w:rsid w:val="00D6539C"/>
    <w:rsid w:val="00D706E2"/>
    <w:rsid w:val="00D719DF"/>
    <w:rsid w:val="00D72696"/>
    <w:rsid w:val="00D87F80"/>
    <w:rsid w:val="00D90C79"/>
    <w:rsid w:val="00D92B8C"/>
    <w:rsid w:val="00D930DA"/>
    <w:rsid w:val="00D93DB8"/>
    <w:rsid w:val="00D94362"/>
    <w:rsid w:val="00D94CA0"/>
    <w:rsid w:val="00D9631B"/>
    <w:rsid w:val="00DA4DA0"/>
    <w:rsid w:val="00DA52EC"/>
    <w:rsid w:val="00DB06C6"/>
    <w:rsid w:val="00DB17A6"/>
    <w:rsid w:val="00DB4168"/>
    <w:rsid w:val="00DB45F7"/>
    <w:rsid w:val="00DB5037"/>
    <w:rsid w:val="00DC293D"/>
    <w:rsid w:val="00DC4A55"/>
    <w:rsid w:val="00DD4906"/>
    <w:rsid w:val="00DD5D09"/>
    <w:rsid w:val="00DD7869"/>
    <w:rsid w:val="00DE21E8"/>
    <w:rsid w:val="00DE6792"/>
    <w:rsid w:val="00DF0F30"/>
    <w:rsid w:val="00DF2847"/>
    <w:rsid w:val="00DF2BB5"/>
    <w:rsid w:val="00DF3168"/>
    <w:rsid w:val="00DF4649"/>
    <w:rsid w:val="00DF47D4"/>
    <w:rsid w:val="00DF54BF"/>
    <w:rsid w:val="00DF7EA1"/>
    <w:rsid w:val="00E00105"/>
    <w:rsid w:val="00E01020"/>
    <w:rsid w:val="00E03DC7"/>
    <w:rsid w:val="00E05418"/>
    <w:rsid w:val="00E065E6"/>
    <w:rsid w:val="00E10DBA"/>
    <w:rsid w:val="00E14BDB"/>
    <w:rsid w:val="00E203D6"/>
    <w:rsid w:val="00E23AE0"/>
    <w:rsid w:val="00E24ECC"/>
    <w:rsid w:val="00E32482"/>
    <w:rsid w:val="00E33DD3"/>
    <w:rsid w:val="00E4260B"/>
    <w:rsid w:val="00E4637A"/>
    <w:rsid w:val="00E517BB"/>
    <w:rsid w:val="00E5301A"/>
    <w:rsid w:val="00E542D8"/>
    <w:rsid w:val="00E570DC"/>
    <w:rsid w:val="00E62BCF"/>
    <w:rsid w:val="00E65A66"/>
    <w:rsid w:val="00E777DF"/>
    <w:rsid w:val="00E803F6"/>
    <w:rsid w:val="00E80B48"/>
    <w:rsid w:val="00E81ACB"/>
    <w:rsid w:val="00E8448E"/>
    <w:rsid w:val="00E84DB6"/>
    <w:rsid w:val="00E86E60"/>
    <w:rsid w:val="00EA14C0"/>
    <w:rsid w:val="00EB085C"/>
    <w:rsid w:val="00ED04A5"/>
    <w:rsid w:val="00ED2FFF"/>
    <w:rsid w:val="00EE2BC2"/>
    <w:rsid w:val="00EE40B0"/>
    <w:rsid w:val="00EE40CC"/>
    <w:rsid w:val="00EE4124"/>
    <w:rsid w:val="00EE4847"/>
    <w:rsid w:val="00EE4D4F"/>
    <w:rsid w:val="00EF190C"/>
    <w:rsid w:val="00EF4A44"/>
    <w:rsid w:val="00F057E5"/>
    <w:rsid w:val="00F072C0"/>
    <w:rsid w:val="00F16ADC"/>
    <w:rsid w:val="00F21D70"/>
    <w:rsid w:val="00F235C9"/>
    <w:rsid w:val="00F27BF6"/>
    <w:rsid w:val="00F3179C"/>
    <w:rsid w:val="00F321B7"/>
    <w:rsid w:val="00F33F76"/>
    <w:rsid w:val="00F3416D"/>
    <w:rsid w:val="00F4014F"/>
    <w:rsid w:val="00F40359"/>
    <w:rsid w:val="00F4386D"/>
    <w:rsid w:val="00F55267"/>
    <w:rsid w:val="00F55BA6"/>
    <w:rsid w:val="00F73E2A"/>
    <w:rsid w:val="00F76ABE"/>
    <w:rsid w:val="00F86E67"/>
    <w:rsid w:val="00F94293"/>
    <w:rsid w:val="00F96F0F"/>
    <w:rsid w:val="00F97C11"/>
    <w:rsid w:val="00FA1543"/>
    <w:rsid w:val="00FA20F3"/>
    <w:rsid w:val="00FA3A0D"/>
    <w:rsid w:val="00FA525C"/>
    <w:rsid w:val="00FA5CA3"/>
    <w:rsid w:val="00FB11BF"/>
    <w:rsid w:val="00FB2B19"/>
    <w:rsid w:val="00FC1CFE"/>
    <w:rsid w:val="00FD2EB6"/>
    <w:rsid w:val="00FD45EC"/>
    <w:rsid w:val="00FE1A2B"/>
    <w:rsid w:val="00FE3615"/>
    <w:rsid w:val="00FE5750"/>
    <w:rsid w:val="00FE7840"/>
    <w:rsid w:val="00FF2B36"/>
    <w:rsid w:val="00FF4D92"/>
    <w:rsid w:val="00FF5632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26014-7BAB-4D77-A831-73FF28337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E1D4C-5B79-440D-935F-D16CCF1DACB2}"/>
</file>

<file path=customXml/itemProps3.xml><?xml version="1.0" encoding="utf-8"?>
<ds:datastoreItem xmlns:ds="http://schemas.openxmlformats.org/officeDocument/2006/customXml" ds:itemID="{03FCA854-45F3-4A10-998F-6FA9600E7C27}"/>
</file>

<file path=customXml/itemProps4.xml><?xml version="1.0" encoding="utf-8"?>
<ds:datastoreItem xmlns:ds="http://schemas.openxmlformats.org/officeDocument/2006/customXml" ds:itemID="{6B4725B5-DE12-4236-A351-6A0B9C623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Thumma, Sam</cp:lastModifiedBy>
  <cp:revision>18</cp:revision>
  <cp:lastPrinted>2026-04-28T19:40:00Z</cp:lastPrinted>
  <dcterms:created xsi:type="dcterms:W3CDTF">2026-04-28T21:10:00Z</dcterms:created>
  <dcterms:modified xsi:type="dcterms:W3CDTF">2026-04-28T21:28:00Z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0x010100BE1908DCF6E0674D9FE2E4BCA00F3807</vt:lpwstr>
  </property>
</Properties>
</file>