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DD7B" w14:textId="77777777" w:rsidR="00DB6885" w:rsidRPr="002749B3" w:rsidRDefault="00DB6885" w:rsidP="00DB6885">
      <w:pPr>
        <w:spacing w:after="0" w:line="240" w:lineRule="auto"/>
        <w:jc w:val="center"/>
        <w:rPr>
          <w:rFonts w:eastAsia="Aptos"/>
          <w:b/>
          <w:bCs/>
          <w:color w:val="000000" w:themeColor="text1"/>
          <w:kern w:val="0"/>
          <w14:ligatures w14:val="none"/>
        </w:rPr>
      </w:pPr>
      <w:r w:rsidRPr="002749B3">
        <w:rPr>
          <w:rFonts w:eastAsia="Aptos"/>
          <w:b/>
          <w:bCs/>
          <w:color w:val="000000" w:themeColor="text1"/>
          <w:kern w:val="0"/>
          <w14:ligatures w14:val="none"/>
        </w:rPr>
        <w:t>IN THE ARIZONA SUPREME COURT</w:t>
      </w:r>
    </w:p>
    <w:p w14:paraId="36FFA933" w14:textId="77777777" w:rsidR="00DB6885" w:rsidRPr="002749B3" w:rsidRDefault="00DB6885" w:rsidP="00DB6885">
      <w:pPr>
        <w:spacing w:after="0" w:line="240" w:lineRule="auto"/>
        <w:jc w:val="both"/>
        <w:rPr>
          <w:rFonts w:eastAsia="Aptos"/>
          <w:color w:val="000000" w:themeColor="text1"/>
          <w:kern w:val="0"/>
          <w14:ligatures w14:val="none"/>
        </w:rPr>
      </w:pPr>
    </w:p>
    <w:p w14:paraId="090AEA90" w14:textId="77777777" w:rsidR="00DB6885" w:rsidRPr="002749B3" w:rsidRDefault="00DB6885" w:rsidP="00DB6885">
      <w:pPr>
        <w:spacing w:after="0" w:line="240" w:lineRule="auto"/>
        <w:jc w:val="both"/>
        <w:rPr>
          <w:rFonts w:eastAsia="Aptos"/>
          <w:color w:val="000000" w:themeColor="text1"/>
          <w:kern w:val="0"/>
          <w14:ligatures w14:val="none"/>
        </w:rPr>
      </w:pPr>
    </w:p>
    <w:p w14:paraId="02D55269" w14:textId="77777777" w:rsidR="00DB6885" w:rsidRPr="002749B3" w:rsidRDefault="00DB6885" w:rsidP="00DB6885">
      <w:pPr>
        <w:spacing w:after="0" w:line="240" w:lineRule="auto"/>
        <w:jc w:val="both"/>
        <w:rPr>
          <w:rFonts w:eastAsia="Aptos"/>
          <w:color w:val="000000" w:themeColor="text1"/>
          <w:kern w:val="0"/>
          <w14:ligatures w14:val="none"/>
        </w:rPr>
      </w:pPr>
      <w:r w:rsidRPr="002749B3">
        <w:rPr>
          <w:rFonts w:eastAsia="Aptos"/>
          <w:color w:val="000000" w:themeColor="text1"/>
          <w:kern w:val="0"/>
          <w14:ligatures w14:val="none"/>
        </w:rPr>
        <w:t xml:space="preserve">In the Matter of: </w:t>
      </w:r>
      <w:r w:rsidRPr="002749B3">
        <w:rPr>
          <w:rFonts w:eastAsia="Aptos"/>
          <w:color w:val="000000" w:themeColor="text1"/>
          <w:kern w:val="0"/>
          <w14:ligatures w14:val="none"/>
        </w:rPr>
        <w:tab/>
      </w:r>
      <w:r w:rsidRPr="002749B3">
        <w:rPr>
          <w:rFonts w:eastAsia="Aptos"/>
          <w:color w:val="000000" w:themeColor="text1"/>
          <w:kern w:val="0"/>
          <w14:ligatures w14:val="none"/>
        </w:rPr>
        <w:tab/>
      </w:r>
      <w:r w:rsidRPr="002749B3">
        <w:rPr>
          <w:rFonts w:eastAsia="Aptos"/>
          <w:color w:val="000000" w:themeColor="text1"/>
          <w:kern w:val="0"/>
          <w14:ligatures w14:val="none"/>
        </w:rPr>
        <w:tab/>
      </w:r>
      <w:r w:rsidRPr="002749B3">
        <w:rPr>
          <w:rFonts w:eastAsia="Aptos"/>
          <w:color w:val="000000" w:themeColor="text1"/>
          <w:kern w:val="0"/>
          <w14:ligatures w14:val="none"/>
        </w:rPr>
        <w:tab/>
        <w:t>)</w:t>
      </w:r>
      <w:r w:rsidRPr="002749B3">
        <w:rPr>
          <w:rFonts w:eastAsia="Aptos"/>
          <w:color w:val="000000" w:themeColor="text1"/>
          <w:kern w:val="0"/>
          <w14:ligatures w14:val="none"/>
        </w:rPr>
        <w:tab/>
      </w:r>
    </w:p>
    <w:p w14:paraId="4CC72D2F" w14:textId="77777777" w:rsidR="00DB6885" w:rsidRPr="002749B3" w:rsidRDefault="00DB6885" w:rsidP="00DB6885">
      <w:pPr>
        <w:spacing w:after="0" w:line="240" w:lineRule="auto"/>
        <w:jc w:val="both"/>
        <w:rPr>
          <w:rFonts w:eastAsia="Aptos"/>
          <w:color w:val="000000" w:themeColor="text1"/>
          <w:kern w:val="0"/>
          <w14:ligatures w14:val="none"/>
        </w:rPr>
      </w:pPr>
      <w:r w:rsidRPr="002749B3">
        <w:rPr>
          <w:rFonts w:eastAsia="Aptos"/>
          <w:color w:val="000000" w:themeColor="text1"/>
          <w:kern w:val="0"/>
          <w14:ligatures w14:val="none"/>
        </w:rPr>
        <w:tab/>
      </w:r>
      <w:r w:rsidRPr="002749B3">
        <w:rPr>
          <w:rFonts w:eastAsia="Aptos"/>
          <w:color w:val="000000" w:themeColor="text1"/>
          <w:kern w:val="0"/>
          <w14:ligatures w14:val="none"/>
        </w:rPr>
        <w:tab/>
      </w:r>
      <w:r w:rsidRPr="002749B3">
        <w:rPr>
          <w:rFonts w:eastAsia="Aptos"/>
          <w:color w:val="000000" w:themeColor="text1"/>
          <w:kern w:val="0"/>
          <w14:ligatures w14:val="none"/>
        </w:rPr>
        <w:tab/>
      </w:r>
      <w:r w:rsidRPr="002749B3">
        <w:rPr>
          <w:rFonts w:eastAsia="Aptos"/>
          <w:color w:val="000000" w:themeColor="text1"/>
          <w:kern w:val="0"/>
          <w14:ligatures w14:val="none"/>
        </w:rPr>
        <w:tab/>
      </w:r>
      <w:r w:rsidRPr="002749B3">
        <w:rPr>
          <w:rFonts w:eastAsia="Aptos"/>
          <w:color w:val="000000" w:themeColor="text1"/>
          <w:kern w:val="0"/>
          <w14:ligatures w14:val="none"/>
        </w:rPr>
        <w:tab/>
      </w:r>
      <w:r w:rsidRPr="002749B3">
        <w:rPr>
          <w:rFonts w:eastAsia="Aptos"/>
          <w:color w:val="000000" w:themeColor="text1"/>
          <w:kern w:val="0"/>
          <w14:ligatures w14:val="none"/>
        </w:rPr>
        <w:tab/>
        <w:t>)</w:t>
      </w:r>
      <w:r w:rsidRPr="002749B3">
        <w:rPr>
          <w:rFonts w:eastAsia="Aptos"/>
          <w:color w:val="000000" w:themeColor="text1"/>
          <w:kern w:val="0"/>
          <w14:ligatures w14:val="none"/>
        </w:rPr>
        <w:tab/>
        <w:t>Supreme Court No. R-26-0005</w:t>
      </w:r>
    </w:p>
    <w:p w14:paraId="101D2FE8" w14:textId="77777777" w:rsidR="00DB6885" w:rsidRPr="002749B3" w:rsidRDefault="00DB6885" w:rsidP="00DB6885">
      <w:pPr>
        <w:spacing w:after="0" w:line="240" w:lineRule="auto"/>
        <w:jc w:val="both"/>
        <w:rPr>
          <w:rFonts w:eastAsia="Aptos"/>
          <w:color w:val="000000" w:themeColor="text1"/>
          <w:kern w:val="0"/>
          <w14:ligatures w14:val="none"/>
        </w:rPr>
      </w:pPr>
      <w:r w:rsidRPr="002749B3">
        <w:rPr>
          <w:rFonts w:eastAsia="Aptos"/>
          <w:color w:val="000000" w:themeColor="text1"/>
          <w:kern w:val="0"/>
          <w14:ligatures w14:val="none"/>
        </w:rPr>
        <w:tab/>
      </w:r>
      <w:r w:rsidRPr="002749B3">
        <w:rPr>
          <w:rFonts w:eastAsia="Aptos"/>
          <w:color w:val="000000" w:themeColor="text1"/>
          <w:kern w:val="0"/>
          <w14:ligatures w14:val="none"/>
        </w:rPr>
        <w:tab/>
      </w:r>
      <w:r w:rsidRPr="002749B3">
        <w:rPr>
          <w:rFonts w:eastAsia="Aptos"/>
          <w:color w:val="000000" w:themeColor="text1"/>
          <w:kern w:val="0"/>
          <w14:ligatures w14:val="none"/>
        </w:rPr>
        <w:tab/>
      </w:r>
      <w:r w:rsidRPr="002749B3">
        <w:rPr>
          <w:rFonts w:eastAsia="Aptos"/>
          <w:color w:val="000000" w:themeColor="text1"/>
          <w:kern w:val="0"/>
          <w14:ligatures w14:val="none"/>
        </w:rPr>
        <w:tab/>
      </w:r>
      <w:r w:rsidRPr="002749B3">
        <w:rPr>
          <w:rFonts w:eastAsia="Aptos"/>
          <w:color w:val="000000" w:themeColor="text1"/>
          <w:kern w:val="0"/>
          <w14:ligatures w14:val="none"/>
        </w:rPr>
        <w:tab/>
      </w:r>
      <w:r w:rsidRPr="002749B3">
        <w:rPr>
          <w:rFonts w:eastAsia="Aptos"/>
          <w:color w:val="000000" w:themeColor="text1"/>
          <w:kern w:val="0"/>
          <w14:ligatures w14:val="none"/>
        </w:rPr>
        <w:tab/>
        <w:t>)</w:t>
      </w:r>
    </w:p>
    <w:p w14:paraId="4AC39ADE" w14:textId="77777777" w:rsidR="00DB6885" w:rsidRPr="002749B3" w:rsidRDefault="00DB6885" w:rsidP="00DB6885">
      <w:pPr>
        <w:spacing w:after="0" w:line="240" w:lineRule="auto"/>
        <w:jc w:val="both"/>
        <w:rPr>
          <w:rFonts w:eastAsia="Aptos"/>
          <w:color w:val="000000" w:themeColor="text1"/>
          <w:kern w:val="0"/>
          <w14:ligatures w14:val="none"/>
        </w:rPr>
      </w:pPr>
      <w:r w:rsidRPr="002749B3">
        <w:rPr>
          <w:rFonts w:eastAsia="Aptos"/>
          <w:color w:val="000000" w:themeColor="text1"/>
          <w:kern w:val="0"/>
          <w14:ligatures w14:val="none"/>
        </w:rPr>
        <w:t>PETITION TO AMEND</w:t>
      </w:r>
      <w:r w:rsidRPr="002749B3">
        <w:rPr>
          <w:rFonts w:eastAsia="Aptos"/>
          <w:color w:val="000000" w:themeColor="text1"/>
          <w:kern w:val="0"/>
          <w14:ligatures w14:val="none"/>
        </w:rPr>
        <w:tab/>
        <w:t>RULES</w:t>
      </w:r>
      <w:r w:rsidRPr="002749B3">
        <w:rPr>
          <w:rFonts w:eastAsia="Aptos"/>
          <w:color w:val="000000" w:themeColor="text1"/>
          <w:kern w:val="0"/>
          <w14:ligatures w14:val="none"/>
        </w:rPr>
        <w:tab/>
        <w:t>)</w:t>
      </w:r>
    </w:p>
    <w:p w14:paraId="4D190A58" w14:textId="77777777" w:rsidR="00DB6885" w:rsidRPr="002749B3" w:rsidRDefault="00DB6885" w:rsidP="00DB6885">
      <w:pPr>
        <w:spacing w:after="0" w:line="240" w:lineRule="auto"/>
        <w:jc w:val="both"/>
        <w:rPr>
          <w:rFonts w:eastAsia="Aptos"/>
          <w:color w:val="000000" w:themeColor="text1"/>
          <w:kern w:val="0"/>
          <w14:ligatures w14:val="none"/>
        </w:rPr>
      </w:pPr>
      <w:r w:rsidRPr="002749B3">
        <w:rPr>
          <w:rFonts w:eastAsia="Aptos"/>
          <w:color w:val="000000" w:themeColor="text1"/>
          <w:kern w:val="0"/>
          <w14:ligatures w14:val="none"/>
        </w:rPr>
        <w:t>32.4 AND 33.4 OF THE RULES</w:t>
      </w:r>
      <w:r w:rsidRPr="002749B3">
        <w:rPr>
          <w:rFonts w:eastAsia="Aptos"/>
          <w:color w:val="000000" w:themeColor="text1"/>
          <w:kern w:val="0"/>
          <w14:ligatures w14:val="none"/>
        </w:rPr>
        <w:tab/>
        <w:t>)</w:t>
      </w:r>
    </w:p>
    <w:p w14:paraId="54AEA7B0" w14:textId="77777777" w:rsidR="00DB6885" w:rsidRPr="002749B3" w:rsidRDefault="00DB6885" w:rsidP="00DB6885">
      <w:pPr>
        <w:spacing w:after="0" w:line="240" w:lineRule="auto"/>
        <w:jc w:val="both"/>
        <w:rPr>
          <w:rFonts w:eastAsia="Aptos"/>
          <w:color w:val="000000" w:themeColor="text1"/>
          <w:kern w:val="0"/>
          <w14:ligatures w14:val="none"/>
        </w:rPr>
      </w:pPr>
      <w:r w:rsidRPr="002749B3">
        <w:rPr>
          <w:rFonts w:eastAsia="Aptos"/>
          <w:color w:val="000000" w:themeColor="text1"/>
          <w:kern w:val="0"/>
          <w14:ligatures w14:val="none"/>
        </w:rPr>
        <w:t>OF CRIMINAL PROCEDURE</w:t>
      </w:r>
      <w:r w:rsidRPr="002749B3">
        <w:rPr>
          <w:rFonts w:eastAsia="Aptos"/>
          <w:color w:val="000000" w:themeColor="text1"/>
          <w:kern w:val="0"/>
          <w14:ligatures w14:val="none"/>
        </w:rPr>
        <w:tab/>
      </w:r>
      <w:r w:rsidRPr="002749B3">
        <w:rPr>
          <w:rFonts w:eastAsia="Aptos"/>
          <w:color w:val="000000" w:themeColor="text1"/>
          <w:kern w:val="0"/>
          <w14:ligatures w14:val="none"/>
        </w:rPr>
        <w:tab/>
        <w:t>)</w:t>
      </w:r>
    </w:p>
    <w:p w14:paraId="4B63DCFC" w14:textId="77777777" w:rsidR="00DB6885" w:rsidRPr="002749B3" w:rsidRDefault="00DB6885" w:rsidP="00DB6885">
      <w:pPr>
        <w:spacing w:after="0" w:line="240" w:lineRule="auto"/>
        <w:jc w:val="both"/>
        <w:rPr>
          <w:rFonts w:eastAsia="Aptos"/>
          <w:color w:val="000000" w:themeColor="text1"/>
          <w:kern w:val="0"/>
          <w14:ligatures w14:val="none"/>
        </w:rPr>
      </w:pPr>
      <w:r w:rsidRPr="002749B3">
        <w:rPr>
          <w:rFonts w:eastAsia="Aptos"/>
          <w:color w:val="000000" w:themeColor="text1"/>
          <w:kern w:val="0"/>
          <w14:ligatures w14:val="none"/>
        </w:rPr>
        <w:tab/>
      </w:r>
      <w:r w:rsidRPr="002749B3">
        <w:rPr>
          <w:rFonts w:eastAsia="Aptos"/>
          <w:color w:val="000000" w:themeColor="text1"/>
          <w:kern w:val="0"/>
          <w14:ligatures w14:val="none"/>
        </w:rPr>
        <w:tab/>
      </w:r>
      <w:r w:rsidRPr="002749B3">
        <w:rPr>
          <w:rFonts w:eastAsia="Aptos"/>
          <w:color w:val="000000" w:themeColor="text1"/>
          <w:kern w:val="0"/>
          <w14:ligatures w14:val="none"/>
        </w:rPr>
        <w:tab/>
      </w:r>
      <w:r w:rsidRPr="002749B3">
        <w:rPr>
          <w:rFonts w:eastAsia="Aptos"/>
          <w:color w:val="000000" w:themeColor="text1"/>
          <w:kern w:val="0"/>
          <w14:ligatures w14:val="none"/>
        </w:rPr>
        <w:tab/>
      </w:r>
      <w:r w:rsidRPr="002749B3">
        <w:rPr>
          <w:rFonts w:eastAsia="Aptos"/>
          <w:color w:val="000000" w:themeColor="text1"/>
          <w:kern w:val="0"/>
          <w14:ligatures w14:val="none"/>
        </w:rPr>
        <w:tab/>
      </w:r>
      <w:r w:rsidRPr="002749B3">
        <w:rPr>
          <w:rFonts w:eastAsia="Aptos"/>
          <w:color w:val="000000" w:themeColor="text1"/>
          <w:kern w:val="0"/>
          <w14:ligatures w14:val="none"/>
        </w:rPr>
        <w:tab/>
        <w:t>)</w:t>
      </w:r>
    </w:p>
    <w:p w14:paraId="5121856A" w14:textId="77777777" w:rsidR="00DB6885" w:rsidRPr="002749B3" w:rsidRDefault="00DB6885" w:rsidP="00DB6885">
      <w:pPr>
        <w:spacing w:after="0" w:line="240" w:lineRule="auto"/>
        <w:jc w:val="both"/>
        <w:rPr>
          <w:rFonts w:eastAsia="Aptos"/>
          <w:color w:val="000000" w:themeColor="text1"/>
          <w:kern w:val="0"/>
          <w14:ligatures w14:val="none"/>
        </w:rPr>
      </w:pPr>
      <w:r w:rsidRPr="002749B3">
        <w:rPr>
          <w:rFonts w:eastAsia="Aptos"/>
          <w:color w:val="000000" w:themeColor="text1"/>
          <w:kern w:val="0"/>
          <w:u w:val="single"/>
          <w14:ligatures w14:val="none"/>
        </w:rPr>
        <w:tab/>
      </w:r>
      <w:r w:rsidRPr="002749B3">
        <w:rPr>
          <w:rFonts w:eastAsia="Aptos"/>
          <w:color w:val="000000" w:themeColor="text1"/>
          <w:kern w:val="0"/>
          <w:u w:val="single"/>
          <w14:ligatures w14:val="none"/>
        </w:rPr>
        <w:tab/>
      </w:r>
      <w:r w:rsidRPr="002749B3">
        <w:rPr>
          <w:rFonts w:eastAsia="Aptos"/>
          <w:color w:val="000000" w:themeColor="text1"/>
          <w:kern w:val="0"/>
          <w:u w:val="single"/>
          <w14:ligatures w14:val="none"/>
        </w:rPr>
        <w:tab/>
      </w:r>
      <w:r w:rsidRPr="002749B3">
        <w:rPr>
          <w:rFonts w:eastAsia="Aptos"/>
          <w:color w:val="000000" w:themeColor="text1"/>
          <w:kern w:val="0"/>
          <w:u w:val="single"/>
          <w14:ligatures w14:val="none"/>
        </w:rPr>
        <w:tab/>
      </w:r>
      <w:r w:rsidRPr="002749B3">
        <w:rPr>
          <w:rFonts w:eastAsia="Aptos"/>
          <w:color w:val="000000" w:themeColor="text1"/>
          <w:kern w:val="0"/>
          <w:u w:val="single"/>
          <w14:ligatures w14:val="none"/>
        </w:rPr>
        <w:tab/>
      </w:r>
      <w:r w:rsidRPr="002749B3">
        <w:rPr>
          <w:rFonts w:eastAsia="Aptos"/>
          <w:color w:val="000000" w:themeColor="text1"/>
          <w:kern w:val="0"/>
          <w:u w:val="single"/>
          <w14:ligatures w14:val="none"/>
        </w:rPr>
        <w:tab/>
      </w:r>
      <w:r w:rsidRPr="002749B3">
        <w:rPr>
          <w:rFonts w:eastAsia="Aptos"/>
          <w:color w:val="000000" w:themeColor="text1"/>
          <w:kern w:val="0"/>
          <w14:ligatures w14:val="none"/>
        </w:rPr>
        <w:t>)</w:t>
      </w:r>
    </w:p>
    <w:p w14:paraId="0E08137F" w14:textId="77777777" w:rsidR="00DB6885" w:rsidRPr="002749B3" w:rsidRDefault="00DB6885" w:rsidP="00DB6885">
      <w:pPr>
        <w:spacing w:after="0" w:line="240" w:lineRule="auto"/>
        <w:jc w:val="both"/>
        <w:rPr>
          <w:rFonts w:eastAsia="Aptos"/>
          <w:color w:val="000000" w:themeColor="text1"/>
          <w:kern w:val="0"/>
          <w14:ligatures w14:val="none"/>
        </w:rPr>
      </w:pPr>
    </w:p>
    <w:p w14:paraId="66E09666" w14:textId="77777777" w:rsidR="00DB6885" w:rsidRPr="002749B3" w:rsidRDefault="00DB6885" w:rsidP="00DB6885">
      <w:pPr>
        <w:spacing w:after="0" w:line="480" w:lineRule="auto"/>
        <w:jc w:val="center"/>
        <w:rPr>
          <w:rFonts w:eastAsia="Aptos"/>
          <w:b/>
          <w:bCs/>
          <w:color w:val="000000" w:themeColor="text1"/>
          <w:kern w:val="0"/>
          <w14:ligatures w14:val="none"/>
        </w:rPr>
      </w:pPr>
    </w:p>
    <w:p w14:paraId="50F6A7C9" w14:textId="77777777" w:rsidR="00DB6885" w:rsidRPr="002749B3" w:rsidRDefault="00DB6885" w:rsidP="00DB6885">
      <w:pPr>
        <w:spacing w:after="0" w:line="240" w:lineRule="auto"/>
        <w:jc w:val="center"/>
        <w:rPr>
          <w:rFonts w:eastAsia="Aptos"/>
          <w:b/>
          <w:bCs/>
          <w:color w:val="000000" w:themeColor="text1"/>
          <w:kern w:val="0"/>
          <w14:ligatures w14:val="none"/>
        </w:rPr>
      </w:pPr>
      <w:r w:rsidRPr="002749B3">
        <w:rPr>
          <w:rFonts w:eastAsia="Aptos"/>
          <w:b/>
          <w:bCs/>
          <w:color w:val="000000" w:themeColor="text1"/>
          <w:kern w:val="0"/>
          <w14:ligatures w14:val="none"/>
        </w:rPr>
        <w:t xml:space="preserve">Comment of </w:t>
      </w:r>
    </w:p>
    <w:p w14:paraId="218FB6F8" w14:textId="77777777" w:rsidR="00DB6885" w:rsidRPr="002749B3" w:rsidRDefault="00DB6885" w:rsidP="00DB6885">
      <w:pPr>
        <w:spacing w:after="0" w:line="240" w:lineRule="auto"/>
        <w:jc w:val="center"/>
        <w:rPr>
          <w:rFonts w:eastAsia="Aptos"/>
          <w:b/>
          <w:bCs/>
          <w:color w:val="000000" w:themeColor="text1"/>
          <w:kern w:val="0"/>
          <w14:ligatures w14:val="none"/>
        </w:rPr>
      </w:pPr>
      <w:r w:rsidRPr="002749B3">
        <w:rPr>
          <w:rFonts w:eastAsia="Aptos"/>
          <w:b/>
          <w:bCs/>
          <w:color w:val="000000" w:themeColor="text1"/>
          <w:kern w:val="0"/>
          <w14:ligatures w14:val="none"/>
        </w:rPr>
        <w:t>Arizona Attorneys for Criminal Justice</w:t>
      </w:r>
    </w:p>
    <w:p w14:paraId="216AFF9E" w14:textId="77777777" w:rsidR="00DB6885" w:rsidRPr="002749B3" w:rsidRDefault="00DB6885" w:rsidP="00DB6885">
      <w:pPr>
        <w:spacing w:after="0" w:line="240" w:lineRule="auto"/>
        <w:jc w:val="center"/>
        <w:rPr>
          <w:rFonts w:eastAsia="Aptos"/>
          <w:b/>
          <w:bCs/>
          <w:color w:val="000000" w:themeColor="text1"/>
          <w:kern w:val="0"/>
          <w14:ligatures w14:val="none"/>
        </w:rPr>
      </w:pPr>
      <w:r w:rsidRPr="002749B3">
        <w:rPr>
          <w:rFonts w:eastAsia="Aptos"/>
          <w:b/>
          <w:bCs/>
          <w:color w:val="000000" w:themeColor="text1"/>
          <w:kern w:val="0"/>
          <w14:ligatures w14:val="none"/>
        </w:rPr>
        <w:t xml:space="preserve">in Response to Petition to Amend Rules 32.4 and 33.4 of the </w:t>
      </w:r>
    </w:p>
    <w:p w14:paraId="20DD1ABB" w14:textId="77777777" w:rsidR="00DB6885" w:rsidRPr="002749B3" w:rsidRDefault="00DB6885" w:rsidP="00DB6885">
      <w:pPr>
        <w:spacing w:after="0" w:line="240" w:lineRule="auto"/>
        <w:jc w:val="center"/>
        <w:rPr>
          <w:rFonts w:eastAsia="Aptos"/>
          <w:b/>
          <w:bCs/>
          <w:color w:val="000000" w:themeColor="text1"/>
          <w:kern w:val="0"/>
          <w14:ligatures w14:val="none"/>
        </w:rPr>
      </w:pPr>
      <w:r w:rsidRPr="002749B3">
        <w:rPr>
          <w:rFonts w:eastAsia="Aptos"/>
          <w:b/>
          <w:bCs/>
          <w:color w:val="000000" w:themeColor="text1"/>
          <w:kern w:val="0"/>
          <w14:ligatures w14:val="none"/>
        </w:rPr>
        <w:t>Arizona Rules of Criminal Procedure</w:t>
      </w:r>
    </w:p>
    <w:p w14:paraId="5D57329A" w14:textId="77777777" w:rsidR="00DB6885" w:rsidRPr="002749B3" w:rsidRDefault="00DB6885" w:rsidP="00DB6885">
      <w:pPr>
        <w:spacing w:after="0" w:line="240" w:lineRule="auto"/>
        <w:jc w:val="both"/>
        <w:rPr>
          <w:rFonts w:eastAsia="Aptos"/>
          <w:b/>
          <w:bCs/>
          <w:color w:val="000000" w:themeColor="text1"/>
          <w:kern w:val="0"/>
          <w14:ligatures w14:val="none"/>
        </w:rPr>
      </w:pPr>
    </w:p>
    <w:p w14:paraId="753D2066" w14:textId="77777777" w:rsidR="00DB6885" w:rsidRPr="002749B3" w:rsidRDefault="00DB6885" w:rsidP="00DB6885">
      <w:pPr>
        <w:spacing w:after="0" w:line="240" w:lineRule="auto"/>
        <w:jc w:val="both"/>
        <w:rPr>
          <w:rFonts w:eastAsia="Aptos"/>
          <w:b/>
          <w:bCs/>
          <w:color w:val="000000" w:themeColor="text1"/>
          <w:kern w:val="0"/>
          <w14:ligatures w14:val="none"/>
        </w:rPr>
      </w:pPr>
    </w:p>
    <w:p w14:paraId="4510DCD2" w14:textId="77777777" w:rsidR="00DB6885" w:rsidRPr="002749B3" w:rsidRDefault="00DB6885" w:rsidP="00DB6885">
      <w:pPr>
        <w:spacing w:after="0" w:line="240" w:lineRule="auto"/>
        <w:jc w:val="both"/>
        <w:rPr>
          <w:rFonts w:eastAsia="Aptos"/>
          <w:b/>
          <w:bCs/>
          <w:color w:val="000000" w:themeColor="text1"/>
          <w:kern w:val="0"/>
          <w14:ligatures w14:val="none"/>
        </w:rPr>
      </w:pPr>
    </w:p>
    <w:p w14:paraId="2FD0CC22" w14:textId="1A5C3AC7" w:rsidR="004F29FB" w:rsidRPr="002749B3" w:rsidRDefault="004F29FB" w:rsidP="002749B3">
      <w:pPr>
        <w:tabs>
          <w:tab w:val="left" w:pos="3600"/>
          <w:tab w:val="left" w:pos="6750"/>
        </w:tabs>
        <w:spacing w:after="0" w:line="240" w:lineRule="auto"/>
        <w:jc w:val="both"/>
        <w:rPr>
          <w:rFonts w:eastAsia="Aptos"/>
          <w:b/>
          <w:bCs/>
          <w:color w:val="000000" w:themeColor="text1"/>
          <w:kern w:val="0"/>
          <w14:ligatures w14:val="none"/>
        </w:rPr>
      </w:pPr>
      <w:r w:rsidRPr="002749B3">
        <w:rPr>
          <w:rFonts w:eastAsia="Aptos"/>
          <w:b/>
          <w:bCs/>
          <w:color w:val="000000" w:themeColor="text1"/>
          <w:kern w:val="0"/>
          <w14:ligatures w14:val="none"/>
        </w:rPr>
        <w:t>Grace Guisewite</w:t>
      </w:r>
      <w:r w:rsidRPr="002749B3">
        <w:rPr>
          <w:rFonts w:eastAsia="Aptos"/>
          <w:b/>
          <w:bCs/>
          <w:color w:val="000000" w:themeColor="text1"/>
          <w:kern w:val="0"/>
          <w14:ligatures w14:val="none"/>
        </w:rPr>
        <w:tab/>
        <w:t>Seth Apfel</w:t>
      </w:r>
      <w:r w:rsidRPr="002749B3">
        <w:rPr>
          <w:rFonts w:eastAsia="Aptos"/>
          <w:b/>
          <w:bCs/>
          <w:color w:val="000000" w:themeColor="text1"/>
          <w:kern w:val="0"/>
          <w14:ligatures w14:val="none"/>
        </w:rPr>
        <w:tab/>
        <w:t xml:space="preserve">Karen </w:t>
      </w:r>
      <w:r w:rsidR="00BB10CA" w:rsidRPr="002749B3">
        <w:rPr>
          <w:rFonts w:eastAsia="Aptos"/>
          <w:b/>
          <w:bCs/>
          <w:color w:val="000000" w:themeColor="text1"/>
          <w:kern w:val="0"/>
          <w14:ligatures w14:val="none"/>
        </w:rPr>
        <w:t xml:space="preserve">S. </w:t>
      </w:r>
      <w:r w:rsidRPr="002749B3">
        <w:rPr>
          <w:rFonts w:eastAsia="Aptos"/>
          <w:b/>
          <w:bCs/>
          <w:color w:val="000000" w:themeColor="text1"/>
          <w:kern w:val="0"/>
          <w14:ligatures w14:val="none"/>
        </w:rPr>
        <w:t>Smith</w:t>
      </w:r>
    </w:p>
    <w:p w14:paraId="7833F769" w14:textId="2B0B5D2C" w:rsidR="004F29FB" w:rsidRPr="002749B3" w:rsidRDefault="004F29FB" w:rsidP="002749B3">
      <w:pPr>
        <w:tabs>
          <w:tab w:val="left" w:pos="3600"/>
          <w:tab w:val="left" w:pos="6750"/>
        </w:tabs>
        <w:spacing w:after="0" w:line="240" w:lineRule="auto"/>
        <w:jc w:val="both"/>
        <w:rPr>
          <w:rFonts w:eastAsia="Aptos"/>
          <w:color w:val="000000" w:themeColor="text1"/>
          <w:kern w:val="0"/>
          <w14:ligatures w14:val="none"/>
        </w:rPr>
      </w:pPr>
      <w:r w:rsidRPr="002749B3">
        <w:rPr>
          <w:rFonts w:eastAsia="Aptos"/>
          <w:color w:val="000000" w:themeColor="text1"/>
          <w:kern w:val="0"/>
          <w14:ligatures w14:val="none"/>
        </w:rPr>
        <w:t>AZ Bar No. 02953</w:t>
      </w:r>
      <w:r w:rsidR="00356A79">
        <w:rPr>
          <w:rFonts w:eastAsia="Aptos"/>
          <w:color w:val="000000" w:themeColor="text1"/>
          <w:kern w:val="0"/>
          <w14:ligatures w14:val="none"/>
        </w:rPr>
        <w:t>6</w:t>
      </w:r>
      <w:r w:rsidR="002749B3" w:rsidRPr="002749B3">
        <w:rPr>
          <w:rFonts w:eastAsia="Aptos"/>
          <w:color w:val="000000" w:themeColor="text1"/>
          <w:kern w:val="0"/>
          <w14:ligatures w14:val="none"/>
        </w:rPr>
        <w:tab/>
      </w:r>
      <w:r w:rsidRPr="002749B3">
        <w:rPr>
          <w:rFonts w:eastAsia="Aptos"/>
          <w:color w:val="000000" w:themeColor="text1"/>
          <w:kern w:val="0"/>
          <w14:ligatures w14:val="none"/>
        </w:rPr>
        <w:t>AZ Bar No.</w:t>
      </w:r>
      <w:r w:rsidR="002749B3" w:rsidRPr="002749B3">
        <w:rPr>
          <w:rFonts w:eastAsia="Aptos"/>
          <w:color w:val="000000" w:themeColor="text1"/>
          <w:kern w:val="0"/>
          <w14:ligatures w14:val="none"/>
        </w:rPr>
        <w:t xml:space="preserve"> 032225</w:t>
      </w:r>
      <w:r w:rsidRPr="002749B3">
        <w:rPr>
          <w:rFonts w:eastAsia="Aptos"/>
          <w:color w:val="000000" w:themeColor="text1"/>
          <w:kern w:val="0"/>
          <w14:ligatures w14:val="none"/>
        </w:rPr>
        <w:tab/>
        <w:t>AZ Bar No.</w:t>
      </w:r>
      <w:r w:rsidR="008B1686" w:rsidRPr="002749B3">
        <w:rPr>
          <w:rFonts w:eastAsia="Aptos"/>
          <w:color w:val="000000" w:themeColor="text1"/>
          <w:kern w:val="0"/>
          <w14:ligatures w14:val="none"/>
        </w:rPr>
        <w:t xml:space="preserve"> 033494</w:t>
      </w:r>
    </w:p>
    <w:p w14:paraId="7CA766C9" w14:textId="4B55EEA5" w:rsidR="004F29FB" w:rsidRPr="002749B3" w:rsidRDefault="004F29FB" w:rsidP="002749B3">
      <w:pPr>
        <w:tabs>
          <w:tab w:val="left" w:pos="3600"/>
          <w:tab w:val="left" w:pos="6750"/>
        </w:tabs>
        <w:spacing w:after="0" w:line="240" w:lineRule="auto"/>
        <w:jc w:val="both"/>
        <w:rPr>
          <w:rFonts w:eastAsia="Aptos"/>
          <w:color w:val="000000" w:themeColor="text1"/>
          <w:kern w:val="0"/>
          <w14:ligatures w14:val="none"/>
        </w:rPr>
      </w:pPr>
      <w:hyperlink r:id="rId9" w:history="1">
        <w:r w:rsidRPr="002749B3">
          <w:rPr>
            <w:rFonts w:eastAsia="Aptos"/>
            <w:color w:val="000000" w:themeColor="text1"/>
            <w:kern w:val="0"/>
            <w:u w:val="single"/>
            <w14:ligatures w14:val="none"/>
          </w:rPr>
          <w:t>grace.guisewite@gmail.com</w:t>
        </w:r>
      </w:hyperlink>
      <w:r w:rsidR="009A3097" w:rsidRPr="002749B3">
        <w:rPr>
          <w:rStyle w:val="FootnoteReference"/>
          <w:color w:val="000000" w:themeColor="text1"/>
        </w:rPr>
        <w:footnoteReference w:id="1"/>
      </w:r>
      <w:r w:rsidRPr="002749B3">
        <w:rPr>
          <w:rFonts w:eastAsia="Aptos"/>
          <w:color w:val="000000" w:themeColor="text1"/>
          <w:kern w:val="0"/>
          <w14:ligatures w14:val="none"/>
        </w:rPr>
        <w:tab/>
      </w:r>
      <w:hyperlink r:id="rId10" w:history="1">
        <w:r w:rsidR="002749B3" w:rsidRPr="002749B3">
          <w:rPr>
            <w:rStyle w:val="Hyperlink"/>
            <w:rFonts w:eastAsia="Aptos"/>
            <w:color w:val="000000" w:themeColor="text1"/>
            <w:kern w:val="0"/>
            <w14:ligatures w14:val="none"/>
          </w:rPr>
          <w:t>seth@apfellawgroup.com</w:t>
        </w:r>
      </w:hyperlink>
      <w:r w:rsidR="002749B3" w:rsidRPr="002749B3">
        <w:rPr>
          <w:rFonts w:eastAsia="Aptos"/>
          <w:color w:val="000000" w:themeColor="text1"/>
          <w:kern w:val="0"/>
          <w14:ligatures w14:val="none"/>
        </w:rPr>
        <w:tab/>
      </w:r>
      <w:hyperlink r:id="rId11" w:history="1">
        <w:r w:rsidR="008B1686" w:rsidRPr="002749B3">
          <w:rPr>
            <w:rStyle w:val="Hyperlink"/>
            <w:rFonts w:eastAsia="Aptos"/>
            <w:color w:val="000000" w:themeColor="text1"/>
            <w:kern w:val="0"/>
            <w14:ligatures w14:val="none"/>
          </w:rPr>
          <w:t>karen@mscclaw.com</w:t>
        </w:r>
      </w:hyperlink>
    </w:p>
    <w:p w14:paraId="2D97598B" w14:textId="77777777" w:rsidR="008B1686" w:rsidRPr="002749B3" w:rsidRDefault="008B1686" w:rsidP="004F29FB">
      <w:pPr>
        <w:spacing w:after="0" w:line="240" w:lineRule="auto"/>
        <w:jc w:val="both"/>
        <w:rPr>
          <w:rFonts w:eastAsia="Aptos"/>
          <w:color w:val="000000" w:themeColor="text1"/>
          <w:kern w:val="0"/>
          <w14:ligatures w14:val="none"/>
        </w:rPr>
      </w:pPr>
    </w:p>
    <w:p w14:paraId="013CF489" w14:textId="77777777" w:rsidR="00DB6885" w:rsidRPr="002749B3" w:rsidRDefault="00DB6885" w:rsidP="00DB6885">
      <w:pPr>
        <w:spacing w:after="0" w:line="480" w:lineRule="auto"/>
        <w:jc w:val="both"/>
        <w:rPr>
          <w:rFonts w:eastAsia="Aptos"/>
          <w:color w:val="000000" w:themeColor="text1"/>
          <w:kern w:val="0"/>
          <w14:ligatures w14:val="none"/>
        </w:rPr>
      </w:pPr>
    </w:p>
    <w:p w14:paraId="1A7DD402" w14:textId="77777777" w:rsidR="00DB6885" w:rsidRPr="002749B3" w:rsidRDefault="00DB6885" w:rsidP="00DB6885">
      <w:pPr>
        <w:spacing w:after="0" w:line="480" w:lineRule="auto"/>
        <w:jc w:val="both"/>
        <w:rPr>
          <w:rFonts w:eastAsia="Aptos"/>
          <w:color w:val="000000" w:themeColor="text1"/>
          <w:kern w:val="0"/>
          <w14:ligatures w14:val="none"/>
        </w:rPr>
      </w:pPr>
    </w:p>
    <w:p w14:paraId="683B18F5" w14:textId="77777777" w:rsidR="00DB6885" w:rsidRPr="002749B3" w:rsidRDefault="00DB6885" w:rsidP="00DB6885">
      <w:pPr>
        <w:spacing w:after="0" w:line="480" w:lineRule="auto"/>
        <w:jc w:val="both"/>
        <w:rPr>
          <w:rFonts w:eastAsia="Aptos"/>
          <w:color w:val="000000" w:themeColor="text1"/>
          <w:kern w:val="0"/>
          <w14:ligatures w14:val="none"/>
        </w:rPr>
      </w:pPr>
    </w:p>
    <w:p w14:paraId="3E39583E" w14:textId="77777777" w:rsidR="00DB6885" w:rsidRPr="002749B3" w:rsidRDefault="00DB6885" w:rsidP="00DB6885">
      <w:pPr>
        <w:spacing w:after="0" w:line="480" w:lineRule="auto"/>
        <w:jc w:val="both"/>
        <w:rPr>
          <w:rFonts w:eastAsia="Aptos"/>
          <w:color w:val="000000" w:themeColor="text1"/>
          <w:kern w:val="0"/>
          <w14:ligatures w14:val="none"/>
        </w:rPr>
      </w:pPr>
    </w:p>
    <w:p w14:paraId="38FB0D9A" w14:textId="77777777" w:rsidR="00DB6885" w:rsidRPr="002749B3" w:rsidRDefault="00DB6885" w:rsidP="00DB6885">
      <w:pPr>
        <w:spacing w:after="0" w:line="480" w:lineRule="auto"/>
        <w:jc w:val="both"/>
        <w:rPr>
          <w:rFonts w:eastAsia="Aptos"/>
          <w:color w:val="000000" w:themeColor="text1"/>
          <w:kern w:val="0"/>
          <w14:ligatures w14:val="none"/>
        </w:rPr>
      </w:pPr>
    </w:p>
    <w:p w14:paraId="1245A6F0" w14:textId="77777777" w:rsidR="00DB6885" w:rsidRPr="002749B3" w:rsidRDefault="00DB6885" w:rsidP="00DB6885">
      <w:pPr>
        <w:spacing w:line="256" w:lineRule="auto"/>
        <w:rPr>
          <w:rFonts w:eastAsia="Aptos"/>
          <w:color w:val="000000" w:themeColor="text1"/>
          <w:kern w:val="0"/>
          <w14:ligatures w14:val="none"/>
        </w:rPr>
      </w:pPr>
      <w:r w:rsidRPr="002749B3">
        <w:rPr>
          <w:rFonts w:eastAsia="Times New Roman"/>
          <w:color w:val="000000" w:themeColor="text1"/>
          <w:kern w:val="0"/>
          <w14:ligatures w14:val="none"/>
        </w:rPr>
        <w:br w:type="page"/>
      </w:r>
    </w:p>
    <w:p w14:paraId="1521FE70" w14:textId="337220AB" w:rsidR="00DB6885" w:rsidRPr="002749B3" w:rsidRDefault="00DB6885" w:rsidP="00DB6885">
      <w:pPr>
        <w:spacing w:after="0" w:line="480" w:lineRule="auto"/>
        <w:ind w:firstLine="720"/>
        <w:jc w:val="both"/>
        <w:rPr>
          <w:rFonts w:eastAsia="Aptos"/>
          <w:color w:val="000000" w:themeColor="text1"/>
          <w:kern w:val="0"/>
          <w14:ligatures w14:val="none"/>
        </w:rPr>
      </w:pPr>
      <w:r w:rsidRPr="002749B3">
        <w:rPr>
          <w:rFonts w:eastAsia="Aptos"/>
          <w:color w:val="000000" w:themeColor="text1"/>
          <w:kern w:val="0"/>
          <w14:ligatures w14:val="none"/>
        </w:rPr>
        <w:lastRenderedPageBreak/>
        <w:t>Arizona Attorneys for Criminal Justice (</w:t>
      </w:r>
      <w:r w:rsidR="0070186D" w:rsidRPr="002749B3">
        <w:rPr>
          <w:rFonts w:eastAsia="Aptos"/>
          <w:color w:val="000000" w:themeColor="text1"/>
          <w:kern w:val="0"/>
          <w14:ligatures w14:val="none"/>
        </w:rPr>
        <w:t>“</w:t>
      </w:r>
      <w:r w:rsidRPr="002749B3">
        <w:rPr>
          <w:rFonts w:eastAsia="Aptos"/>
          <w:color w:val="000000" w:themeColor="text1"/>
          <w:kern w:val="0"/>
          <w14:ligatures w14:val="none"/>
        </w:rPr>
        <w:t>AACJ</w:t>
      </w:r>
      <w:r w:rsidR="0070186D" w:rsidRPr="002749B3">
        <w:rPr>
          <w:rFonts w:eastAsia="Aptos"/>
          <w:color w:val="000000" w:themeColor="text1"/>
          <w:kern w:val="0"/>
          <w14:ligatures w14:val="none"/>
        </w:rPr>
        <w:t>”</w:t>
      </w:r>
      <w:r w:rsidRPr="002749B3">
        <w:rPr>
          <w:rFonts w:eastAsia="Aptos"/>
          <w:color w:val="000000" w:themeColor="text1"/>
          <w:kern w:val="0"/>
          <w14:ligatures w14:val="none"/>
        </w:rPr>
        <w:t>), the Arizona affiliate of the National Association of Criminal Defense Lawyers, was founded in 1986 to give a voice to the rights of the criminally accused and the attorneys who defend them. AACJ is a statewide not-for-profit membership organization of criminal defense lawyers, law students, and associated professionals. Our organization is dedicated to safeguarding the rights of the accused in the courts and before the legislature; ensuring that criminal defendants, regardless of resources, receive fair treatment and meaningful access to justice; and defending the integrity of the adversarial system.</w:t>
      </w:r>
    </w:p>
    <w:p w14:paraId="542AB978" w14:textId="77777777" w:rsidR="00DB6885" w:rsidRPr="002749B3" w:rsidRDefault="00DB6885" w:rsidP="00DB6885">
      <w:pPr>
        <w:spacing w:after="0" w:line="480" w:lineRule="auto"/>
        <w:ind w:firstLine="720"/>
        <w:jc w:val="both"/>
        <w:rPr>
          <w:rFonts w:eastAsia="Aptos"/>
          <w:color w:val="000000" w:themeColor="text1"/>
          <w:kern w:val="0"/>
          <w14:ligatures w14:val="none"/>
        </w:rPr>
      </w:pPr>
      <w:r w:rsidRPr="002749B3">
        <w:rPr>
          <w:rFonts w:eastAsia="Aptos"/>
          <w:color w:val="000000" w:themeColor="text1"/>
          <w:kern w:val="0"/>
          <w14:ligatures w14:val="none"/>
        </w:rPr>
        <w:t>AACJ also promotes excellence in the practice of criminal law through education, training, and mutual assistance, and works to foster public understanding of citizens’ rights, the criminal justice system, and the essential role defense attorneys play in preserving due process and equal justice under law.</w:t>
      </w:r>
    </w:p>
    <w:p w14:paraId="061A25EF" w14:textId="5A1B73C4" w:rsidR="00DB6885" w:rsidRPr="002749B3" w:rsidRDefault="00DB6885" w:rsidP="00DB6885">
      <w:pPr>
        <w:spacing w:after="0" w:line="480" w:lineRule="auto"/>
        <w:ind w:firstLine="720"/>
        <w:jc w:val="both"/>
        <w:rPr>
          <w:rFonts w:eastAsia="Aptos"/>
          <w:color w:val="000000" w:themeColor="text1"/>
          <w:kern w:val="0"/>
          <w14:ligatures w14:val="none"/>
        </w:rPr>
      </w:pPr>
      <w:r w:rsidRPr="002749B3">
        <w:rPr>
          <w:rFonts w:eastAsia="Aptos"/>
          <w:color w:val="000000" w:themeColor="text1"/>
          <w:kern w:val="0"/>
          <w14:ligatures w14:val="none"/>
        </w:rPr>
        <w:t xml:space="preserve">Pursuant to Rule 28, Rules of the Supreme Court, AACJ respectfully submits this Comment in opposition to the Petition to Amend </w:t>
      </w:r>
      <w:r w:rsidR="00BC4232" w:rsidRPr="002749B3">
        <w:rPr>
          <w:rFonts w:eastAsia="Aptos"/>
          <w:color w:val="000000" w:themeColor="text1"/>
          <w:kern w:val="0"/>
          <w14:ligatures w14:val="none"/>
        </w:rPr>
        <w:t xml:space="preserve">Rules </w:t>
      </w:r>
      <w:r w:rsidRPr="002749B3">
        <w:rPr>
          <w:rFonts w:eastAsia="Aptos"/>
          <w:color w:val="000000" w:themeColor="text1"/>
          <w:kern w:val="0"/>
          <w14:ligatures w14:val="none"/>
        </w:rPr>
        <w:t xml:space="preserve">32.4 and 33.4 of the Rules of Criminal Procedure </w:t>
      </w:r>
      <w:r w:rsidR="00C14226" w:rsidRPr="002749B3">
        <w:rPr>
          <w:rFonts w:eastAsia="Aptos"/>
          <w:color w:val="000000" w:themeColor="text1"/>
          <w:kern w:val="0"/>
          <w14:ligatures w14:val="none"/>
        </w:rPr>
        <w:t>(the “Rule Petition”)</w:t>
      </w:r>
      <w:r w:rsidR="002E7DBA" w:rsidRPr="002749B3">
        <w:rPr>
          <w:rFonts w:eastAsia="Aptos"/>
          <w:color w:val="000000" w:themeColor="text1"/>
          <w:kern w:val="0"/>
          <w14:ligatures w14:val="none"/>
        </w:rPr>
        <w:t>, which seeks</w:t>
      </w:r>
      <w:r w:rsidR="00C14226" w:rsidRPr="002749B3">
        <w:rPr>
          <w:rFonts w:eastAsia="Aptos"/>
          <w:color w:val="000000" w:themeColor="text1"/>
          <w:kern w:val="0"/>
          <w14:ligatures w14:val="none"/>
        </w:rPr>
        <w:t xml:space="preserve"> </w:t>
      </w:r>
      <w:r w:rsidRPr="002749B3">
        <w:rPr>
          <w:rFonts w:eastAsia="Aptos"/>
          <w:color w:val="000000" w:themeColor="text1"/>
          <w:kern w:val="0"/>
          <w14:ligatures w14:val="none"/>
        </w:rPr>
        <w:t>to impose a seven-page limitation on Notices Requesting Post-Conviction Relief (</w:t>
      </w:r>
      <w:r w:rsidR="00C14226" w:rsidRPr="002749B3">
        <w:rPr>
          <w:rFonts w:eastAsia="Aptos"/>
          <w:color w:val="000000" w:themeColor="text1"/>
          <w:kern w:val="0"/>
          <w14:ligatures w14:val="none"/>
        </w:rPr>
        <w:t>“</w:t>
      </w:r>
      <w:r w:rsidRPr="002749B3">
        <w:rPr>
          <w:rFonts w:eastAsia="Aptos"/>
          <w:color w:val="000000" w:themeColor="text1"/>
          <w:kern w:val="0"/>
          <w14:ligatures w14:val="none"/>
        </w:rPr>
        <w:t>PCR</w:t>
      </w:r>
      <w:r w:rsidR="00EC5EE0" w:rsidRPr="002749B3">
        <w:rPr>
          <w:rFonts w:eastAsia="Aptos"/>
          <w:color w:val="000000" w:themeColor="text1"/>
          <w:kern w:val="0"/>
          <w14:ligatures w14:val="none"/>
        </w:rPr>
        <w:t xml:space="preserve"> Notices</w:t>
      </w:r>
      <w:r w:rsidR="00C14226" w:rsidRPr="002749B3">
        <w:rPr>
          <w:rFonts w:eastAsia="Aptos"/>
          <w:color w:val="000000" w:themeColor="text1"/>
          <w:kern w:val="0"/>
          <w14:ligatures w14:val="none"/>
        </w:rPr>
        <w:t>”</w:t>
      </w:r>
      <w:r w:rsidRPr="002749B3">
        <w:rPr>
          <w:rFonts w:eastAsia="Aptos"/>
          <w:color w:val="000000" w:themeColor="text1"/>
          <w:kern w:val="0"/>
          <w14:ligatures w14:val="none"/>
        </w:rPr>
        <w:t xml:space="preserve">). </w:t>
      </w:r>
    </w:p>
    <w:p w14:paraId="342E0689" w14:textId="02A7F635" w:rsidR="00DB6885" w:rsidRPr="002749B3" w:rsidRDefault="00DB6885" w:rsidP="00DB6885">
      <w:pPr>
        <w:spacing w:after="0" w:line="480" w:lineRule="auto"/>
        <w:ind w:firstLine="720"/>
        <w:jc w:val="both"/>
        <w:rPr>
          <w:rFonts w:eastAsia="Aptos"/>
          <w:color w:val="000000" w:themeColor="text1"/>
          <w:kern w:val="0"/>
          <w14:ligatures w14:val="none"/>
        </w:rPr>
      </w:pPr>
      <w:r w:rsidRPr="002749B3">
        <w:rPr>
          <w:rFonts w:eastAsia="Aptos"/>
          <w:color w:val="000000" w:themeColor="text1"/>
          <w:kern w:val="0"/>
          <w14:ligatures w14:val="none"/>
        </w:rPr>
        <w:t>AACJ opposes the adoption of th</w:t>
      </w:r>
      <w:r w:rsidR="00EC5EE0" w:rsidRPr="002749B3">
        <w:rPr>
          <w:rFonts w:eastAsia="Aptos"/>
          <w:color w:val="000000" w:themeColor="text1"/>
          <w:kern w:val="0"/>
          <w14:ligatures w14:val="none"/>
        </w:rPr>
        <w:t>is</w:t>
      </w:r>
      <w:r w:rsidRPr="002749B3">
        <w:rPr>
          <w:rFonts w:eastAsia="Aptos"/>
          <w:color w:val="000000" w:themeColor="text1"/>
          <w:kern w:val="0"/>
          <w14:ligatures w14:val="none"/>
        </w:rPr>
        <w:t xml:space="preserve"> rule amendment, as </w:t>
      </w:r>
      <w:r w:rsidR="007E1802" w:rsidRPr="002749B3">
        <w:rPr>
          <w:rFonts w:eastAsia="Aptos"/>
          <w:color w:val="000000" w:themeColor="text1"/>
          <w:kern w:val="0"/>
          <w14:ligatures w14:val="none"/>
        </w:rPr>
        <w:t xml:space="preserve">it will </w:t>
      </w:r>
      <w:r w:rsidRPr="002749B3">
        <w:rPr>
          <w:rFonts w:eastAsia="Aptos"/>
          <w:color w:val="000000" w:themeColor="text1"/>
          <w:kern w:val="0"/>
          <w14:ligatures w14:val="none"/>
        </w:rPr>
        <w:t xml:space="preserve">introduce more challenges than </w:t>
      </w:r>
      <w:r w:rsidR="007E1802" w:rsidRPr="002749B3">
        <w:rPr>
          <w:rFonts w:eastAsia="Aptos"/>
          <w:color w:val="000000" w:themeColor="text1"/>
          <w:kern w:val="0"/>
          <w14:ligatures w14:val="none"/>
        </w:rPr>
        <w:t>it</w:t>
      </w:r>
      <w:r w:rsidRPr="002749B3">
        <w:rPr>
          <w:rFonts w:eastAsia="Aptos"/>
          <w:color w:val="000000" w:themeColor="text1"/>
          <w:kern w:val="0"/>
          <w14:ligatures w14:val="none"/>
        </w:rPr>
        <w:t xml:space="preserve"> resolve</w:t>
      </w:r>
      <w:r w:rsidR="007E1802" w:rsidRPr="002749B3">
        <w:rPr>
          <w:rFonts w:eastAsia="Aptos"/>
          <w:color w:val="000000" w:themeColor="text1"/>
          <w:kern w:val="0"/>
          <w14:ligatures w14:val="none"/>
        </w:rPr>
        <w:t>s</w:t>
      </w:r>
      <w:r w:rsidRPr="002749B3">
        <w:rPr>
          <w:rFonts w:eastAsia="Aptos"/>
          <w:color w:val="000000" w:themeColor="text1"/>
          <w:kern w:val="0"/>
          <w14:ligatures w14:val="none"/>
        </w:rPr>
        <w:t xml:space="preserve">. The proposal does not establish a clear need for such a restriction and leaves uncertainty regarding its enforcement. In practice, the rule </w:t>
      </w:r>
      <w:r w:rsidRPr="002749B3">
        <w:rPr>
          <w:rFonts w:eastAsia="Aptos"/>
          <w:color w:val="000000" w:themeColor="text1"/>
          <w:kern w:val="0"/>
          <w14:ligatures w14:val="none"/>
        </w:rPr>
        <w:lastRenderedPageBreak/>
        <w:t xml:space="preserve">could obstruct access to </w:t>
      </w:r>
      <w:r w:rsidR="0035322C" w:rsidRPr="002749B3">
        <w:rPr>
          <w:rFonts w:eastAsia="Aptos"/>
          <w:color w:val="000000" w:themeColor="text1"/>
          <w:kern w:val="0"/>
          <w14:ligatures w14:val="none"/>
        </w:rPr>
        <w:t>post-conviction relief</w:t>
      </w:r>
      <w:r w:rsidRPr="002749B3">
        <w:rPr>
          <w:rFonts w:eastAsia="Aptos"/>
          <w:color w:val="000000" w:themeColor="text1"/>
          <w:kern w:val="0"/>
          <w14:ligatures w14:val="none"/>
        </w:rPr>
        <w:t xml:space="preserve">, disproportionately impact pro per petitioners, and lead to repeated filings, undermining the goal of judicial economy. </w:t>
      </w:r>
    </w:p>
    <w:p w14:paraId="64BD7EE6" w14:textId="685BC458" w:rsidR="00DB6885" w:rsidRPr="002749B3" w:rsidRDefault="00DB6885" w:rsidP="00025490">
      <w:pPr>
        <w:pStyle w:val="ListParagraph"/>
        <w:numPr>
          <w:ilvl w:val="0"/>
          <w:numId w:val="5"/>
        </w:numPr>
        <w:spacing w:after="0" w:line="240" w:lineRule="auto"/>
        <w:jc w:val="both"/>
        <w:rPr>
          <w:rFonts w:eastAsia="Aptos"/>
          <w:b/>
          <w:bCs/>
          <w:color w:val="000000" w:themeColor="text1"/>
          <w:kern w:val="0"/>
          <w14:ligatures w14:val="none"/>
        </w:rPr>
      </w:pPr>
      <w:bookmarkStart w:id="0" w:name="_Hlk69725489"/>
      <w:r w:rsidRPr="002749B3">
        <w:rPr>
          <w:rFonts w:eastAsia="Aptos"/>
          <w:b/>
          <w:bCs/>
          <w:color w:val="000000" w:themeColor="text1"/>
          <w:kern w:val="0"/>
          <w14:ligatures w14:val="none"/>
        </w:rPr>
        <w:t xml:space="preserve">Criminal defendants in Arizona have a rule-based and constitutional right to post-conviction relief. </w:t>
      </w:r>
    </w:p>
    <w:p w14:paraId="54BA222F" w14:textId="77777777" w:rsidR="00DB6885" w:rsidRPr="002749B3" w:rsidRDefault="00DB6885" w:rsidP="00DB6885">
      <w:pPr>
        <w:spacing w:after="0" w:line="240" w:lineRule="auto"/>
        <w:ind w:left="1080"/>
        <w:jc w:val="both"/>
        <w:rPr>
          <w:rFonts w:eastAsia="Aptos"/>
          <w:b/>
          <w:bCs/>
          <w:color w:val="000000" w:themeColor="text1"/>
          <w:kern w:val="0"/>
          <w14:ligatures w14:val="none"/>
        </w:rPr>
      </w:pPr>
    </w:p>
    <w:p w14:paraId="00A0A014" w14:textId="72157E36" w:rsidR="0069104D" w:rsidRPr="002749B3" w:rsidRDefault="00DB6885" w:rsidP="00DB6885">
      <w:pPr>
        <w:spacing w:after="0" w:line="480" w:lineRule="auto"/>
        <w:ind w:firstLine="720"/>
        <w:jc w:val="both"/>
        <w:rPr>
          <w:rFonts w:eastAsia="Aptos"/>
          <w:color w:val="000000" w:themeColor="text1"/>
          <w:kern w:val="0"/>
          <w14:ligatures w14:val="none"/>
        </w:rPr>
      </w:pPr>
      <w:r w:rsidRPr="002749B3">
        <w:rPr>
          <w:rFonts w:eastAsia="Aptos"/>
          <w:color w:val="000000" w:themeColor="text1"/>
          <w:kern w:val="0"/>
          <w14:ligatures w14:val="none"/>
        </w:rPr>
        <w:t xml:space="preserve">Criminal defendants in Arizona have a state constitutional right to appeal in all cases. Ariz. Const. art. II, § 24. For pleading defendants who waive this right, post-conviction relief is the only vehicle </w:t>
      </w:r>
      <w:r w:rsidR="00762C44" w:rsidRPr="002749B3">
        <w:rPr>
          <w:rFonts w:eastAsia="Aptos"/>
          <w:color w:val="000000" w:themeColor="text1"/>
          <w:kern w:val="0"/>
          <w14:ligatures w14:val="none"/>
        </w:rPr>
        <w:t>to exercise</w:t>
      </w:r>
      <w:r w:rsidRPr="002749B3">
        <w:rPr>
          <w:rFonts w:eastAsia="Aptos"/>
          <w:color w:val="000000" w:themeColor="text1"/>
          <w:kern w:val="0"/>
          <w14:ligatures w14:val="none"/>
        </w:rPr>
        <w:t xml:space="preserve"> the defendant’s constitutional right to appellate review. </w:t>
      </w:r>
      <w:r w:rsidR="0069104D" w:rsidRPr="002749B3">
        <w:rPr>
          <w:rFonts w:eastAsia="Aptos"/>
          <w:color w:val="000000" w:themeColor="text1"/>
          <w:kern w:val="0"/>
          <w14:ligatures w14:val="none"/>
        </w:rPr>
        <w:t xml:space="preserve">Ariz. R. Crim. P. 33.1; </w:t>
      </w:r>
      <w:r w:rsidR="0069104D" w:rsidRPr="002749B3">
        <w:rPr>
          <w:rFonts w:eastAsia="Aptos"/>
          <w:i/>
          <w:iCs/>
          <w:color w:val="000000" w:themeColor="text1"/>
          <w:kern w:val="0"/>
          <w14:ligatures w14:val="none"/>
        </w:rPr>
        <w:t>see also State v. Smith,</w:t>
      </w:r>
      <w:r w:rsidR="0069104D" w:rsidRPr="002749B3">
        <w:rPr>
          <w:rFonts w:eastAsia="Aptos"/>
          <w:color w:val="000000" w:themeColor="text1"/>
          <w:kern w:val="0"/>
          <w14:ligatures w14:val="none"/>
        </w:rPr>
        <w:t xml:space="preserve"> 184 Ariz. 456, 458 (1996) (“It is through operation of the rules governing post-conviction relief that our constitutional guarantee of appellate review in all cases is effectuated for pleading defendants.”) (citations omitted). </w:t>
      </w:r>
      <w:r w:rsidR="000E2FA1" w:rsidRPr="002749B3">
        <w:rPr>
          <w:rFonts w:eastAsia="Aptos"/>
          <w:color w:val="000000" w:themeColor="text1"/>
          <w:kern w:val="0"/>
          <w14:ligatures w14:val="none"/>
        </w:rPr>
        <w:t xml:space="preserve">And for defendants who exercised their constitutional right to trial, and were found guilty, post-conviction relief is the only means of raising ineffective assistance of counsel claims. Ariz. R. Crim. P. 32.1; </w:t>
      </w:r>
      <w:r w:rsidR="000E2FA1" w:rsidRPr="002749B3">
        <w:rPr>
          <w:rFonts w:eastAsia="Aptos"/>
          <w:i/>
          <w:iCs/>
          <w:color w:val="000000" w:themeColor="text1"/>
          <w:kern w:val="0"/>
          <w14:ligatures w14:val="none"/>
        </w:rPr>
        <w:t>State v. Spreitz,</w:t>
      </w:r>
      <w:r w:rsidR="000E2FA1" w:rsidRPr="002749B3">
        <w:rPr>
          <w:rFonts w:eastAsia="Aptos"/>
          <w:color w:val="000000" w:themeColor="text1"/>
          <w:kern w:val="0"/>
          <w14:ligatures w14:val="none"/>
        </w:rPr>
        <w:t xml:space="preserve"> 202 Ariz.</w:t>
      </w:r>
      <w:r w:rsidR="00B36938" w:rsidRPr="002749B3">
        <w:rPr>
          <w:rFonts w:eastAsia="Aptos"/>
          <w:color w:val="000000" w:themeColor="text1"/>
          <w:kern w:val="0"/>
          <w14:ligatures w14:val="none"/>
        </w:rPr>
        <w:t xml:space="preserve"> 1, 2 </w:t>
      </w:r>
      <w:r w:rsidR="00AB56FF" w:rsidRPr="002749B3">
        <w:rPr>
          <w:rFonts w:eastAsia="Aptos"/>
          <w:color w:val="000000" w:themeColor="text1"/>
          <w:kern w:val="0"/>
          <w14:ligatures w14:val="none"/>
        </w:rPr>
        <w:t xml:space="preserve">¶ 5 (2002). </w:t>
      </w:r>
    </w:p>
    <w:p w14:paraId="6F5A0CB4" w14:textId="5AA6DEC6" w:rsidR="00514858" w:rsidRPr="002749B3" w:rsidRDefault="000A7821" w:rsidP="00025490">
      <w:pPr>
        <w:spacing w:after="0" w:line="480" w:lineRule="auto"/>
        <w:ind w:firstLine="720"/>
        <w:jc w:val="both"/>
        <w:rPr>
          <w:rFonts w:eastAsia="Aptos"/>
          <w:color w:val="000000" w:themeColor="text1"/>
          <w:kern w:val="0"/>
          <w14:ligatures w14:val="none"/>
        </w:rPr>
      </w:pPr>
      <w:r w:rsidRPr="002749B3">
        <w:rPr>
          <w:rFonts w:eastAsia="Aptos"/>
          <w:color w:val="000000" w:themeColor="text1"/>
          <w:kern w:val="0"/>
          <w14:ligatures w14:val="none"/>
        </w:rPr>
        <w:t>A</w:t>
      </w:r>
      <w:r w:rsidR="00DB6885" w:rsidRPr="002749B3">
        <w:rPr>
          <w:rFonts w:eastAsia="Aptos"/>
          <w:color w:val="000000" w:themeColor="text1"/>
          <w:kern w:val="0"/>
          <w14:ligatures w14:val="none"/>
        </w:rPr>
        <w:t xml:space="preserve"> PCR </w:t>
      </w:r>
      <w:r w:rsidRPr="002749B3">
        <w:rPr>
          <w:rFonts w:eastAsia="Aptos"/>
          <w:color w:val="000000" w:themeColor="text1"/>
          <w:kern w:val="0"/>
          <w14:ligatures w14:val="none"/>
        </w:rPr>
        <w:t>N</w:t>
      </w:r>
      <w:r w:rsidR="00DB6885" w:rsidRPr="002749B3">
        <w:rPr>
          <w:rFonts w:eastAsia="Aptos"/>
          <w:color w:val="000000" w:themeColor="text1"/>
          <w:kern w:val="0"/>
          <w14:ligatures w14:val="none"/>
        </w:rPr>
        <w:t xml:space="preserve">otice is the initial threshold to exercising this remedy and not just a mere formality. </w:t>
      </w:r>
      <w:r w:rsidR="0017210F" w:rsidRPr="002749B3">
        <w:rPr>
          <w:rFonts w:eastAsia="Aptos"/>
          <w:color w:val="000000" w:themeColor="text1"/>
          <w:kern w:val="0"/>
          <w14:ligatures w14:val="none"/>
        </w:rPr>
        <w:t xml:space="preserve">Ariz. R. Crim. P. 33.4. </w:t>
      </w:r>
      <w:r w:rsidR="00860460" w:rsidRPr="002749B3">
        <w:rPr>
          <w:rFonts w:eastAsia="Aptos"/>
          <w:color w:val="000000" w:themeColor="text1"/>
          <w:kern w:val="0"/>
          <w14:ligatures w14:val="none"/>
        </w:rPr>
        <w:t>Further, p</w:t>
      </w:r>
      <w:r w:rsidR="00320FA4" w:rsidRPr="002749B3">
        <w:rPr>
          <w:rFonts w:eastAsia="Aptos"/>
          <w:color w:val="000000" w:themeColor="text1"/>
          <w:kern w:val="0"/>
          <w14:ligatures w14:val="none"/>
        </w:rPr>
        <w:t xml:space="preserve">ost-conviction relief remains the only remedy for defendants who discover new evidence </w:t>
      </w:r>
      <w:r w:rsidR="003615A3" w:rsidRPr="002749B3">
        <w:rPr>
          <w:rFonts w:eastAsia="Aptos"/>
          <w:color w:val="000000" w:themeColor="text1"/>
          <w:kern w:val="0"/>
          <w14:ligatures w14:val="none"/>
        </w:rPr>
        <w:t>post-conviction</w:t>
      </w:r>
      <w:r w:rsidR="00320FA4" w:rsidRPr="002749B3">
        <w:rPr>
          <w:rFonts w:eastAsia="Aptos"/>
          <w:color w:val="000000" w:themeColor="text1"/>
          <w:kern w:val="0"/>
          <w14:ligatures w14:val="none"/>
        </w:rPr>
        <w:t xml:space="preserve">, the only remedy where a change in the law would impact their case, and the only vehicle for untimely arguments demonstrating actual innocence or sentencing issues. Ariz. R. Crim. P. 32.1(b)-(h); Ariz. R. Crim. P. 33.1(b)-(h). Defendants who file these “untimely” and/or “successive” notices of post-conviction relief are not assisted by </w:t>
      </w:r>
      <w:r w:rsidR="00320FA4" w:rsidRPr="002749B3">
        <w:rPr>
          <w:rFonts w:eastAsia="Aptos"/>
          <w:color w:val="000000" w:themeColor="text1"/>
          <w:kern w:val="0"/>
          <w14:ligatures w14:val="none"/>
        </w:rPr>
        <w:lastRenderedPageBreak/>
        <w:t>counsel because their cases have concluded</w:t>
      </w:r>
      <w:r w:rsidR="008B1686" w:rsidRPr="002749B3">
        <w:rPr>
          <w:rFonts w:eastAsia="Aptos"/>
          <w:color w:val="000000" w:themeColor="text1"/>
          <w:kern w:val="0"/>
          <w14:ligatures w14:val="none"/>
        </w:rPr>
        <w:t xml:space="preserve"> and their prior counsel’s representation has ended.</w:t>
      </w:r>
      <w:r w:rsidR="00320FA4" w:rsidRPr="002749B3">
        <w:rPr>
          <w:rFonts w:eastAsia="Aptos"/>
          <w:color w:val="000000" w:themeColor="text1"/>
          <w:kern w:val="0"/>
          <w14:ligatures w14:val="none"/>
        </w:rPr>
        <w:t xml:space="preserve"> </w:t>
      </w:r>
      <w:r w:rsidR="003E094F" w:rsidRPr="002749B3">
        <w:rPr>
          <w:rFonts w:eastAsia="Aptos"/>
          <w:color w:val="000000" w:themeColor="text1"/>
          <w:kern w:val="0"/>
          <w14:ligatures w14:val="none"/>
        </w:rPr>
        <w:t xml:space="preserve">These unrepresented litigants </w:t>
      </w:r>
      <w:r w:rsidR="008B1686" w:rsidRPr="002749B3">
        <w:rPr>
          <w:rFonts w:eastAsia="Aptos"/>
          <w:color w:val="000000" w:themeColor="text1"/>
          <w:kern w:val="0"/>
          <w14:ligatures w14:val="none"/>
        </w:rPr>
        <w:t xml:space="preserve">must overcome the burden of demonstrating timeliness and non-preclusion </w:t>
      </w:r>
      <w:r w:rsidR="00320FA4" w:rsidRPr="002749B3">
        <w:rPr>
          <w:rFonts w:eastAsia="Aptos"/>
          <w:color w:val="000000" w:themeColor="text1"/>
          <w:kern w:val="0"/>
          <w14:ligatures w14:val="none"/>
        </w:rPr>
        <w:t xml:space="preserve">to avoid summary dismissal of their notices and </w:t>
      </w:r>
      <w:r w:rsidR="008B1686" w:rsidRPr="002749B3">
        <w:rPr>
          <w:rFonts w:eastAsia="Aptos"/>
          <w:color w:val="000000" w:themeColor="text1"/>
          <w:kern w:val="0"/>
          <w14:ligatures w14:val="none"/>
        </w:rPr>
        <w:t xml:space="preserve">potentially </w:t>
      </w:r>
      <w:r w:rsidR="00320FA4" w:rsidRPr="002749B3">
        <w:rPr>
          <w:rFonts w:eastAsia="Aptos"/>
          <w:color w:val="000000" w:themeColor="text1"/>
          <w:kern w:val="0"/>
          <w14:ligatures w14:val="none"/>
        </w:rPr>
        <w:t xml:space="preserve">get counsel appointed to assist them.  </w:t>
      </w:r>
      <w:r w:rsidR="00AE3CB5" w:rsidRPr="002749B3">
        <w:rPr>
          <w:rFonts w:eastAsia="Aptos"/>
          <w:color w:val="000000" w:themeColor="text1"/>
          <w:kern w:val="0"/>
          <w14:ligatures w14:val="none"/>
        </w:rPr>
        <w:t xml:space="preserve">Ariz. R. Crim. P. </w:t>
      </w:r>
      <w:r w:rsidR="00FE6961" w:rsidRPr="002749B3">
        <w:rPr>
          <w:rFonts w:eastAsia="Aptos"/>
          <w:color w:val="000000" w:themeColor="text1"/>
          <w:kern w:val="0"/>
          <w14:ligatures w14:val="none"/>
        </w:rPr>
        <w:t xml:space="preserve">32.2, </w:t>
      </w:r>
      <w:r w:rsidR="00AE3CB5" w:rsidRPr="002749B3">
        <w:rPr>
          <w:rFonts w:eastAsia="Aptos"/>
          <w:color w:val="000000" w:themeColor="text1"/>
          <w:kern w:val="0"/>
          <w14:ligatures w14:val="none"/>
        </w:rPr>
        <w:t>32.4</w:t>
      </w:r>
      <w:r w:rsidR="00B52D9D" w:rsidRPr="002749B3">
        <w:rPr>
          <w:rFonts w:eastAsia="Aptos"/>
          <w:color w:val="000000" w:themeColor="text1"/>
          <w:kern w:val="0"/>
          <w14:ligatures w14:val="none"/>
        </w:rPr>
        <w:t xml:space="preserve">, 32.5, </w:t>
      </w:r>
      <w:r w:rsidR="00FE6961" w:rsidRPr="002749B3">
        <w:rPr>
          <w:rFonts w:eastAsia="Aptos"/>
          <w:color w:val="000000" w:themeColor="text1"/>
          <w:kern w:val="0"/>
          <w14:ligatures w14:val="none"/>
        </w:rPr>
        <w:t xml:space="preserve">33.2, </w:t>
      </w:r>
      <w:r w:rsidR="00B52D9D" w:rsidRPr="002749B3">
        <w:rPr>
          <w:rFonts w:eastAsia="Aptos"/>
          <w:color w:val="000000" w:themeColor="text1"/>
          <w:kern w:val="0"/>
          <w14:ligatures w14:val="none"/>
        </w:rPr>
        <w:t xml:space="preserve">33.4, 33.5. </w:t>
      </w:r>
      <w:r w:rsidR="008B1686" w:rsidRPr="002749B3">
        <w:rPr>
          <w:rFonts w:eastAsia="Aptos"/>
          <w:color w:val="000000" w:themeColor="text1"/>
          <w:kern w:val="0"/>
          <w14:ligatures w14:val="none"/>
        </w:rPr>
        <w:t>As explained in more detail below, a seven-page limit is insufficient for defendants to meet these standards, at least as they are currently being interpreted by the superior courts.</w:t>
      </w:r>
    </w:p>
    <w:p w14:paraId="342D0C6E" w14:textId="4E6AF331" w:rsidR="00DB6885" w:rsidRPr="002749B3" w:rsidRDefault="00DB6885" w:rsidP="00A21FAF">
      <w:pPr>
        <w:pStyle w:val="ListParagraph"/>
        <w:numPr>
          <w:ilvl w:val="0"/>
          <w:numId w:val="5"/>
        </w:numPr>
        <w:spacing w:after="0" w:line="240" w:lineRule="auto"/>
        <w:jc w:val="both"/>
        <w:rPr>
          <w:rFonts w:eastAsia="Aptos"/>
          <w:b/>
          <w:bCs/>
          <w:color w:val="000000" w:themeColor="text1"/>
          <w:kern w:val="0"/>
          <w14:ligatures w14:val="none"/>
        </w:rPr>
      </w:pPr>
      <w:r w:rsidRPr="002749B3">
        <w:rPr>
          <w:rFonts w:eastAsia="Aptos"/>
          <w:b/>
          <w:bCs/>
          <w:color w:val="000000" w:themeColor="text1"/>
          <w:kern w:val="0"/>
          <w14:ligatures w14:val="none"/>
        </w:rPr>
        <w:t xml:space="preserve">The </w:t>
      </w:r>
      <w:r w:rsidR="004D3FA6" w:rsidRPr="002749B3">
        <w:rPr>
          <w:rFonts w:eastAsia="Aptos"/>
          <w:b/>
          <w:bCs/>
          <w:color w:val="000000" w:themeColor="text1"/>
          <w:kern w:val="0"/>
          <w14:ligatures w14:val="none"/>
        </w:rPr>
        <w:t>Rule Petition</w:t>
      </w:r>
      <w:r w:rsidRPr="002749B3">
        <w:rPr>
          <w:rFonts w:eastAsia="Aptos"/>
          <w:b/>
          <w:bCs/>
          <w:color w:val="000000" w:themeColor="text1"/>
          <w:kern w:val="0"/>
          <w14:ligatures w14:val="none"/>
        </w:rPr>
        <w:t xml:space="preserve"> </w:t>
      </w:r>
      <w:r w:rsidR="00C15128" w:rsidRPr="002749B3">
        <w:rPr>
          <w:rFonts w:eastAsia="Aptos"/>
          <w:b/>
          <w:bCs/>
          <w:color w:val="000000" w:themeColor="text1"/>
          <w:kern w:val="0"/>
          <w14:ligatures w14:val="none"/>
        </w:rPr>
        <w:t>does not adequately address the need for the amendment.</w:t>
      </w:r>
    </w:p>
    <w:p w14:paraId="3F42B5C6" w14:textId="77777777" w:rsidR="00DB6885" w:rsidRPr="002749B3" w:rsidRDefault="00DB6885" w:rsidP="00DB6885">
      <w:pPr>
        <w:spacing w:after="0" w:line="240" w:lineRule="auto"/>
        <w:jc w:val="both"/>
        <w:rPr>
          <w:rFonts w:eastAsia="Aptos"/>
          <w:color w:val="000000" w:themeColor="text1"/>
          <w:kern w:val="0"/>
          <w14:ligatures w14:val="none"/>
        </w:rPr>
      </w:pPr>
    </w:p>
    <w:p w14:paraId="7D443049" w14:textId="459293FD" w:rsidR="00DB6885" w:rsidRPr="002749B3" w:rsidRDefault="00DB6885" w:rsidP="00DB6885">
      <w:pPr>
        <w:pStyle w:val="ListParagraph"/>
        <w:numPr>
          <w:ilvl w:val="0"/>
          <w:numId w:val="3"/>
        </w:numPr>
        <w:spacing w:after="0" w:line="480" w:lineRule="auto"/>
        <w:jc w:val="both"/>
        <w:rPr>
          <w:rFonts w:eastAsia="Aptos"/>
          <w:b/>
          <w:bCs/>
          <w:color w:val="000000" w:themeColor="text1"/>
          <w:kern w:val="0"/>
          <w14:ligatures w14:val="none"/>
        </w:rPr>
      </w:pPr>
      <w:r w:rsidRPr="002749B3">
        <w:rPr>
          <w:rFonts w:eastAsia="Aptos"/>
          <w:b/>
          <w:bCs/>
          <w:color w:val="000000" w:themeColor="text1"/>
          <w:kern w:val="0"/>
          <w14:ligatures w14:val="none"/>
        </w:rPr>
        <w:t xml:space="preserve">The </w:t>
      </w:r>
      <w:r w:rsidR="004D3FA6" w:rsidRPr="002749B3">
        <w:rPr>
          <w:rFonts w:eastAsia="Aptos"/>
          <w:b/>
          <w:bCs/>
          <w:color w:val="000000" w:themeColor="text1"/>
          <w:kern w:val="0"/>
          <w14:ligatures w14:val="none"/>
        </w:rPr>
        <w:t>Rule Petition</w:t>
      </w:r>
      <w:r w:rsidR="00C15128" w:rsidRPr="002749B3">
        <w:rPr>
          <w:rFonts w:eastAsia="Aptos"/>
          <w:b/>
          <w:bCs/>
          <w:color w:val="000000" w:themeColor="text1"/>
          <w:kern w:val="0"/>
          <w14:ligatures w14:val="none"/>
        </w:rPr>
        <w:t xml:space="preserve"> lacks critical information.</w:t>
      </w:r>
    </w:p>
    <w:p w14:paraId="666025FC" w14:textId="4547E77A" w:rsidR="001E7EA3" w:rsidRPr="002749B3" w:rsidRDefault="00885579" w:rsidP="00E75B54">
      <w:pPr>
        <w:spacing w:after="0" w:line="480" w:lineRule="auto"/>
        <w:ind w:firstLine="720"/>
        <w:jc w:val="both"/>
        <w:rPr>
          <w:rFonts w:eastAsia="Aptos"/>
          <w:color w:val="000000" w:themeColor="text1"/>
          <w:kern w:val="0"/>
          <w14:ligatures w14:val="none"/>
        </w:rPr>
      </w:pPr>
      <w:r w:rsidRPr="002749B3">
        <w:rPr>
          <w:rFonts w:eastAsia="Aptos"/>
          <w:color w:val="000000" w:themeColor="text1"/>
          <w:kern w:val="0"/>
          <w14:ligatures w14:val="none"/>
        </w:rPr>
        <w:t xml:space="preserve">The Rule Petition raises concerns about lengthy notice filings but </w:t>
      </w:r>
      <w:r w:rsidR="00514858" w:rsidRPr="002749B3">
        <w:rPr>
          <w:rFonts w:eastAsia="Aptos"/>
          <w:color w:val="000000" w:themeColor="text1"/>
          <w:kern w:val="0"/>
          <w14:ligatures w14:val="none"/>
        </w:rPr>
        <w:t xml:space="preserve">does not provide data or otherwise identify </w:t>
      </w:r>
      <w:r w:rsidRPr="002749B3">
        <w:rPr>
          <w:rFonts w:eastAsia="Aptos"/>
          <w:color w:val="000000" w:themeColor="text1"/>
          <w:kern w:val="0"/>
          <w14:ligatures w14:val="none"/>
        </w:rPr>
        <w:t xml:space="preserve">the extent to which excessively long PCR </w:t>
      </w:r>
      <w:r w:rsidR="00835455" w:rsidRPr="002749B3">
        <w:rPr>
          <w:rFonts w:eastAsia="Aptos"/>
          <w:color w:val="000000" w:themeColor="text1"/>
          <w:kern w:val="0"/>
          <w14:ligatures w14:val="none"/>
        </w:rPr>
        <w:t>N</w:t>
      </w:r>
      <w:r w:rsidRPr="002749B3">
        <w:rPr>
          <w:rFonts w:eastAsia="Aptos"/>
          <w:color w:val="000000" w:themeColor="text1"/>
          <w:kern w:val="0"/>
          <w14:ligatures w14:val="none"/>
        </w:rPr>
        <w:t xml:space="preserve">otices impede judicial economy. The Rule Petition </w:t>
      </w:r>
      <w:r w:rsidR="003327B4" w:rsidRPr="002749B3">
        <w:rPr>
          <w:rFonts w:eastAsia="Aptos"/>
          <w:color w:val="000000" w:themeColor="text1"/>
          <w:kern w:val="0"/>
          <w14:ligatures w14:val="none"/>
        </w:rPr>
        <w:t xml:space="preserve">also proffers that lengthy PCR </w:t>
      </w:r>
      <w:r w:rsidR="00835455" w:rsidRPr="002749B3">
        <w:rPr>
          <w:rFonts w:eastAsia="Aptos"/>
          <w:color w:val="000000" w:themeColor="text1"/>
          <w:kern w:val="0"/>
          <w14:ligatures w14:val="none"/>
        </w:rPr>
        <w:t>N</w:t>
      </w:r>
      <w:r w:rsidR="003327B4" w:rsidRPr="002749B3">
        <w:rPr>
          <w:rFonts w:eastAsia="Aptos"/>
          <w:color w:val="000000" w:themeColor="text1"/>
          <w:kern w:val="0"/>
          <w14:ligatures w14:val="none"/>
        </w:rPr>
        <w:t xml:space="preserve">otices “impose </w:t>
      </w:r>
      <w:r w:rsidR="00684272" w:rsidRPr="002749B3">
        <w:rPr>
          <w:rFonts w:eastAsia="Aptos"/>
          <w:color w:val="000000" w:themeColor="text1"/>
          <w:kern w:val="0"/>
          <w14:ligatures w14:val="none"/>
        </w:rPr>
        <w:t xml:space="preserve">unnecessary burdens on clerks, prosecutors, and the court,” but does not explain how. Petition, at 2. </w:t>
      </w:r>
      <w:r w:rsidR="00835455" w:rsidRPr="002749B3">
        <w:rPr>
          <w:rFonts w:eastAsia="Aptos"/>
          <w:color w:val="000000" w:themeColor="text1"/>
          <w:kern w:val="0"/>
          <w14:ligatures w14:val="none"/>
        </w:rPr>
        <w:t>Typically</w:t>
      </w:r>
      <w:r w:rsidR="00293989" w:rsidRPr="002749B3">
        <w:rPr>
          <w:rFonts w:eastAsia="Aptos"/>
          <w:color w:val="000000" w:themeColor="text1"/>
          <w:kern w:val="0"/>
          <w14:ligatures w14:val="none"/>
        </w:rPr>
        <w:t>,</w:t>
      </w:r>
      <w:r w:rsidR="00684272" w:rsidRPr="002749B3">
        <w:rPr>
          <w:rFonts w:eastAsia="Aptos"/>
          <w:color w:val="000000" w:themeColor="text1"/>
          <w:kern w:val="0"/>
          <w14:ligatures w14:val="none"/>
        </w:rPr>
        <w:t xml:space="preserve"> PCR </w:t>
      </w:r>
      <w:r w:rsidR="00835455" w:rsidRPr="002749B3">
        <w:rPr>
          <w:rFonts w:eastAsia="Aptos"/>
          <w:color w:val="000000" w:themeColor="text1"/>
          <w:kern w:val="0"/>
          <w14:ligatures w14:val="none"/>
        </w:rPr>
        <w:t>N</w:t>
      </w:r>
      <w:r w:rsidR="00684272" w:rsidRPr="002749B3">
        <w:rPr>
          <w:rFonts w:eastAsia="Aptos"/>
          <w:color w:val="000000" w:themeColor="text1"/>
          <w:kern w:val="0"/>
          <w14:ligatures w14:val="none"/>
        </w:rPr>
        <w:t xml:space="preserve">otices are </w:t>
      </w:r>
      <w:r w:rsidR="009155C3" w:rsidRPr="002749B3">
        <w:rPr>
          <w:rFonts w:eastAsia="Aptos"/>
          <w:color w:val="000000" w:themeColor="text1"/>
          <w:kern w:val="0"/>
          <w14:ligatures w14:val="none"/>
        </w:rPr>
        <w:t xml:space="preserve">initially sent to the </w:t>
      </w:r>
      <w:r w:rsidR="000C799F" w:rsidRPr="002749B3">
        <w:rPr>
          <w:rFonts w:eastAsia="Aptos"/>
          <w:color w:val="000000" w:themeColor="text1"/>
          <w:kern w:val="0"/>
          <w14:ligatures w14:val="none"/>
        </w:rPr>
        <w:t xml:space="preserve">post-conviction relief management </w:t>
      </w:r>
      <w:r w:rsidR="00293989" w:rsidRPr="002749B3">
        <w:rPr>
          <w:rFonts w:eastAsia="Aptos"/>
          <w:color w:val="000000" w:themeColor="text1"/>
          <w:kern w:val="0"/>
          <w14:ligatures w14:val="none"/>
        </w:rPr>
        <w:t>judge and</w:t>
      </w:r>
      <w:r w:rsidR="009155C3" w:rsidRPr="002749B3">
        <w:rPr>
          <w:rFonts w:eastAsia="Aptos"/>
          <w:color w:val="000000" w:themeColor="text1"/>
          <w:kern w:val="0"/>
          <w14:ligatures w14:val="none"/>
        </w:rPr>
        <w:t xml:space="preserve"> then </w:t>
      </w:r>
      <w:r w:rsidR="000C799F" w:rsidRPr="002749B3">
        <w:rPr>
          <w:rFonts w:eastAsia="Aptos"/>
          <w:color w:val="000000" w:themeColor="text1"/>
          <w:kern w:val="0"/>
          <w14:ligatures w14:val="none"/>
        </w:rPr>
        <w:t>are sent</w:t>
      </w:r>
      <w:r w:rsidR="009155C3" w:rsidRPr="002749B3">
        <w:rPr>
          <w:rFonts w:eastAsia="Aptos"/>
          <w:color w:val="000000" w:themeColor="text1"/>
          <w:kern w:val="0"/>
          <w14:ligatures w14:val="none"/>
        </w:rPr>
        <w:t xml:space="preserve"> to </w:t>
      </w:r>
      <w:r w:rsidR="000C799F" w:rsidRPr="002749B3">
        <w:rPr>
          <w:rFonts w:eastAsia="Aptos"/>
          <w:color w:val="000000" w:themeColor="text1"/>
          <w:kern w:val="0"/>
          <w14:ligatures w14:val="none"/>
        </w:rPr>
        <w:t xml:space="preserve">assigned </w:t>
      </w:r>
      <w:r w:rsidR="009155C3" w:rsidRPr="002749B3">
        <w:rPr>
          <w:rFonts w:eastAsia="Aptos"/>
          <w:color w:val="000000" w:themeColor="text1"/>
          <w:kern w:val="0"/>
          <w14:ligatures w14:val="none"/>
        </w:rPr>
        <w:t>defense counsel</w:t>
      </w:r>
      <w:r w:rsidR="00320FA4" w:rsidRPr="002749B3">
        <w:rPr>
          <w:rFonts w:eastAsia="Aptos"/>
          <w:color w:val="000000" w:themeColor="text1"/>
          <w:kern w:val="0"/>
          <w14:ligatures w14:val="none"/>
        </w:rPr>
        <w:t xml:space="preserve"> – or</w:t>
      </w:r>
      <w:r w:rsidR="00EA2384" w:rsidRPr="002749B3">
        <w:rPr>
          <w:rFonts w:eastAsia="Aptos"/>
          <w:color w:val="000000" w:themeColor="text1"/>
          <w:kern w:val="0"/>
          <w14:ligatures w14:val="none"/>
        </w:rPr>
        <w:t>,</w:t>
      </w:r>
      <w:r w:rsidR="00320FA4" w:rsidRPr="002749B3">
        <w:rPr>
          <w:rFonts w:eastAsia="Aptos"/>
          <w:color w:val="000000" w:themeColor="text1"/>
          <w:kern w:val="0"/>
          <w14:ligatures w14:val="none"/>
        </w:rPr>
        <w:t xml:space="preserve"> in the case of untimely or successive </w:t>
      </w:r>
      <w:r w:rsidR="00EA2384" w:rsidRPr="002749B3">
        <w:rPr>
          <w:rFonts w:eastAsia="Aptos"/>
          <w:color w:val="000000" w:themeColor="text1"/>
          <w:kern w:val="0"/>
          <w14:ligatures w14:val="none"/>
        </w:rPr>
        <w:t>PCR Notices</w:t>
      </w:r>
      <w:r w:rsidR="00320FA4" w:rsidRPr="002749B3">
        <w:rPr>
          <w:rFonts w:eastAsia="Aptos"/>
          <w:color w:val="000000" w:themeColor="text1"/>
          <w:kern w:val="0"/>
          <w14:ligatures w14:val="none"/>
        </w:rPr>
        <w:t>, could face summary dismissal if inadequate grounds are provided</w:t>
      </w:r>
      <w:r w:rsidR="009155C3" w:rsidRPr="002749B3">
        <w:rPr>
          <w:rFonts w:eastAsia="Aptos"/>
          <w:color w:val="000000" w:themeColor="text1"/>
          <w:kern w:val="0"/>
          <w14:ligatures w14:val="none"/>
        </w:rPr>
        <w:t xml:space="preserve">. </w:t>
      </w:r>
      <w:r w:rsidR="001D6BDA" w:rsidRPr="002749B3">
        <w:rPr>
          <w:rFonts w:eastAsia="Aptos"/>
          <w:color w:val="000000" w:themeColor="text1"/>
          <w:kern w:val="0"/>
          <w14:ligatures w14:val="none"/>
        </w:rPr>
        <w:t>Aside from victim notice, Ariz. R. Crim. P. 33.4(</w:t>
      </w:r>
      <w:r w:rsidR="00A02BF2" w:rsidRPr="002749B3">
        <w:rPr>
          <w:rFonts w:eastAsia="Aptos"/>
          <w:color w:val="000000" w:themeColor="text1"/>
          <w:kern w:val="0"/>
          <w14:ligatures w14:val="none"/>
        </w:rPr>
        <w:t>b</w:t>
      </w:r>
      <w:r w:rsidR="001D6BDA" w:rsidRPr="002749B3">
        <w:rPr>
          <w:rFonts w:eastAsia="Aptos"/>
          <w:color w:val="000000" w:themeColor="text1"/>
          <w:kern w:val="0"/>
          <w14:ligatures w14:val="none"/>
        </w:rPr>
        <w:t>)(5)</w:t>
      </w:r>
      <w:r w:rsidR="008679B3" w:rsidRPr="002749B3">
        <w:rPr>
          <w:rFonts w:eastAsia="Aptos"/>
          <w:color w:val="000000" w:themeColor="text1"/>
          <w:kern w:val="0"/>
          <w14:ligatures w14:val="none"/>
        </w:rPr>
        <w:t xml:space="preserve">, prosecutors do not get involved unless and until a petition for post-conviction relief is filed. Absent that, a prosecutor would not have a reason to review </w:t>
      </w:r>
      <w:r w:rsidR="008679B3" w:rsidRPr="002749B3">
        <w:rPr>
          <w:rFonts w:eastAsia="Aptos"/>
          <w:color w:val="000000" w:themeColor="text1"/>
          <w:kern w:val="0"/>
          <w14:ligatures w14:val="none"/>
        </w:rPr>
        <w:lastRenderedPageBreak/>
        <w:t xml:space="preserve">a defendant’s PCR </w:t>
      </w:r>
      <w:r w:rsidR="0042413B" w:rsidRPr="002749B3">
        <w:rPr>
          <w:rFonts w:eastAsia="Aptos"/>
          <w:color w:val="000000" w:themeColor="text1"/>
          <w:kern w:val="0"/>
          <w14:ligatures w14:val="none"/>
        </w:rPr>
        <w:t>N</w:t>
      </w:r>
      <w:r w:rsidR="008679B3" w:rsidRPr="002749B3">
        <w:rPr>
          <w:rFonts w:eastAsia="Aptos"/>
          <w:color w:val="000000" w:themeColor="text1"/>
          <w:kern w:val="0"/>
          <w14:ligatures w14:val="none"/>
        </w:rPr>
        <w:t>otice</w:t>
      </w:r>
      <w:r w:rsidR="00C21698" w:rsidRPr="002749B3">
        <w:rPr>
          <w:rFonts w:eastAsia="Aptos"/>
          <w:color w:val="000000" w:themeColor="text1"/>
          <w:kern w:val="0"/>
          <w14:ligatures w14:val="none"/>
        </w:rPr>
        <w:t xml:space="preserve">, so it is unlikely they are affected by </w:t>
      </w:r>
      <w:r w:rsidR="00140314" w:rsidRPr="002749B3">
        <w:rPr>
          <w:rFonts w:eastAsia="Aptos"/>
          <w:color w:val="000000" w:themeColor="text1"/>
          <w:kern w:val="0"/>
          <w14:ligatures w14:val="none"/>
        </w:rPr>
        <w:t>the length of</w:t>
      </w:r>
      <w:r w:rsidR="00C21698" w:rsidRPr="002749B3">
        <w:rPr>
          <w:rFonts w:eastAsia="Aptos"/>
          <w:color w:val="000000" w:themeColor="text1"/>
          <w:kern w:val="0"/>
          <w14:ligatures w14:val="none"/>
        </w:rPr>
        <w:t xml:space="preserve"> PCR </w:t>
      </w:r>
      <w:r w:rsidR="0062480B" w:rsidRPr="002749B3">
        <w:rPr>
          <w:rFonts w:eastAsia="Aptos"/>
          <w:color w:val="000000" w:themeColor="text1"/>
          <w:kern w:val="0"/>
          <w14:ligatures w14:val="none"/>
        </w:rPr>
        <w:t>N</w:t>
      </w:r>
      <w:r w:rsidR="00C21698" w:rsidRPr="002749B3">
        <w:rPr>
          <w:rFonts w:eastAsia="Aptos"/>
          <w:color w:val="000000" w:themeColor="text1"/>
          <w:kern w:val="0"/>
          <w14:ligatures w14:val="none"/>
        </w:rPr>
        <w:t>otices</w:t>
      </w:r>
      <w:r w:rsidR="008679B3" w:rsidRPr="002749B3">
        <w:rPr>
          <w:rFonts w:eastAsia="Aptos"/>
          <w:color w:val="000000" w:themeColor="text1"/>
          <w:kern w:val="0"/>
          <w14:ligatures w14:val="none"/>
        </w:rPr>
        <w:t>.</w:t>
      </w:r>
    </w:p>
    <w:p w14:paraId="76EE19B2" w14:textId="1CC92E7D" w:rsidR="008679B3" w:rsidRPr="002749B3" w:rsidRDefault="001E7EA3" w:rsidP="00E75B54">
      <w:pPr>
        <w:spacing w:after="0" w:line="480" w:lineRule="auto"/>
        <w:ind w:firstLine="720"/>
        <w:jc w:val="both"/>
        <w:rPr>
          <w:rFonts w:eastAsia="Aptos"/>
          <w:color w:val="000000" w:themeColor="text1"/>
          <w:kern w:val="0"/>
          <w14:ligatures w14:val="none"/>
        </w:rPr>
      </w:pPr>
      <w:r w:rsidRPr="002749B3">
        <w:rPr>
          <w:rFonts w:eastAsia="Aptos"/>
          <w:color w:val="000000" w:themeColor="text1"/>
          <w:kern w:val="0"/>
          <w14:ligatures w14:val="none"/>
        </w:rPr>
        <w:t xml:space="preserve">Further, </w:t>
      </w:r>
      <w:r w:rsidR="008139D8" w:rsidRPr="002749B3">
        <w:rPr>
          <w:rFonts w:eastAsia="Aptos"/>
          <w:color w:val="000000" w:themeColor="text1"/>
          <w:kern w:val="0"/>
          <w14:ligatures w14:val="none"/>
        </w:rPr>
        <w:t>all drafters of this Comment handle post-conviction relief cases. The drafters submit, and explain more fully below, that lengthy PCR Not</w:t>
      </w:r>
      <w:r w:rsidR="00CA731A" w:rsidRPr="002749B3">
        <w:rPr>
          <w:rFonts w:eastAsia="Aptos"/>
          <w:color w:val="000000" w:themeColor="text1"/>
          <w:kern w:val="0"/>
          <w14:ligatures w14:val="none"/>
        </w:rPr>
        <w:t>ic</w:t>
      </w:r>
      <w:r w:rsidR="008139D8" w:rsidRPr="002749B3">
        <w:rPr>
          <w:rFonts w:eastAsia="Aptos"/>
          <w:color w:val="000000" w:themeColor="text1"/>
          <w:kern w:val="0"/>
          <w14:ligatures w14:val="none"/>
        </w:rPr>
        <w:t xml:space="preserve">es are the exception, not the standard. Most PCR </w:t>
      </w:r>
      <w:r w:rsidR="00EF5241" w:rsidRPr="002749B3">
        <w:rPr>
          <w:rFonts w:eastAsia="Aptos"/>
          <w:color w:val="000000" w:themeColor="text1"/>
          <w:kern w:val="0"/>
          <w14:ligatures w14:val="none"/>
        </w:rPr>
        <w:t>N</w:t>
      </w:r>
      <w:r w:rsidR="008139D8" w:rsidRPr="002749B3">
        <w:rPr>
          <w:rFonts w:eastAsia="Aptos"/>
          <w:color w:val="000000" w:themeColor="text1"/>
          <w:kern w:val="0"/>
          <w14:ligatures w14:val="none"/>
        </w:rPr>
        <w:t xml:space="preserve">otices </w:t>
      </w:r>
      <w:r w:rsidR="00224036" w:rsidRPr="002749B3">
        <w:rPr>
          <w:rFonts w:eastAsia="Aptos"/>
          <w:color w:val="000000" w:themeColor="text1"/>
          <w:kern w:val="0"/>
          <w14:ligatures w14:val="none"/>
        </w:rPr>
        <w:t xml:space="preserve">track the </w:t>
      </w:r>
      <w:r w:rsidR="0060628A" w:rsidRPr="002749B3">
        <w:rPr>
          <w:rFonts w:eastAsia="Aptos"/>
          <w:color w:val="000000" w:themeColor="text1"/>
          <w:kern w:val="0"/>
          <w14:ligatures w14:val="none"/>
        </w:rPr>
        <w:t xml:space="preserve">superior court’s </w:t>
      </w:r>
      <w:r w:rsidR="00224036" w:rsidRPr="002749B3">
        <w:rPr>
          <w:rFonts w:eastAsia="Aptos"/>
          <w:color w:val="000000" w:themeColor="text1"/>
          <w:kern w:val="0"/>
          <w14:ligatures w14:val="none"/>
        </w:rPr>
        <w:t>form</w:t>
      </w:r>
      <w:r w:rsidR="00C3208C" w:rsidRPr="002749B3">
        <w:rPr>
          <w:rFonts w:eastAsia="Aptos"/>
          <w:color w:val="000000" w:themeColor="text1"/>
          <w:kern w:val="0"/>
          <w14:ligatures w14:val="none"/>
        </w:rPr>
        <w:t xml:space="preserve">, resulting in a </w:t>
      </w:r>
      <w:r w:rsidR="00F76470" w:rsidRPr="002749B3">
        <w:rPr>
          <w:rFonts w:eastAsia="Aptos"/>
          <w:color w:val="000000" w:themeColor="text1"/>
          <w:kern w:val="0"/>
          <w14:ligatures w14:val="none"/>
        </w:rPr>
        <w:t>checked box</w:t>
      </w:r>
      <w:r w:rsidR="00C3208C" w:rsidRPr="002749B3">
        <w:rPr>
          <w:rFonts w:eastAsia="Aptos"/>
          <w:color w:val="000000" w:themeColor="text1"/>
          <w:kern w:val="0"/>
          <w14:ligatures w14:val="none"/>
        </w:rPr>
        <w:t>, and, occasionally, a few sentences to explain the primary concern</w:t>
      </w:r>
      <w:r w:rsidR="00EA2384" w:rsidRPr="002749B3">
        <w:rPr>
          <w:rFonts w:eastAsia="Aptos"/>
          <w:color w:val="000000" w:themeColor="text1"/>
          <w:kern w:val="0"/>
          <w14:ligatures w14:val="none"/>
        </w:rPr>
        <w:t>, or in the case of an untimely or successive notice, to explain why the claim was not brought sooner</w:t>
      </w:r>
      <w:r w:rsidR="00C3208C" w:rsidRPr="002749B3">
        <w:rPr>
          <w:rFonts w:eastAsia="Aptos"/>
          <w:color w:val="000000" w:themeColor="text1"/>
          <w:kern w:val="0"/>
          <w14:ligatures w14:val="none"/>
        </w:rPr>
        <w:t xml:space="preserve">. </w:t>
      </w:r>
      <w:r w:rsidR="00F76470" w:rsidRPr="002749B3">
        <w:rPr>
          <w:rFonts w:eastAsia="Aptos"/>
          <w:color w:val="000000" w:themeColor="text1"/>
          <w:kern w:val="0"/>
          <w14:ligatures w14:val="none"/>
        </w:rPr>
        <w:t xml:space="preserve">The Rule Petition does not provide any data to explain how pervasive the </w:t>
      </w:r>
      <w:r w:rsidR="00BF3176" w:rsidRPr="002749B3">
        <w:rPr>
          <w:rFonts w:eastAsia="Aptos"/>
          <w:color w:val="000000" w:themeColor="text1"/>
          <w:kern w:val="0"/>
          <w14:ligatures w14:val="none"/>
        </w:rPr>
        <w:t xml:space="preserve">problem is, and whether it conflicts with the drafters’ experience. </w:t>
      </w:r>
      <w:r w:rsidR="00F76470" w:rsidRPr="002749B3">
        <w:rPr>
          <w:rFonts w:eastAsia="Aptos"/>
          <w:color w:val="000000" w:themeColor="text1"/>
          <w:kern w:val="0"/>
          <w14:ligatures w14:val="none"/>
        </w:rPr>
        <w:t>W</w:t>
      </w:r>
      <w:r w:rsidR="008679B3" w:rsidRPr="002749B3">
        <w:rPr>
          <w:rFonts w:eastAsia="Aptos"/>
          <w:color w:val="000000" w:themeColor="text1"/>
          <w:kern w:val="0"/>
          <w14:ligatures w14:val="none"/>
        </w:rPr>
        <w:t>ithout additional information, it is difficult to determine how extensive th</w:t>
      </w:r>
      <w:r w:rsidR="00140314" w:rsidRPr="002749B3">
        <w:rPr>
          <w:rFonts w:eastAsia="Aptos"/>
          <w:color w:val="000000" w:themeColor="text1"/>
          <w:kern w:val="0"/>
          <w14:ligatures w14:val="none"/>
        </w:rPr>
        <w:t>is</w:t>
      </w:r>
      <w:r w:rsidR="008679B3" w:rsidRPr="002749B3">
        <w:rPr>
          <w:rFonts w:eastAsia="Aptos"/>
          <w:color w:val="000000" w:themeColor="text1"/>
          <w:kern w:val="0"/>
          <w14:ligatures w14:val="none"/>
        </w:rPr>
        <w:t xml:space="preserve"> problem is</w:t>
      </w:r>
      <w:r w:rsidR="00C27B49" w:rsidRPr="002749B3">
        <w:rPr>
          <w:rFonts w:eastAsia="Aptos"/>
          <w:color w:val="000000" w:themeColor="text1"/>
          <w:kern w:val="0"/>
          <w14:ligatures w14:val="none"/>
        </w:rPr>
        <w:t xml:space="preserve"> and what other possible remedies might exist. </w:t>
      </w:r>
    </w:p>
    <w:p w14:paraId="04267781" w14:textId="2A604EF9" w:rsidR="00DB6885" w:rsidRPr="002749B3" w:rsidRDefault="00DB6885" w:rsidP="00DB6885">
      <w:pPr>
        <w:pStyle w:val="ListParagraph"/>
        <w:numPr>
          <w:ilvl w:val="0"/>
          <w:numId w:val="3"/>
        </w:numPr>
        <w:spacing w:after="0" w:line="240" w:lineRule="auto"/>
        <w:jc w:val="both"/>
        <w:rPr>
          <w:rFonts w:eastAsia="Aptos"/>
          <w:b/>
          <w:bCs/>
          <w:color w:val="000000" w:themeColor="text1"/>
          <w:kern w:val="0"/>
          <w14:ligatures w14:val="none"/>
        </w:rPr>
      </w:pPr>
      <w:r w:rsidRPr="002749B3">
        <w:rPr>
          <w:rFonts w:eastAsia="Aptos"/>
          <w:b/>
          <w:bCs/>
          <w:color w:val="000000" w:themeColor="text1"/>
          <w:kern w:val="0"/>
          <w14:ligatures w14:val="none"/>
        </w:rPr>
        <w:t xml:space="preserve">The </w:t>
      </w:r>
      <w:r w:rsidR="00F5288B" w:rsidRPr="002749B3">
        <w:rPr>
          <w:rFonts w:eastAsia="Aptos"/>
          <w:b/>
          <w:bCs/>
          <w:color w:val="000000" w:themeColor="text1"/>
          <w:kern w:val="0"/>
          <w14:ligatures w14:val="none"/>
        </w:rPr>
        <w:t>Rule Petition</w:t>
      </w:r>
      <w:r w:rsidRPr="002749B3">
        <w:rPr>
          <w:rFonts w:eastAsia="Aptos"/>
          <w:b/>
          <w:bCs/>
          <w:color w:val="000000" w:themeColor="text1"/>
          <w:kern w:val="0"/>
          <w14:ligatures w14:val="none"/>
        </w:rPr>
        <w:t xml:space="preserve"> omits consequences and other procedural logistics.</w:t>
      </w:r>
    </w:p>
    <w:p w14:paraId="52C3485C" w14:textId="77777777" w:rsidR="00DB6885" w:rsidRPr="002749B3" w:rsidRDefault="00DB6885" w:rsidP="00DB6885">
      <w:pPr>
        <w:spacing w:after="0" w:line="240" w:lineRule="auto"/>
        <w:jc w:val="both"/>
        <w:rPr>
          <w:rFonts w:eastAsia="Aptos"/>
          <w:color w:val="000000" w:themeColor="text1"/>
          <w:kern w:val="0"/>
          <w14:ligatures w14:val="none"/>
        </w:rPr>
      </w:pPr>
    </w:p>
    <w:p w14:paraId="28BBC99D" w14:textId="2EE1C1C0" w:rsidR="00DB6885" w:rsidRPr="002749B3" w:rsidRDefault="00DB6885" w:rsidP="00FD4E6C">
      <w:pPr>
        <w:spacing w:after="0" w:line="480" w:lineRule="auto"/>
        <w:ind w:firstLine="720"/>
        <w:jc w:val="both"/>
        <w:rPr>
          <w:rFonts w:eastAsia="Aptos"/>
          <w:color w:val="000000" w:themeColor="text1"/>
          <w:kern w:val="0"/>
          <w14:ligatures w14:val="none"/>
        </w:rPr>
      </w:pPr>
      <w:r w:rsidRPr="002749B3">
        <w:rPr>
          <w:rFonts w:eastAsia="Aptos"/>
          <w:color w:val="000000" w:themeColor="text1"/>
          <w:kern w:val="0"/>
          <w14:ligatures w14:val="none"/>
        </w:rPr>
        <w:t xml:space="preserve">Petitions </w:t>
      </w:r>
      <w:r w:rsidR="00F5288B" w:rsidRPr="002749B3">
        <w:rPr>
          <w:rFonts w:eastAsia="Aptos"/>
          <w:color w:val="000000" w:themeColor="text1"/>
          <w:kern w:val="0"/>
          <w14:ligatures w14:val="none"/>
        </w:rPr>
        <w:t xml:space="preserve">for post-conviction relief </w:t>
      </w:r>
      <w:r w:rsidRPr="002749B3">
        <w:rPr>
          <w:rFonts w:eastAsia="Aptos"/>
          <w:color w:val="000000" w:themeColor="text1"/>
          <w:kern w:val="0"/>
          <w14:ligatures w14:val="none"/>
        </w:rPr>
        <w:t>that exceed the page limit in Rule 33.7(c) are struck</w:t>
      </w:r>
      <w:r w:rsidR="00823586" w:rsidRPr="002749B3">
        <w:rPr>
          <w:rFonts w:eastAsia="Aptos"/>
          <w:color w:val="000000" w:themeColor="text1"/>
          <w:kern w:val="0"/>
          <w14:ligatures w14:val="none"/>
        </w:rPr>
        <w:t>. T</w:t>
      </w:r>
      <w:r w:rsidR="00056727" w:rsidRPr="002749B3">
        <w:rPr>
          <w:rFonts w:eastAsia="Aptos"/>
          <w:color w:val="000000" w:themeColor="text1"/>
          <w:kern w:val="0"/>
          <w14:ligatures w14:val="none"/>
        </w:rPr>
        <w:t>he Rule Petition</w:t>
      </w:r>
      <w:r w:rsidR="00823586" w:rsidRPr="002749B3">
        <w:rPr>
          <w:rFonts w:eastAsia="Aptos"/>
          <w:color w:val="000000" w:themeColor="text1"/>
          <w:kern w:val="0"/>
          <w14:ligatures w14:val="none"/>
        </w:rPr>
        <w:t>, however,</w:t>
      </w:r>
      <w:r w:rsidR="00056727" w:rsidRPr="002749B3">
        <w:rPr>
          <w:rFonts w:eastAsia="Aptos"/>
          <w:color w:val="000000" w:themeColor="text1"/>
          <w:kern w:val="0"/>
          <w14:ligatures w14:val="none"/>
        </w:rPr>
        <w:t xml:space="preserve"> does not identify the sanction for violating the proposed page limit for</w:t>
      </w:r>
      <w:r w:rsidR="00EA57B6" w:rsidRPr="002749B3">
        <w:rPr>
          <w:rFonts w:eastAsia="Aptos"/>
          <w:color w:val="000000" w:themeColor="text1"/>
          <w:kern w:val="0"/>
          <w14:ligatures w14:val="none"/>
        </w:rPr>
        <w:t xml:space="preserve"> </w:t>
      </w:r>
      <w:r w:rsidR="00823586" w:rsidRPr="002749B3">
        <w:rPr>
          <w:rFonts w:eastAsia="Aptos"/>
          <w:color w:val="000000" w:themeColor="text1"/>
          <w:kern w:val="0"/>
          <w14:ligatures w14:val="none"/>
        </w:rPr>
        <w:t xml:space="preserve">PCR </w:t>
      </w:r>
      <w:r w:rsidR="0062480B" w:rsidRPr="002749B3">
        <w:rPr>
          <w:rFonts w:eastAsia="Aptos"/>
          <w:color w:val="000000" w:themeColor="text1"/>
          <w:kern w:val="0"/>
          <w14:ligatures w14:val="none"/>
        </w:rPr>
        <w:t>N</w:t>
      </w:r>
      <w:r w:rsidR="00823586" w:rsidRPr="002749B3">
        <w:rPr>
          <w:rFonts w:eastAsia="Aptos"/>
          <w:color w:val="000000" w:themeColor="text1"/>
          <w:kern w:val="0"/>
          <w14:ligatures w14:val="none"/>
        </w:rPr>
        <w:t>otices, nor</w:t>
      </w:r>
      <w:r w:rsidRPr="002749B3">
        <w:rPr>
          <w:rFonts w:eastAsia="Aptos"/>
          <w:color w:val="000000" w:themeColor="text1"/>
          <w:kern w:val="0"/>
          <w14:ligatures w14:val="none"/>
        </w:rPr>
        <w:t xml:space="preserve"> does </w:t>
      </w:r>
      <w:r w:rsidR="00076116" w:rsidRPr="002749B3">
        <w:rPr>
          <w:rFonts w:eastAsia="Aptos"/>
          <w:color w:val="000000" w:themeColor="text1"/>
          <w:kern w:val="0"/>
          <w14:ligatures w14:val="none"/>
        </w:rPr>
        <w:t>it identify</w:t>
      </w:r>
      <w:r w:rsidRPr="002749B3">
        <w:rPr>
          <w:rFonts w:eastAsia="Aptos"/>
          <w:color w:val="000000" w:themeColor="text1"/>
          <w:kern w:val="0"/>
          <w14:ligatures w14:val="none"/>
        </w:rPr>
        <w:t xml:space="preserve"> timelines or deadlines for amended filings, if allowed</w:t>
      </w:r>
      <w:r w:rsidR="00076116" w:rsidRPr="002749B3">
        <w:rPr>
          <w:rFonts w:eastAsia="Aptos"/>
          <w:color w:val="000000" w:themeColor="text1"/>
          <w:kern w:val="0"/>
          <w14:ligatures w14:val="none"/>
        </w:rPr>
        <w:t xml:space="preserve"> at all</w:t>
      </w:r>
      <w:r w:rsidRPr="002749B3">
        <w:rPr>
          <w:rFonts w:eastAsia="Aptos"/>
          <w:color w:val="000000" w:themeColor="text1"/>
          <w:kern w:val="0"/>
          <w14:ligatures w14:val="none"/>
        </w:rPr>
        <w:t xml:space="preserve">. </w:t>
      </w:r>
      <w:r w:rsidR="000368A5" w:rsidRPr="002749B3">
        <w:rPr>
          <w:rFonts w:eastAsia="Aptos"/>
          <w:color w:val="000000" w:themeColor="text1"/>
          <w:kern w:val="0"/>
          <w14:ligatures w14:val="none"/>
        </w:rPr>
        <w:t xml:space="preserve">Moreover, because filing a </w:t>
      </w:r>
      <w:r w:rsidR="00C616EA">
        <w:rPr>
          <w:rFonts w:eastAsia="Aptos"/>
          <w:color w:val="000000" w:themeColor="text1"/>
          <w:kern w:val="0"/>
          <w14:ligatures w14:val="none"/>
        </w:rPr>
        <w:t xml:space="preserve">PCR </w:t>
      </w:r>
      <w:r w:rsidR="000368A5" w:rsidRPr="002749B3">
        <w:rPr>
          <w:rFonts w:eastAsia="Aptos"/>
          <w:color w:val="000000" w:themeColor="text1"/>
          <w:kern w:val="0"/>
          <w14:ligatures w14:val="none"/>
        </w:rPr>
        <w:t>Notice begins the PCR process, the date of filing the Notice is the basis for whether a claim is timely, and impacts future substantive rights, such as the statu</w:t>
      </w:r>
      <w:r w:rsidR="00455F61" w:rsidRPr="002749B3">
        <w:rPr>
          <w:rFonts w:eastAsia="Aptos"/>
          <w:color w:val="000000" w:themeColor="text1"/>
          <w:kern w:val="0"/>
          <w14:ligatures w14:val="none"/>
        </w:rPr>
        <w:t>t</w:t>
      </w:r>
      <w:r w:rsidR="000368A5" w:rsidRPr="002749B3">
        <w:rPr>
          <w:rFonts w:eastAsia="Aptos"/>
          <w:color w:val="000000" w:themeColor="text1"/>
          <w:kern w:val="0"/>
          <w14:ligatures w14:val="none"/>
        </w:rPr>
        <w:t xml:space="preserve">e of limitations for filing a federal habeas petition. It is unclear how these time calculations would be affected </w:t>
      </w:r>
      <w:r w:rsidR="00D353E2" w:rsidRPr="002749B3">
        <w:rPr>
          <w:rFonts w:eastAsia="Aptos"/>
          <w:color w:val="000000" w:themeColor="text1"/>
          <w:kern w:val="0"/>
          <w14:ligatures w14:val="none"/>
        </w:rPr>
        <w:t>if this proposed rule were to come into effect</w:t>
      </w:r>
      <w:r w:rsidR="000368A5" w:rsidRPr="002749B3">
        <w:rPr>
          <w:rFonts w:eastAsia="Aptos"/>
          <w:color w:val="000000" w:themeColor="text1"/>
          <w:kern w:val="0"/>
          <w14:ligatures w14:val="none"/>
        </w:rPr>
        <w:t xml:space="preserve">. </w:t>
      </w:r>
      <w:r w:rsidR="00C65FFD" w:rsidRPr="002749B3">
        <w:rPr>
          <w:rFonts w:eastAsia="Aptos"/>
          <w:color w:val="000000" w:themeColor="text1"/>
          <w:kern w:val="0"/>
          <w14:ligatures w14:val="none"/>
        </w:rPr>
        <w:t xml:space="preserve">These unknowns will cause </w:t>
      </w:r>
      <w:r w:rsidR="00C65FFD" w:rsidRPr="002749B3">
        <w:rPr>
          <w:rFonts w:eastAsia="Aptos"/>
          <w:color w:val="000000" w:themeColor="text1"/>
          <w:kern w:val="0"/>
          <w14:ligatures w14:val="none"/>
        </w:rPr>
        <w:lastRenderedPageBreak/>
        <w:t xml:space="preserve">confusion and likely trigger litigation. </w:t>
      </w:r>
      <w:r w:rsidR="00C17ACD" w:rsidRPr="002749B3">
        <w:rPr>
          <w:rFonts w:eastAsia="Aptos"/>
          <w:color w:val="000000" w:themeColor="text1"/>
          <w:kern w:val="0"/>
          <w14:ligatures w14:val="none"/>
        </w:rPr>
        <w:t>Further, p</w:t>
      </w:r>
      <w:r w:rsidR="00B465A1" w:rsidRPr="002749B3">
        <w:rPr>
          <w:rFonts w:eastAsia="Aptos"/>
          <w:color w:val="000000" w:themeColor="text1"/>
          <w:kern w:val="0"/>
          <w14:ligatures w14:val="none"/>
        </w:rPr>
        <w:t>etitioners whose notices are struck may not know if their filing was rejected due to a procedural technicality or due to a substantive defect.</w:t>
      </w:r>
    </w:p>
    <w:p w14:paraId="7672C998" w14:textId="78E3DDAA" w:rsidR="00C24912" w:rsidRPr="002749B3" w:rsidRDefault="008E7D4B" w:rsidP="00FD4E6C">
      <w:pPr>
        <w:spacing w:after="0" w:line="480" w:lineRule="auto"/>
        <w:ind w:firstLine="720"/>
        <w:jc w:val="both"/>
        <w:rPr>
          <w:rFonts w:eastAsia="Aptos"/>
          <w:color w:val="000000" w:themeColor="text1"/>
          <w:kern w:val="0"/>
          <w14:ligatures w14:val="none"/>
        </w:rPr>
      </w:pPr>
      <w:r w:rsidRPr="002749B3">
        <w:rPr>
          <w:rFonts w:eastAsia="Aptos"/>
          <w:color w:val="000000" w:themeColor="text1"/>
          <w:kern w:val="0"/>
          <w14:ligatures w14:val="none"/>
        </w:rPr>
        <w:t>The Rule Petition</w:t>
      </w:r>
      <w:r w:rsidR="00026294" w:rsidRPr="002749B3">
        <w:rPr>
          <w:rFonts w:eastAsia="Aptos"/>
          <w:color w:val="000000" w:themeColor="text1"/>
          <w:kern w:val="0"/>
          <w14:ligatures w14:val="none"/>
        </w:rPr>
        <w:t xml:space="preserve"> </w:t>
      </w:r>
      <w:r w:rsidR="00C24912" w:rsidRPr="002749B3">
        <w:rPr>
          <w:rFonts w:eastAsia="Aptos"/>
          <w:color w:val="000000" w:themeColor="text1"/>
          <w:kern w:val="0"/>
          <w14:ligatures w14:val="none"/>
        </w:rPr>
        <w:t xml:space="preserve">assumes </w:t>
      </w:r>
      <w:r w:rsidR="00026294" w:rsidRPr="002749B3">
        <w:rPr>
          <w:rFonts w:eastAsia="Aptos"/>
          <w:color w:val="000000" w:themeColor="text1"/>
          <w:kern w:val="0"/>
          <w14:ligatures w14:val="none"/>
        </w:rPr>
        <w:t>that pro per filers have easy and reliable access to mail. But</w:t>
      </w:r>
      <w:r w:rsidR="00345E65" w:rsidRPr="002749B3">
        <w:rPr>
          <w:rFonts w:eastAsia="Aptos"/>
          <w:color w:val="000000" w:themeColor="text1"/>
          <w:kern w:val="0"/>
          <w14:ligatures w14:val="none"/>
        </w:rPr>
        <w:t xml:space="preserve"> recent changes in the mail policies for the </w:t>
      </w:r>
      <w:r w:rsidR="00D54F3D" w:rsidRPr="002749B3">
        <w:rPr>
          <w:rFonts w:eastAsia="Aptos"/>
          <w:color w:val="000000" w:themeColor="text1"/>
          <w:kern w:val="0"/>
          <w14:ligatures w14:val="none"/>
        </w:rPr>
        <w:t xml:space="preserve">Arizona </w:t>
      </w:r>
      <w:r w:rsidR="00345E65" w:rsidRPr="002749B3">
        <w:rPr>
          <w:rFonts w:eastAsia="Aptos"/>
          <w:color w:val="000000" w:themeColor="text1"/>
          <w:kern w:val="0"/>
          <w14:ligatures w14:val="none"/>
        </w:rPr>
        <w:t>Department of Corrections</w:t>
      </w:r>
      <w:r w:rsidR="00D54F3D" w:rsidRPr="002749B3">
        <w:rPr>
          <w:rFonts w:eastAsia="Aptos"/>
          <w:color w:val="000000" w:themeColor="text1"/>
          <w:kern w:val="0"/>
          <w14:ligatures w14:val="none"/>
        </w:rPr>
        <w:t>, Rehabilitation and Reentry (ADCRR)</w:t>
      </w:r>
      <w:r w:rsidR="00345E65" w:rsidRPr="002749B3">
        <w:rPr>
          <w:rFonts w:eastAsia="Aptos"/>
          <w:color w:val="000000" w:themeColor="text1"/>
          <w:kern w:val="0"/>
          <w14:ligatures w14:val="none"/>
        </w:rPr>
        <w:t xml:space="preserve"> have created significant difficulties (presently being addressed) with inmates receiving mail</w:t>
      </w:r>
      <w:r w:rsidR="002A5D15" w:rsidRPr="002749B3">
        <w:rPr>
          <w:rFonts w:eastAsia="Aptos"/>
          <w:color w:val="000000" w:themeColor="text1"/>
          <w:kern w:val="0"/>
          <w14:ligatures w14:val="none"/>
        </w:rPr>
        <w:t>, even legal mail</w:t>
      </w:r>
      <w:r w:rsidR="00345E65" w:rsidRPr="002749B3">
        <w:rPr>
          <w:rFonts w:eastAsia="Aptos"/>
          <w:color w:val="000000" w:themeColor="text1"/>
          <w:kern w:val="0"/>
          <w14:ligatures w14:val="none"/>
        </w:rPr>
        <w:t xml:space="preserve">. These </w:t>
      </w:r>
      <w:r w:rsidR="00C24912" w:rsidRPr="002749B3">
        <w:rPr>
          <w:rFonts w:eastAsia="Aptos"/>
          <w:color w:val="000000" w:themeColor="text1"/>
          <w:kern w:val="0"/>
          <w14:ligatures w14:val="none"/>
        </w:rPr>
        <w:t>issues will</w:t>
      </w:r>
      <w:r w:rsidR="00345E65" w:rsidRPr="002749B3">
        <w:rPr>
          <w:rFonts w:eastAsia="Aptos"/>
          <w:color w:val="000000" w:themeColor="text1"/>
          <w:kern w:val="0"/>
          <w14:ligatures w14:val="none"/>
        </w:rPr>
        <w:t xml:space="preserve"> further complicate the ability of inmates to address procedural defects in filings. </w:t>
      </w:r>
    </w:p>
    <w:p w14:paraId="41553473" w14:textId="58174618" w:rsidR="00345E65" w:rsidRPr="002749B3" w:rsidRDefault="00345E65" w:rsidP="00FD4E6C">
      <w:pPr>
        <w:spacing w:after="0" w:line="480" w:lineRule="auto"/>
        <w:ind w:firstLine="720"/>
        <w:jc w:val="both"/>
        <w:rPr>
          <w:rFonts w:eastAsia="Aptos"/>
          <w:color w:val="000000" w:themeColor="text1"/>
          <w:kern w:val="0"/>
          <w14:ligatures w14:val="none"/>
        </w:rPr>
      </w:pPr>
      <w:r w:rsidRPr="002749B3">
        <w:rPr>
          <w:rFonts w:eastAsia="Aptos"/>
          <w:color w:val="000000" w:themeColor="text1"/>
          <w:kern w:val="0"/>
          <w14:ligatures w14:val="none"/>
        </w:rPr>
        <w:t xml:space="preserve">For inmates who do not have counsel (either because their attorneys did not file a </w:t>
      </w:r>
      <w:r w:rsidR="000368A5" w:rsidRPr="002749B3">
        <w:rPr>
          <w:rFonts w:eastAsia="Aptos"/>
          <w:color w:val="000000" w:themeColor="text1"/>
          <w:kern w:val="0"/>
          <w14:ligatures w14:val="none"/>
        </w:rPr>
        <w:t>PCR Notice</w:t>
      </w:r>
      <w:r w:rsidRPr="002749B3">
        <w:rPr>
          <w:rFonts w:eastAsia="Aptos"/>
          <w:color w:val="000000" w:themeColor="text1"/>
          <w:kern w:val="0"/>
          <w14:ligatures w14:val="none"/>
        </w:rPr>
        <w:t xml:space="preserve"> on their behalf or because they are filing an untimely or successive notice), they may not understand procedural rejections, which could cause failures to further pursue remedies to which they have a right and which may be meritorious</w:t>
      </w:r>
      <w:r w:rsidR="000368A5" w:rsidRPr="002749B3">
        <w:rPr>
          <w:rFonts w:eastAsia="Aptos"/>
          <w:color w:val="000000" w:themeColor="text1"/>
          <w:kern w:val="0"/>
          <w14:ligatures w14:val="none"/>
        </w:rPr>
        <w:t>, potentially resulting in a chilling effect on the</w:t>
      </w:r>
      <w:r w:rsidR="002A5D15" w:rsidRPr="002749B3">
        <w:rPr>
          <w:rFonts w:eastAsia="Aptos"/>
          <w:color w:val="000000" w:themeColor="text1"/>
          <w:kern w:val="0"/>
          <w14:ligatures w14:val="none"/>
        </w:rPr>
        <w:t xml:space="preserve"> exercise of fundamental</w:t>
      </w:r>
      <w:r w:rsidR="000368A5" w:rsidRPr="002749B3">
        <w:rPr>
          <w:rFonts w:eastAsia="Aptos"/>
          <w:color w:val="000000" w:themeColor="text1"/>
          <w:kern w:val="0"/>
          <w14:ligatures w14:val="none"/>
        </w:rPr>
        <w:t xml:space="preserve"> and constitutional</w:t>
      </w:r>
      <w:r w:rsidR="002A5D15" w:rsidRPr="002749B3">
        <w:rPr>
          <w:rFonts w:eastAsia="Aptos"/>
          <w:color w:val="000000" w:themeColor="text1"/>
          <w:kern w:val="0"/>
          <w14:ligatures w14:val="none"/>
        </w:rPr>
        <w:t xml:space="preserve"> rights</w:t>
      </w:r>
      <w:r w:rsidRPr="002749B3">
        <w:rPr>
          <w:rFonts w:eastAsia="Aptos"/>
          <w:color w:val="000000" w:themeColor="text1"/>
          <w:kern w:val="0"/>
          <w14:ligatures w14:val="none"/>
        </w:rPr>
        <w:t xml:space="preserve">. </w:t>
      </w:r>
      <w:r w:rsidR="00D571C6" w:rsidRPr="002749B3">
        <w:rPr>
          <w:rFonts w:eastAsia="Aptos"/>
          <w:color w:val="000000" w:themeColor="text1"/>
          <w:kern w:val="0"/>
          <w14:ligatures w14:val="none"/>
        </w:rPr>
        <w:t>It is critical that post-conviction relief remain meaningfully accessible, and the procedural rules governing post-conviction relief should be crafted to preserve rather than restrict access.</w:t>
      </w:r>
    </w:p>
    <w:p w14:paraId="0409D49E" w14:textId="77777777" w:rsidR="00A21FAF" w:rsidRPr="002749B3" w:rsidRDefault="00A21FAF">
      <w:pPr>
        <w:rPr>
          <w:rFonts w:eastAsia="Aptos"/>
          <w:b/>
          <w:bCs/>
          <w:color w:val="000000" w:themeColor="text1"/>
          <w:kern w:val="0"/>
          <w14:ligatures w14:val="none"/>
        </w:rPr>
      </w:pPr>
      <w:r w:rsidRPr="002749B3">
        <w:rPr>
          <w:rFonts w:eastAsia="Aptos"/>
          <w:b/>
          <w:bCs/>
          <w:color w:val="000000" w:themeColor="text1"/>
          <w:kern w:val="0"/>
          <w14:ligatures w14:val="none"/>
        </w:rPr>
        <w:br w:type="page"/>
      </w:r>
    </w:p>
    <w:p w14:paraId="47325DDB" w14:textId="7036DEAF" w:rsidR="00DB6885" w:rsidRPr="002749B3" w:rsidRDefault="00B56EA6" w:rsidP="00A21FAF">
      <w:pPr>
        <w:pStyle w:val="ListParagraph"/>
        <w:numPr>
          <w:ilvl w:val="0"/>
          <w:numId w:val="5"/>
        </w:numPr>
        <w:spacing w:after="0" w:line="240" w:lineRule="auto"/>
        <w:rPr>
          <w:rFonts w:eastAsia="Aptos"/>
          <w:b/>
          <w:bCs/>
          <w:color w:val="000000" w:themeColor="text1"/>
          <w:kern w:val="0"/>
          <w14:ligatures w14:val="none"/>
        </w:rPr>
      </w:pPr>
      <w:r w:rsidRPr="002749B3">
        <w:rPr>
          <w:rFonts w:eastAsia="Aptos"/>
          <w:b/>
          <w:bCs/>
          <w:color w:val="000000" w:themeColor="text1"/>
          <w:kern w:val="0"/>
          <w14:ligatures w14:val="none"/>
        </w:rPr>
        <w:lastRenderedPageBreak/>
        <w:t>P</w:t>
      </w:r>
      <w:r w:rsidR="00DB6885" w:rsidRPr="002749B3">
        <w:rPr>
          <w:rFonts w:eastAsia="Aptos"/>
          <w:b/>
          <w:bCs/>
          <w:color w:val="000000" w:themeColor="text1"/>
          <w:kern w:val="0"/>
          <w14:ligatures w14:val="none"/>
        </w:rPr>
        <w:t>etitioners are held to the same procedural standards as attorneys, which poses significant challenges for those with limited resources.</w:t>
      </w:r>
    </w:p>
    <w:p w14:paraId="724781E2" w14:textId="77777777" w:rsidR="00DB6885" w:rsidRPr="002749B3" w:rsidRDefault="00DB6885" w:rsidP="00DB6885">
      <w:pPr>
        <w:spacing w:after="0" w:line="240" w:lineRule="auto"/>
        <w:rPr>
          <w:rFonts w:eastAsia="Aptos"/>
          <w:color w:val="000000" w:themeColor="text1"/>
          <w:kern w:val="0"/>
          <w14:ligatures w14:val="none"/>
        </w:rPr>
      </w:pPr>
    </w:p>
    <w:p w14:paraId="3C4EA773" w14:textId="01B3B38B" w:rsidR="00DB6885" w:rsidRPr="002749B3" w:rsidRDefault="00DB6885" w:rsidP="00DB6885">
      <w:pPr>
        <w:numPr>
          <w:ilvl w:val="0"/>
          <w:numId w:val="1"/>
        </w:numPr>
        <w:spacing w:after="0" w:line="240" w:lineRule="auto"/>
        <w:contextualSpacing/>
        <w:rPr>
          <w:rFonts w:eastAsia="Aptos"/>
          <w:b/>
          <w:bCs/>
          <w:color w:val="000000" w:themeColor="text1"/>
          <w:kern w:val="0"/>
          <w14:ligatures w14:val="none"/>
        </w:rPr>
      </w:pPr>
      <w:r w:rsidRPr="002749B3">
        <w:rPr>
          <w:rFonts w:eastAsia="Aptos"/>
          <w:b/>
          <w:bCs/>
          <w:color w:val="000000" w:themeColor="text1"/>
          <w:kern w:val="0"/>
          <w14:ligatures w14:val="none"/>
        </w:rPr>
        <w:t>Pro per petitioners face unique challenges.</w:t>
      </w:r>
    </w:p>
    <w:p w14:paraId="307AB36E" w14:textId="77777777" w:rsidR="00DB6885" w:rsidRPr="002749B3" w:rsidRDefault="00DB6885" w:rsidP="00DB6885">
      <w:pPr>
        <w:spacing w:after="0" w:line="240" w:lineRule="auto"/>
        <w:rPr>
          <w:rFonts w:eastAsia="Aptos"/>
          <w:color w:val="000000" w:themeColor="text1"/>
          <w:kern w:val="0"/>
          <w14:ligatures w14:val="none"/>
        </w:rPr>
      </w:pPr>
    </w:p>
    <w:p w14:paraId="01E3A22D" w14:textId="6FDBDC7B" w:rsidR="00DB6885" w:rsidRPr="002749B3" w:rsidRDefault="00DB6885" w:rsidP="00857035">
      <w:pPr>
        <w:spacing w:after="0" w:line="480" w:lineRule="auto"/>
        <w:ind w:firstLine="720"/>
        <w:jc w:val="both"/>
        <w:rPr>
          <w:rFonts w:eastAsia="Aptos"/>
          <w:color w:val="000000" w:themeColor="text1"/>
          <w:kern w:val="0"/>
          <w14:ligatures w14:val="none"/>
        </w:rPr>
      </w:pPr>
      <w:r w:rsidRPr="002749B3">
        <w:rPr>
          <w:rFonts w:eastAsia="Aptos"/>
          <w:color w:val="000000" w:themeColor="text1"/>
          <w:kern w:val="0"/>
          <w14:ligatures w14:val="none"/>
        </w:rPr>
        <w:t xml:space="preserve">Pro per petitioners are not appointed counsel until after their PCR </w:t>
      </w:r>
      <w:r w:rsidR="00C6797E" w:rsidRPr="002749B3">
        <w:rPr>
          <w:rFonts w:eastAsia="Aptos"/>
          <w:color w:val="000000" w:themeColor="text1"/>
          <w:kern w:val="0"/>
          <w14:ligatures w14:val="none"/>
        </w:rPr>
        <w:t>N</w:t>
      </w:r>
      <w:r w:rsidRPr="002749B3">
        <w:rPr>
          <w:rFonts w:eastAsia="Aptos"/>
          <w:color w:val="000000" w:themeColor="text1"/>
          <w:kern w:val="0"/>
          <w14:ligatures w14:val="none"/>
        </w:rPr>
        <w:t xml:space="preserve">otice is filed. </w:t>
      </w:r>
      <w:r w:rsidR="00677907" w:rsidRPr="002749B3">
        <w:rPr>
          <w:rFonts w:eastAsia="Aptos"/>
          <w:color w:val="000000" w:themeColor="text1"/>
          <w:kern w:val="0"/>
          <w14:ligatures w14:val="none"/>
        </w:rPr>
        <w:t>Ariz. R. Crim. P. 32.5, 33.5(a)</w:t>
      </w:r>
      <w:r w:rsidR="00C0429F">
        <w:rPr>
          <w:rFonts w:eastAsia="Aptos"/>
          <w:color w:val="000000" w:themeColor="text1"/>
          <w:kern w:val="0"/>
          <w14:ligatures w14:val="none"/>
        </w:rPr>
        <w:t xml:space="preserve">; </w:t>
      </w:r>
      <w:r w:rsidR="00C0429F">
        <w:rPr>
          <w:rFonts w:eastAsia="Aptos"/>
          <w:i/>
          <w:iCs/>
          <w:color w:val="000000" w:themeColor="text1"/>
          <w:kern w:val="0"/>
          <w14:ligatures w14:val="none"/>
        </w:rPr>
        <w:t>see also State v. Hamlet</w:t>
      </w:r>
      <w:r w:rsidR="00C0429F">
        <w:rPr>
          <w:rFonts w:eastAsia="Aptos"/>
          <w:color w:val="000000" w:themeColor="text1"/>
          <w:kern w:val="0"/>
          <w14:ligatures w14:val="none"/>
        </w:rPr>
        <w:t xml:space="preserve">, </w:t>
      </w:r>
      <w:r w:rsidR="008549C4">
        <w:rPr>
          <w:rFonts w:eastAsia="Aptos"/>
          <w:color w:val="000000" w:themeColor="text1"/>
          <w:kern w:val="0"/>
          <w14:ligatures w14:val="none"/>
        </w:rPr>
        <w:t>No. 2 CA-CR 2026-0019-PR, 2026 WL 673856</w:t>
      </w:r>
      <w:r w:rsidR="00025B82">
        <w:rPr>
          <w:rFonts w:eastAsia="Aptos"/>
          <w:color w:val="000000" w:themeColor="text1"/>
          <w:kern w:val="0"/>
          <w14:ligatures w14:val="none"/>
        </w:rPr>
        <w:t xml:space="preserve"> (App. Div. 2 Mar. 10, 2026) (</w:t>
      </w:r>
      <w:r w:rsidR="00CA2E8E">
        <w:rPr>
          <w:rFonts w:eastAsia="Aptos"/>
          <w:color w:val="000000" w:themeColor="text1"/>
          <w:kern w:val="0"/>
          <w14:ligatures w14:val="none"/>
        </w:rPr>
        <w:t xml:space="preserve">reversing summary dismissal of post-conviction relief proceeding </w:t>
      </w:r>
      <w:r w:rsidR="003E3A79">
        <w:rPr>
          <w:rFonts w:eastAsia="Aptos"/>
          <w:color w:val="000000" w:themeColor="text1"/>
          <w:kern w:val="0"/>
          <w14:ligatures w14:val="none"/>
        </w:rPr>
        <w:t xml:space="preserve">and remanding for further fact-finding where unclear if incarcerated filer </w:t>
      </w:r>
      <w:r w:rsidR="004B5E7D">
        <w:rPr>
          <w:rFonts w:eastAsia="Aptos"/>
          <w:color w:val="000000" w:themeColor="text1"/>
          <w:kern w:val="0"/>
          <w14:ligatures w14:val="none"/>
        </w:rPr>
        <w:t>timely filed PCR Notice)</w:t>
      </w:r>
      <w:r w:rsidR="00677907" w:rsidRPr="002749B3">
        <w:rPr>
          <w:rFonts w:eastAsia="Aptos"/>
          <w:color w:val="000000" w:themeColor="text1"/>
          <w:kern w:val="0"/>
          <w14:ligatures w14:val="none"/>
        </w:rPr>
        <w:t xml:space="preserve">. </w:t>
      </w:r>
      <w:r w:rsidR="00857035" w:rsidRPr="002749B3">
        <w:rPr>
          <w:rFonts w:eastAsia="Aptos"/>
          <w:color w:val="000000" w:themeColor="text1"/>
          <w:kern w:val="0"/>
          <w14:ligatures w14:val="none"/>
        </w:rPr>
        <w:t xml:space="preserve">This means that they generally have no professional guidance when attempting to initiate a post-conviction relief proceeding. </w:t>
      </w:r>
      <w:r w:rsidR="00B04F30" w:rsidRPr="002749B3">
        <w:rPr>
          <w:rFonts w:eastAsia="Aptos"/>
          <w:color w:val="000000" w:themeColor="text1"/>
          <w:kern w:val="0"/>
          <w14:ligatures w14:val="none"/>
        </w:rPr>
        <w:t>Additionally, p</w:t>
      </w:r>
      <w:r w:rsidR="00B07E56" w:rsidRPr="002749B3">
        <w:rPr>
          <w:rFonts w:eastAsia="Aptos"/>
          <w:color w:val="000000" w:themeColor="text1"/>
          <w:kern w:val="0"/>
          <w14:ligatures w14:val="none"/>
        </w:rPr>
        <w:t xml:space="preserve">ro per petitioners </w:t>
      </w:r>
      <w:r w:rsidR="009563CD" w:rsidRPr="002749B3">
        <w:rPr>
          <w:rFonts w:eastAsia="Aptos"/>
          <w:color w:val="000000" w:themeColor="text1"/>
          <w:kern w:val="0"/>
          <w14:ligatures w14:val="none"/>
        </w:rPr>
        <w:t xml:space="preserve">do not have the same access to tools and resources </w:t>
      </w:r>
      <w:r w:rsidR="00721295" w:rsidRPr="002749B3">
        <w:rPr>
          <w:rFonts w:eastAsia="Aptos"/>
          <w:color w:val="000000" w:themeColor="text1"/>
          <w:kern w:val="0"/>
          <w14:ligatures w14:val="none"/>
        </w:rPr>
        <w:t xml:space="preserve">for drafting pleadings </w:t>
      </w:r>
      <w:r w:rsidR="009563CD" w:rsidRPr="002749B3">
        <w:rPr>
          <w:rFonts w:eastAsia="Aptos"/>
          <w:color w:val="000000" w:themeColor="text1"/>
          <w:kern w:val="0"/>
          <w14:ligatures w14:val="none"/>
        </w:rPr>
        <w:t>that are available outside of prison</w:t>
      </w:r>
      <w:r w:rsidR="00E219A1" w:rsidRPr="002749B3">
        <w:rPr>
          <w:rStyle w:val="FootnoteReference"/>
          <w:rFonts w:eastAsia="Aptos"/>
          <w:color w:val="000000" w:themeColor="text1"/>
          <w:kern w:val="0"/>
          <w14:ligatures w14:val="none"/>
        </w:rPr>
        <w:footnoteReference w:id="2"/>
      </w:r>
      <w:r w:rsidR="009563CD" w:rsidRPr="002749B3">
        <w:rPr>
          <w:rFonts w:eastAsia="Aptos"/>
          <w:color w:val="000000" w:themeColor="text1"/>
          <w:kern w:val="0"/>
          <w14:ligatures w14:val="none"/>
        </w:rPr>
        <w:t xml:space="preserve">. </w:t>
      </w:r>
      <w:r w:rsidR="008E393C" w:rsidRPr="002749B3">
        <w:rPr>
          <w:rFonts w:eastAsia="Aptos"/>
          <w:color w:val="000000" w:themeColor="text1"/>
          <w:kern w:val="0"/>
          <w14:ligatures w14:val="none"/>
        </w:rPr>
        <w:t>There are no state or</w:t>
      </w:r>
      <w:r w:rsidR="00C070CB" w:rsidRPr="002749B3">
        <w:rPr>
          <w:rFonts w:eastAsia="Aptos"/>
          <w:color w:val="000000" w:themeColor="text1"/>
          <w:kern w:val="0"/>
          <w14:ligatures w14:val="none"/>
        </w:rPr>
        <w:t xml:space="preserve"> </w:t>
      </w:r>
      <w:r w:rsidR="00660AFB" w:rsidRPr="002749B3">
        <w:rPr>
          <w:rFonts w:eastAsia="Aptos"/>
          <w:color w:val="000000" w:themeColor="text1"/>
          <w:kern w:val="0"/>
          <w14:ligatures w14:val="none"/>
        </w:rPr>
        <w:t xml:space="preserve">ADCRR </w:t>
      </w:r>
      <w:r w:rsidR="008E393C" w:rsidRPr="002749B3">
        <w:rPr>
          <w:rFonts w:eastAsia="Aptos"/>
          <w:color w:val="000000" w:themeColor="text1"/>
          <w:kern w:val="0"/>
          <w14:ligatures w14:val="none"/>
        </w:rPr>
        <w:t>policies mandating consistent availability of materials such as computers or laptops with word processing</w:t>
      </w:r>
      <w:r w:rsidR="00B04F30" w:rsidRPr="002749B3">
        <w:rPr>
          <w:rFonts w:eastAsia="Aptos"/>
          <w:color w:val="000000" w:themeColor="text1"/>
          <w:kern w:val="0"/>
          <w14:ligatures w14:val="none"/>
        </w:rPr>
        <w:t xml:space="preserve">, so these </w:t>
      </w:r>
      <w:r w:rsidR="006933E8" w:rsidRPr="002749B3">
        <w:rPr>
          <w:rFonts w:eastAsia="Aptos"/>
          <w:color w:val="000000" w:themeColor="text1"/>
          <w:kern w:val="0"/>
          <w14:ligatures w14:val="none"/>
        </w:rPr>
        <w:t xml:space="preserve">critical </w:t>
      </w:r>
      <w:r w:rsidR="00B04F30" w:rsidRPr="002749B3">
        <w:rPr>
          <w:rFonts w:eastAsia="Aptos"/>
          <w:color w:val="000000" w:themeColor="text1"/>
          <w:kern w:val="0"/>
          <w14:ligatures w14:val="none"/>
        </w:rPr>
        <w:t>resources are often lacking in Arizona prisons</w:t>
      </w:r>
      <w:r w:rsidR="00296F6B" w:rsidRPr="002749B3">
        <w:rPr>
          <w:rStyle w:val="FootnoteReference"/>
          <w:rFonts w:eastAsia="Aptos"/>
          <w:color w:val="000000" w:themeColor="text1"/>
          <w:kern w:val="0"/>
          <w14:ligatures w14:val="none"/>
        </w:rPr>
        <w:footnoteReference w:id="3"/>
      </w:r>
      <w:r w:rsidR="008E393C" w:rsidRPr="002749B3">
        <w:rPr>
          <w:rFonts w:eastAsia="Aptos"/>
          <w:color w:val="000000" w:themeColor="text1"/>
          <w:kern w:val="0"/>
          <w14:ligatures w14:val="none"/>
        </w:rPr>
        <w:t>.</w:t>
      </w:r>
      <w:r w:rsidR="009537CB" w:rsidRPr="002749B3">
        <w:rPr>
          <w:rFonts w:eastAsia="Aptos"/>
          <w:color w:val="000000" w:themeColor="text1"/>
          <w:kern w:val="0"/>
          <w14:ligatures w14:val="none"/>
        </w:rPr>
        <w:t xml:space="preserve"> </w:t>
      </w:r>
      <w:r w:rsidRPr="002749B3">
        <w:rPr>
          <w:rFonts w:eastAsia="Aptos"/>
          <w:color w:val="000000" w:themeColor="text1"/>
          <w:kern w:val="0"/>
          <w14:ligatures w14:val="none"/>
        </w:rPr>
        <w:t>The Maricopa County Superior Court supplies a</w:t>
      </w:r>
      <w:r w:rsidR="009B4138" w:rsidRPr="002749B3">
        <w:rPr>
          <w:rFonts w:eastAsia="Aptos"/>
          <w:color w:val="000000" w:themeColor="text1"/>
          <w:kern w:val="0"/>
          <w14:ligatures w14:val="none"/>
        </w:rPr>
        <w:t xml:space="preserve"> digital</w:t>
      </w:r>
      <w:r w:rsidRPr="002749B3">
        <w:rPr>
          <w:rFonts w:eastAsia="Aptos"/>
          <w:color w:val="000000" w:themeColor="text1"/>
          <w:kern w:val="0"/>
          <w14:ligatures w14:val="none"/>
        </w:rPr>
        <w:t xml:space="preserve"> </w:t>
      </w:r>
      <w:hyperlink r:id="rId12" w:history="1">
        <w:r w:rsidR="00331E40" w:rsidRPr="002749B3">
          <w:rPr>
            <w:rStyle w:val="Hyperlink"/>
            <w:rFonts w:eastAsia="Aptos"/>
            <w:color w:val="000000" w:themeColor="text1"/>
            <w:kern w:val="0"/>
            <w14:ligatures w14:val="none"/>
          </w:rPr>
          <w:t>Notice Requesting</w:t>
        </w:r>
        <w:r w:rsidR="00371E2B" w:rsidRPr="002749B3">
          <w:rPr>
            <w:rStyle w:val="Hyperlink"/>
            <w:rFonts w:eastAsia="Aptos"/>
            <w:color w:val="000000" w:themeColor="text1"/>
            <w:kern w:val="0"/>
            <w14:ligatures w14:val="none"/>
          </w:rPr>
          <w:t xml:space="preserve"> </w:t>
        </w:r>
        <w:r w:rsidR="00331E40" w:rsidRPr="002749B3">
          <w:rPr>
            <w:rStyle w:val="Hyperlink"/>
            <w:rFonts w:eastAsia="Aptos"/>
            <w:color w:val="000000" w:themeColor="text1"/>
            <w:kern w:val="0"/>
            <w14:ligatures w14:val="none"/>
          </w:rPr>
          <w:t>Post-Conviction Relief</w:t>
        </w:r>
        <w:r w:rsidRPr="002749B3">
          <w:rPr>
            <w:rStyle w:val="Hyperlink"/>
            <w:rFonts w:eastAsia="Aptos"/>
            <w:color w:val="000000" w:themeColor="text1"/>
            <w:kern w:val="0"/>
            <w14:ligatures w14:val="none"/>
          </w:rPr>
          <w:t xml:space="preserve"> form</w:t>
        </w:r>
      </w:hyperlink>
      <w:r w:rsidR="00B01C4B" w:rsidRPr="002749B3">
        <w:rPr>
          <w:rStyle w:val="FootnoteReference"/>
          <w:rFonts w:eastAsia="Aptos"/>
          <w:color w:val="000000" w:themeColor="text1"/>
          <w:kern w:val="0"/>
          <w14:ligatures w14:val="none"/>
        </w:rPr>
        <w:footnoteReference w:id="4"/>
      </w:r>
      <w:r w:rsidR="00087871" w:rsidRPr="002749B3">
        <w:rPr>
          <w:rFonts w:eastAsia="Aptos"/>
          <w:color w:val="000000" w:themeColor="text1"/>
          <w:kern w:val="0"/>
          <w14:ligatures w14:val="none"/>
        </w:rPr>
        <w:t xml:space="preserve">, </w:t>
      </w:r>
      <w:r w:rsidRPr="002749B3">
        <w:rPr>
          <w:rFonts w:eastAsia="Aptos"/>
          <w:color w:val="000000" w:themeColor="text1"/>
          <w:kern w:val="0"/>
          <w14:ligatures w14:val="none"/>
        </w:rPr>
        <w:t xml:space="preserve">but pro per petitioners may not be able to access it on their own from within prison. </w:t>
      </w:r>
    </w:p>
    <w:p w14:paraId="18A746D3" w14:textId="1D0B48D1" w:rsidR="002A5D15" w:rsidRPr="002749B3" w:rsidRDefault="002A5D15" w:rsidP="00857035">
      <w:pPr>
        <w:spacing w:after="0" w:line="480" w:lineRule="auto"/>
        <w:ind w:firstLine="720"/>
        <w:jc w:val="both"/>
        <w:rPr>
          <w:rFonts w:eastAsia="Aptos"/>
          <w:color w:val="000000" w:themeColor="text1"/>
          <w:kern w:val="0"/>
          <w14:ligatures w14:val="none"/>
        </w:rPr>
      </w:pPr>
      <w:r w:rsidRPr="002749B3">
        <w:rPr>
          <w:rFonts w:eastAsia="Aptos"/>
          <w:color w:val="000000" w:themeColor="text1"/>
          <w:kern w:val="0"/>
          <w14:ligatures w14:val="none"/>
        </w:rPr>
        <w:lastRenderedPageBreak/>
        <w:t xml:space="preserve">Notably, under the new rules recently put into effect by the </w:t>
      </w:r>
      <w:r w:rsidR="000368A5" w:rsidRPr="002749B3">
        <w:rPr>
          <w:rFonts w:eastAsia="Aptos"/>
          <w:color w:val="000000" w:themeColor="text1"/>
          <w:kern w:val="0"/>
          <w14:ligatures w14:val="none"/>
        </w:rPr>
        <w:t>ADCRR</w:t>
      </w:r>
      <w:r w:rsidR="00962E0A" w:rsidRPr="002749B3">
        <w:rPr>
          <w:rFonts w:eastAsia="Aptos"/>
          <w:color w:val="000000" w:themeColor="text1"/>
          <w:kern w:val="0"/>
          <w14:ligatures w14:val="none"/>
        </w:rPr>
        <w:t>,</w:t>
      </w:r>
      <w:r w:rsidRPr="002749B3">
        <w:rPr>
          <w:rFonts w:eastAsia="Aptos"/>
          <w:color w:val="000000" w:themeColor="text1"/>
          <w:kern w:val="0"/>
          <w14:ligatures w14:val="none"/>
        </w:rPr>
        <w:t xml:space="preserve"> it has become far more difficult for inmates to reach out to attorneys for consultations. Under the old phone policy, inmates could simply use money on their books to contact attorneys or could call collect. The new rules, however, restrict inmates to calling only twenty numbers that are on their approved list. Getting on their approved list requires action by the party to be called</w:t>
      </w:r>
      <w:r w:rsidR="002E71A1" w:rsidRPr="002749B3">
        <w:rPr>
          <w:rFonts w:eastAsia="Aptos"/>
          <w:color w:val="000000" w:themeColor="text1"/>
          <w:kern w:val="0"/>
          <w14:ligatures w14:val="none"/>
        </w:rPr>
        <w:t>—</w:t>
      </w:r>
      <w:r w:rsidRPr="002749B3">
        <w:rPr>
          <w:rFonts w:eastAsia="Aptos"/>
          <w:color w:val="000000" w:themeColor="text1"/>
          <w:kern w:val="0"/>
          <w14:ligatures w14:val="none"/>
        </w:rPr>
        <w:t xml:space="preserve">meaning unless attorneys apply to be added to the list of every inmate, the inmate is unable to call. Instead, the inmate must ask </w:t>
      </w:r>
      <w:r w:rsidR="00962E0A" w:rsidRPr="002749B3">
        <w:rPr>
          <w:rFonts w:eastAsia="Aptos"/>
          <w:color w:val="000000" w:themeColor="text1"/>
          <w:kern w:val="0"/>
          <w14:ligatures w14:val="none"/>
        </w:rPr>
        <w:t>their</w:t>
      </w:r>
      <w:r w:rsidRPr="002749B3">
        <w:rPr>
          <w:rFonts w:eastAsia="Aptos"/>
          <w:color w:val="000000" w:themeColor="text1"/>
          <w:kern w:val="0"/>
          <w14:ligatures w14:val="none"/>
        </w:rPr>
        <w:t xml:space="preserve"> block corrections officer</w:t>
      </w:r>
      <w:r w:rsidR="0051087D" w:rsidRPr="002749B3">
        <w:rPr>
          <w:rFonts w:eastAsia="Aptos"/>
          <w:color w:val="000000" w:themeColor="text1"/>
          <w:kern w:val="0"/>
          <w14:ligatures w14:val="none"/>
        </w:rPr>
        <w:t xml:space="preserve"> </w:t>
      </w:r>
      <w:r w:rsidRPr="002749B3">
        <w:rPr>
          <w:rFonts w:eastAsia="Aptos"/>
          <w:color w:val="000000" w:themeColor="text1"/>
          <w:kern w:val="0"/>
          <w14:ligatures w14:val="none"/>
        </w:rPr>
        <w:t xml:space="preserve">to set up a legal call and must provide the number. Across </w:t>
      </w:r>
      <w:r w:rsidR="000368A5" w:rsidRPr="002749B3">
        <w:rPr>
          <w:rFonts w:eastAsia="Aptos"/>
          <w:color w:val="000000" w:themeColor="text1"/>
          <w:kern w:val="0"/>
          <w14:ligatures w14:val="none"/>
        </w:rPr>
        <w:t>ADCRR</w:t>
      </w:r>
      <w:r w:rsidRPr="002749B3">
        <w:rPr>
          <w:rFonts w:eastAsia="Aptos"/>
          <w:color w:val="000000" w:themeColor="text1"/>
          <w:kern w:val="0"/>
          <w14:ligatures w14:val="none"/>
        </w:rPr>
        <w:t xml:space="preserve">, the responsiveness of </w:t>
      </w:r>
      <w:r w:rsidR="0051087D" w:rsidRPr="002749B3">
        <w:rPr>
          <w:rFonts w:eastAsia="Aptos"/>
          <w:color w:val="000000" w:themeColor="text1"/>
          <w:kern w:val="0"/>
          <w14:ligatures w14:val="none"/>
        </w:rPr>
        <w:t xml:space="preserve">these officers </w:t>
      </w:r>
      <w:r w:rsidRPr="002749B3">
        <w:rPr>
          <w:rFonts w:eastAsia="Aptos"/>
          <w:color w:val="000000" w:themeColor="text1"/>
          <w:kern w:val="0"/>
          <w14:ligatures w14:val="none"/>
        </w:rPr>
        <w:t>to such requests is wildly inconsistent. These communication challenges render inmates more isolated than eve</w:t>
      </w:r>
      <w:r w:rsidR="000368A5" w:rsidRPr="002749B3">
        <w:rPr>
          <w:rFonts w:eastAsia="Aptos"/>
          <w:color w:val="000000" w:themeColor="text1"/>
          <w:kern w:val="0"/>
          <w14:ligatures w14:val="none"/>
        </w:rPr>
        <w:t>r</w:t>
      </w:r>
      <w:r w:rsidRPr="002749B3">
        <w:rPr>
          <w:rFonts w:eastAsia="Aptos"/>
          <w:color w:val="000000" w:themeColor="text1"/>
          <w:kern w:val="0"/>
          <w14:ligatures w14:val="none"/>
        </w:rPr>
        <w:t xml:space="preserve"> </w:t>
      </w:r>
      <w:r w:rsidR="007E032E" w:rsidRPr="002749B3">
        <w:rPr>
          <w:rFonts w:eastAsia="Aptos"/>
          <w:color w:val="000000" w:themeColor="text1"/>
          <w:kern w:val="0"/>
          <w14:ligatures w14:val="none"/>
        </w:rPr>
        <w:t xml:space="preserve">when </w:t>
      </w:r>
      <w:r w:rsidRPr="002749B3">
        <w:rPr>
          <w:rFonts w:eastAsia="Aptos"/>
          <w:color w:val="000000" w:themeColor="text1"/>
          <w:kern w:val="0"/>
          <w14:ligatures w14:val="none"/>
        </w:rPr>
        <w:t xml:space="preserve">seeking to file PCR </w:t>
      </w:r>
      <w:r w:rsidR="007E032E" w:rsidRPr="002749B3">
        <w:rPr>
          <w:rFonts w:eastAsia="Aptos"/>
          <w:color w:val="000000" w:themeColor="text1"/>
          <w:kern w:val="0"/>
          <w14:ligatures w14:val="none"/>
        </w:rPr>
        <w:t>N</w:t>
      </w:r>
      <w:r w:rsidRPr="002749B3">
        <w:rPr>
          <w:rFonts w:eastAsia="Aptos"/>
          <w:color w:val="000000" w:themeColor="text1"/>
          <w:kern w:val="0"/>
          <w14:ligatures w14:val="none"/>
        </w:rPr>
        <w:t>otices.</w:t>
      </w:r>
    </w:p>
    <w:p w14:paraId="14D14B14" w14:textId="0C3D333A" w:rsidR="00DB6885" w:rsidRPr="002749B3" w:rsidRDefault="00F85AFA" w:rsidP="00DB6885">
      <w:pPr>
        <w:numPr>
          <w:ilvl w:val="0"/>
          <w:numId w:val="1"/>
        </w:numPr>
        <w:spacing w:after="0" w:line="240" w:lineRule="auto"/>
        <w:rPr>
          <w:rFonts w:eastAsia="Aptos"/>
          <w:b/>
          <w:bCs/>
          <w:color w:val="000000" w:themeColor="text1"/>
          <w:kern w:val="0"/>
          <w14:ligatures w14:val="none"/>
        </w:rPr>
      </w:pPr>
      <w:r w:rsidRPr="002749B3">
        <w:rPr>
          <w:rFonts w:eastAsia="Aptos"/>
          <w:b/>
          <w:bCs/>
          <w:color w:val="000000" w:themeColor="text1"/>
          <w:kern w:val="0"/>
          <w14:ligatures w14:val="none"/>
        </w:rPr>
        <w:t>Pro</w:t>
      </w:r>
      <w:r w:rsidR="00DB6885" w:rsidRPr="002749B3">
        <w:rPr>
          <w:rFonts w:eastAsia="Aptos"/>
          <w:b/>
          <w:bCs/>
          <w:color w:val="000000" w:themeColor="text1"/>
          <w:kern w:val="0"/>
          <w14:ligatures w14:val="none"/>
        </w:rPr>
        <w:t xml:space="preserve"> per petitioners remain subject to the same procedural compliance as attorneys.</w:t>
      </w:r>
    </w:p>
    <w:p w14:paraId="3C39F09F" w14:textId="77777777" w:rsidR="00DB6885" w:rsidRPr="002749B3" w:rsidRDefault="00DB6885" w:rsidP="00DB6885">
      <w:pPr>
        <w:spacing w:after="0" w:line="240" w:lineRule="auto"/>
        <w:rPr>
          <w:rFonts w:eastAsia="Aptos"/>
          <w:b/>
          <w:bCs/>
          <w:color w:val="000000" w:themeColor="text1"/>
          <w:kern w:val="0"/>
          <w14:ligatures w14:val="none"/>
        </w:rPr>
      </w:pPr>
    </w:p>
    <w:p w14:paraId="387EAE71" w14:textId="77777777" w:rsidR="00935B94" w:rsidRPr="002749B3" w:rsidRDefault="00DB6885" w:rsidP="00935B94">
      <w:pPr>
        <w:spacing w:after="0" w:line="480" w:lineRule="auto"/>
        <w:ind w:firstLine="720"/>
        <w:jc w:val="both"/>
        <w:rPr>
          <w:rFonts w:eastAsia="Aptos"/>
          <w:color w:val="000000" w:themeColor="text1"/>
          <w:kern w:val="0"/>
          <w14:ligatures w14:val="none"/>
        </w:rPr>
      </w:pPr>
      <w:r w:rsidRPr="002749B3">
        <w:rPr>
          <w:rFonts w:eastAsia="Aptos"/>
          <w:color w:val="000000" w:themeColor="text1"/>
          <w:kern w:val="0"/>
          <w14:ligatures w14:val="none"/>
        </w:rPr>
        <w:t xml:space="preserve">Despite the challenges they face, pro per petitioners are still technically bound by the same rules and standards as licensed attorneys. </w:t>
      </w:r>
      <w:r w:rsidR="008C2384" w:rsidRPr="002749B3">
        <w:rPr>
          <w:rFonts w:eastAsia="Aptos"/>
          <w:i/>
          <w:iCs/>
          <w:color w:val="000000" w:themeColor="text1"/>
          <w:kern w:val="0"/>
          <w14:ligatures w14:val="none"/>
        </w:rPr>
        <w:t xml:space="preserve">Flynn v. Campbell, </w:t>
      </w:r>
      <w:r w:rsidR="008C2384" w:rsidRPr="002749B3">
        <w:rPr>
          <w:rFonts w:eastAsia="Aptos"/>
          <w:color w:val="000000" w:themeColor="text1"/>
          <w:kern w:val="0"/>
          <w14:ligatures w14:val="none"/>
        </w:rPr>
        <w:t xml:space="preserve">243 Ariz. 76, 83 </w:t>
      </w:r>
      <w:r w:rsidR="00935B94" w:rsidRPr="002749B3">
        <w:rPr>
          <w:rFonts w:eastAsia="Aptos"/>
          <w:color w:val="000000" w:themeColor="text1"/>
          <w:kern w:val="0"/>
          <w14:ligatures w14:val="none"/>
        </w:rPr>
        <w:t xml:space="preserve">¶ 24 (2017) (“We hold unrepresented litigants in Arizona to the same standards as attorneys.”) (citation omitted). </w:t>
      </w:r>
      <w:r w:rsidRPr="002749B3">
        <w:rPr>
          <w:rFonts w:eastAsia="Aptos"/>
          <w:color w:val="000000" w:themeColor="text1"/>
          <w:kern w:val="0"/>
          <w14:ligatures w14:val="none"/>
        </w:rPr>
        <w:t xml:space="preserve">The proposed rule changes will impose a strict limitation to be complied with by all petitioners, even those filing themselves from within prison. </w:t>
      </w:r>
    </w:p>
    <w:p w14:paraId="7CBDADB3" w14:textId="1CD05D84" w:rsidR="00DB6885" w:rsidRPr="002749B3" w:rsidRDefault="00935B94" w:rsidP="0058759C">
      <w:pPr>
        <w:spacing w:after="0" w:line="480" w:lineRule="auto"/>
        <w:ind w:firstLine="720"/>
        <w:jc w:val="both"/>
        <w:rPr>
          <w:rFonts w:eastAsia="Aptos"/>
          <w:color w:val="000000" w:themeColor="text1"/>
          <w:kern w:val="0"/>
          <w14:ligatures w14:val="none"/>
        </w:rPr>
      </w:pPr>
      <w:r w:rsidRPr="002749B3">
        <w:rPr>
          <w:rFonts w:eastAsia="Aptos"/>
          <w:color w:val="000000" w:themeColor="text1"/>
          <w:kern w:val="0"/>
          <w14:ligatures w14:val="none"/>
        </w:rPr>
        <w:t>In</w:t>
      </w:r>
      <w:r w:rsidR="00DB6885" w:rsidRPr="002749B3">
        <w:rPr>
          <w:rFonts w:eastAsia="Aptos"/>
          <w:color w:val="000000" w:themeColor="text1"/>
          <w:kern w:val="0"/>
          <w14:ligatures w14:val="none"/>
        </w:rPr>
        <w:t xml:space="preserve"> </w:t>
      </w:r>
      <w:r w:rsidR="00DB6885" w:rsidRPr="002749B3">
        <w:rPr>
          <w:rFonts w:eastAsia="Aptos"/>
          <w:i/>
          <w:iCs/>
          <w:color w:val="000000" w:themeColor="text1"/>
          <w:kern w:val="0"/>
          <w14:ligatures w14:val="none"/>
        </w:rPr>
        <w:t>Canion v. Cole</w:t>
      </w:r>
      <w:r w:rsidR="008543A8" w:rsidRPr="002749B3">
        <w:rPr>
          <w:rFonts w:eastAsia="Aptos"/>
          <w:i/>
          <w:iCs/>
          <w:color w:val="000000" w:themeColor="text1"/>
          <w:kern w:val="0"/>
          <w14:ligatures w14:val="none"/>
        </w:rPr>
        <w:t>,</w:t>
      </w:r>
      <w:r w:rsidR="008543A8" w:rsidRPr="002749B3">
        <w:rPr>
          <w:rFonts w:eastAsia="Aptos"/>
          <w:color w:val="000000" w:themeColor="text1"/>
          <w:kern w:val="0"/>
          <w14:ligatures w14:val="none"/>
        </w:rPr>
        <w:t xml:space="preserve"> the Supreme Court of Arizona expressly held that “compliance with Rule 32 is not a mere formality</w:t>
      </w:r>
      <w:r w:rsidR="00830B53" w:rsidRPr="002749B3">
        <w:rPr>
          <w:rFonts w:eastAsia="Aptos"/>
          <w:color w:val="000000" w:themeColor="text1"/>
          <w:kern w:val="0"/>
          <w14:ligatures w14:val="none"/>
        </w:rPr>
        <w:t>.</w:t>
      </w:r>
      <w:r w:rsidR="008569BD" w:rsidRPr="002749B3">
        <w:rPr>
          <w:rFonts w:eastAsia="Aptos"/>
          <w:color w:val="000000" w:themeColor="text1"/>
          <w:kern w:val="0"/>
          <w14:ligatures w14:val="none"/>
        </w:rPr>
        <w:t>”</w:t>
      </w:r>
      <w:r w:rsidR="00830B53" w:rsidRPr="002749B3">
        <w:rPr>
          <w:rFonts w:eastAsia="Aptos"/>
          <w:color w:val="000000" w:themeColor="text1"/>
          <w:kern w:val="0"/>
          <w14:ligatures w14:val="none"/>
        </w:rPr>
        <w:t xml:space="preserve"> 210</w:t>
      </w:r>
      <w:r w:rsidR="00C46BFB" w:rsidRPr="002749B3">
        <w:rPr>
          <w:rFonts w:eastAsia="Aptos"/>
          <w:color w:val="000000" w:themeColor="text1"/>
          <w:kern w:val="0"/>
          <w14:ligatures w14:val="none"/>
        </w:rPr>
        <w:t xml:space="preserve"> Ariz. 598, </w:t>
      </w:r>
      <w:r w:rsidR="002B1A8E" w:rsidRPr="002749B3">
        <w:rPr>
          <w:rFonts w:eastAsia="Aptos"/>
          <w:color w:val="000000" w:themeColor="text1"/>
          <w:kern w:val="0"/>
          <w14:ligatures w14:val="none"/>
        </w:rPr>
        <w:t xml:space="preserve">600 ¶ 11 (2005). </w:t>
      </w:r>
      <w:r w:rsidR="002B1A8E" w:rsidRPr="002749B3">
        <w:rPr>
          <w:rFonts w:eastAsia="Aptos"/>
          <w:color w:val="000000" w:themeColor="text1"/>
          <w:kern w:val="0"/>
          <w14:ligatures w14:val="none"/>
        </w:rPr>
        <w:lastRenderedPageBreak/>
        <w:t xml:space="preserve">Accordingly, adding a page limit to the rules will be another obstacle that could bar pro per litigants from post-conviction relief. Petitioners who have their </w:t>
      </w:r>
      <w:r w:rsidR="007A7768">
        <w:rPr>
          <w:rFonts w:eastAsia="Aptos"/>
          <w:color w:val="000000" w:themeColor="text1"/>
          <w:kern w:val="0"/>
          <w14:ligatures w14:val="none"/>
        </w:rPr>
        <w:t>N</w:t>
      </w:r>
      <w:r w:rsidR="002B1A8E" w:rsidRPr="002749B3">
        <w:rPr>
          <w:rFonts w:eastAsia="Aptos"/>
          <w:color w:val="000000" w:themeColor="text1"/>
          <w:kern w:val="0"/>
          <w14:ligatures w14:val="none"/>
        </w:rPr>
        <w:t xml:space="preserve">otice struck will not be appointed counsel and, therefore, would have to navigate the procedural defects on their own. </w:t>
      </w:r>
      <w:r w:rsidR="000A77C2" w:rsidRPr="002749B3">
        <w:rPr>
          <w:rFonts w:eastAsia="Aptos"/>
          <w:color w:val="000000" w:themeColor="text1"/>
          <w:kern w:val="0"/>
          <w14:ligatures w14:val="none"/>
        </w:rPr>
        <w:t>As mentioned above, t</w:t>
      </w:r>
      <w:r w:rsidR="002B1A8E" w:rsidRPr="002749B3">
        <w:rPr>
          <w:rFonts w:eastAsia="Aptos"/>
          <w:color w:val="000000" w:themeColor="text1"/>
          <w:kern w:val="0"/>
          <w14:ligatures w14:val="none"/>
        </w:rPr>
        <w:t xml:space="preserve">he Rule Petition does not explain how noncompliant petitioners would be informed, whether the defect will be expressly identified for them, and what their deadline </w:t>
      </w:r>
      <w:r w:rsidR="006C05D5" w:rsidRPr="002749B3">
        <w:rPr>
          <w:rFonts w:eastAsia="Aptos"/>
          <w:color w:val="000000" w:themeColor="text1"/>
          <w:kern w:val="0"/>
          <w14:ligatures w14:val="none"/>
        </w:rPr>
        <w:t xml:space="preserve">will be to file </w:t>
      </w:r>
      <w:r w:rsidR="00731FBB" w:rsidRPr="002749B3">
        <w:rPr>
          <w:rFonts w:eastAsia="Aptos"/>
          <w:color w:val="000000" w:themeColor="text1"/>
          <w:kern w:val="0"/>
          <w14:ligatures w14:val="none"/>
        </w:rPr>
        <w:t>a</w:t>
      </w:r>
      <w:r w:rsidR="004972D1" w:rsidRPr="002749B3">
        <w:rPr>
          <w:rFonts w:eastAsia="Aptos"/>
          <w:color w:val="000000" w:themeColor="text1"/>
          <w:kern w:val="0"/>
          <w14:ligatures w14:val="none"/>
        </w:rPr>
        <w:t xml:space="preserve"> compliant PCR </w:t>
      </w:r>
      <w:r w:rsidR="00D66850" w:rsidRPr="002749B3">
        <w:rPr>
          <w:rFonts w:eastAsia="Aptos"/>
          <w:color w:val="000000" w:themeColor="text1"/>
          <w:kern w:val="0"/>
          <w14:ligatures w14:val="none"/>
        </w:rPr>
        <w:t>N</w:t>
      </w:r>
      <w:r w:rsidR="004972D1" w:rsidRPr="002749B3">
        <w:rPr>
          <w:rFonts w:eastAsia="Aptos"/>
          <w:color w:val="000000" w:themeColor="text1"/>
          <w:kern w:val="0"/>
          <w14:ligatures w14:val="none"/>
        </w:rPr>
        <w:t xml:space="preserve">otice. These omissions are material and could effectively foreclose post-conviction relief for numerous defendants. </w:t>
      </w:r>
    </w:p>
    <w:p w14:paraId="13BDAC88" w14:textId="2C434F54" w:rsidR="00DB6885" w:rsidRPr="002749B3" w:rsidRDefault="00DB6885" w:rsidP="00A21FAF">
      <w:pPr>
        <w:pStyle w:val="ListParagraph"/>
        <w:numPr>
          <w:ilvl w:val="0"/>
          <w:numId w:val="5"/>
        </w:numPr>
        <w:spacing w:after="0" w:line="240" w:lineRule="auto"/>
        <w:rPr>
          <w:rFonts w:eastAsia="Aptos"/>
          <w:b/>
          <w:bCs/>
          <w:color w:val="000000" w:themeColor="text1"/>
          <w:kern w:val="0"/>
          <w14:ligatures w14:val="none"/>
        </w:rPr>
      </w:pPr>
      <w:r w:rsidRPr="002749B3">
        <w:rPr>
          <w:rFonts w:eastAsia="Aptos"/>
          <w:b/>
          <w:bCs/>
          <w:color w:val="000000" w:themeColor="text1"/>
          <w:kern w:val="0"/>
          <w14:ligatures w14:val="none"/>
        </w:rPr>
        <w:t xml:space="preserve">Seven pages </w:t>
      </w:r>
      <w:r w:rsidR="0087572B" w:rsidRPr="002749B3">
        <w:rPr>
          <w:rFonts w:eastAsia="Aptos"/>
          <w:b/>
          <w:bCs/>
          <w:color w:val="000000" w:themeColor="text1"/>
          <w:kern w:val="0"/>
          <w14:ligatures w14:val="none"/>
        </w:rPr>
        <w:t xml:space="preserve">will often be insufficient </w:t>
      </w:r>
      <w:r w:rsidR="00322DFB" w:rsidRPr="002749B3">
        <w:rPr>
          <w:rFonts w:eastAsia="Aptos"/>
          <w:b/>
          <w:bCs/>
          <w:color w:val="000000" w:themeColor="text1"/>
          <w:kern w:val="0"/>
          <w14:ligatures w14:val="none"/>
        </w:rPr>
        <w:t xml:space="preserve">to meet </w:t>
      </w:r>
      <w:r w:rsidR="0087572B" w:rsidRPr="002749B3">
        <w:rPr>
          <w:rFonts w:eastAsia="Aptos"/>
          <w:b/>
          <w:bCs/>
          <w:color w:val="000000" w:themeColor="text1"/>
          <w:kern w:val="0"/>
          <w14:ligatures w14:val="none"/>
        </w:rPr>
        <w:t>the requirements of Rules 32.4 and 33.4</w:t>
      </w:r>
      <w:r w:rsidRPr="002749B3">
        <w:rPr>
          <w:rFonts w:eastAsia="Aptos"/>
          <w:b/>
          <w:bCs/>
          <w:color w:val="000000" w:themeColor="text1"/>
          <w:kern w:val="0"/>
          <w14:ligatures w14:val="none"/>
        </w:rPr>
        <w:t xml:space="preserve">. </w:t>
      </w:r>
    </w:p>
    <w:p w14:paraId="6E90A4A9" w14:textId="77777777" w:rsidR="00DB6885" w:rsidRPr="002749B3" w:rsidRDefault="00DB6885" w:rsidP="00DB6885">
      <w:pPr>
        <w:spacing w:after="0" w:line="240" w:lineRule="auto"/>
        <w:rPr>
          <w:rFonts w:eastAsia="Aptos"/>
          <w:b/>
          <w:bCs/>
          <w:color w:val="000000" w:themeColor="text1"/>
          <w:kern w:val="0"/>
          <w14:ligatures w14:val="none"/>
        </w:rPr>
      </w:pPr>
    </w:p>
    <w:p w14:paraId="3E09DDA2" w14:textId="52F34792" w:rsidR="00DB6885" w:rsidRPr="002749B3" w:rsidRDefault="00DB6885" w:rsidP="00DB6885">
      <w:pPr>
        <w:spacing w:after="0" w:line="480" w:lineRule="auto"/>
        <w:ind w:firstLine="720"/>
        <w:jc w:val="both"/>
        <w:rPr>
          <w:rFonts w:eastAsia="Aptos"/>
          <w:color w:val="000000" w:themeColor="text1"/>
          <w:kern w:val="0"/>
          <w14:ligatures w14:val="none"/>
        </w:rPr>
      </w:pPr>
      <w:r w:rsidRPr="002749B3">
        <w:rPr>
          <w:rFonts w:eastAsia="Aptos"/>
          <w:color w:val="000000" w:themeColor="text1"/>
          <w:kern w:val="0"/>
          <w14:ligatures w14:val="none"/>
        </w:rPr>
        <w:t xml:space="preserve">The Arizona Criminal Practice Manual notes that </w:t>
      </w:r>
      <w:r w:rsidR="001650C2" w:rsidRPr="002749B3">
        <w:rPr>
          <w:rFonts w:eastAsia="Aptos"/>
          <w:color w:val="000000" w:themeColor="text1"/>
          <w:kern w:val="0"/>
          <w14:ligatures w14:val="none"/>
        </w:rPr>
        <w:t xml:space="preserve">a PCR </w:t>
      </w:r>
      <w:r w:rsidR="000E0BBE" w:rsidRPr="002749B3">
        <w:rPr>
          <w:rFonts w:eastAsia="Aptos"/>
          <w:color w:val="000000" w:themeColor="text1"/>
          <w:kern w:val="0"/>
          <w14:ligatures w14:val="none"/>
        </w:rPr>
        <w:t>N</w:t>
      </w:r>
      <w:r w:rsidR="001650C2" w:rsidRPr="002749B3">
        <w:rPr>
          <w:rFonts w:eastAsia="Aptos"/>
          <w:color w:val="000000" w:themeColor="text1"/>
          <w:kern w:val="0"/>
          <w14:ligatures w14:val="none"/>
        </w:rPr>
        <w:t>otice</w:t>
      </w:r>
      <w:r w:rsidRPr="002749B3">
        <w:rPr>
          <w:rFonts w:eastAsia="Aptos"/>
          <w:color w:val="000000" w:themeColor="text1"/>
          <w:kern w:val="0"/>
          <w14:ligatures w14:val="none"/>
        </w:rPr>
        <w:t xml:space="preserve"> cannot merely allege an intent to raise a non-precluded issue but also must briefly explain the facts and law that support a claim</w:t>
      </w:r>
      <w:r w:rsidR="000368A5" w:rsidRPr="002749B3">
        <w:rPr>
          <w:rFonts w:eastAsia="Aptos"/>
          <w:color w:val="000000" w:themeColor="text1"/>
          <w:kern w:val="0"/>
          <w14:ligatures w14:val="none"/>
        </w:rPr>
        <w:t>.</w:t>
      </w:r>
      <w:r w:rsidR="008825D2" w:rsidRPr="002749B3">
        <w:rPr>
          <w:rStyle w:val="FootnoteReference"/>
          <w:rFonts w:eastAsia="Aptos"/>
          <w:color w:val="000000" w:themeColor="text1"/>
          <w:kern w:val="0"/>
          <w14:ligatures w14:val="none"/>
        </w:rPr>
        <w:footnoteReference w:id="5"/>
      </w:r>
      <w:r w:rsidR="00B01C4B" w:rsidRPr="002749B3">
        <w:rPr>
          <w:rFonts w:eastAsia="Aptos"/>
          <w:color w:val="000000" w:themeColor="text1"/>
          <w:kern w:val="0"/>
          <w14:ligatures w14:val="none"/>
        </w:rPr>
        <w:t xml:space="preserve"> </w:t>
      </w:r>
      <w:r w:rsidRPr="002749B3">
        <w:rPr>
          <w:rFonts w:eastAsia="Aptos"/>
          <w:color w:val="000000" w:themeColor="text1"/>
          <w:kern w:val="0"/>
          <w14:ligatures w14:val="none"/>
        </w:rPr>
        <w:t xml:space="preserve">Presently, the </w:t>
      </w:r>
      <w:hyperlink r:id="rId13" w:history="1">
        <w:r w:rsidR="006955F9" w:rsidRPr="002749B3">
          <w:rPr>
            <w:rStyle w:val="Hyperlink"/>
            <w:rFonts w:eastAsia="Aptos"/>
            <w:color w:val="000000" w:themeColor="text1"/>
            <w:kern w:val="0"/>
            <w14:ligatures w14:val="none"/>
          </w:rPr>
          <w:t>Notice Requesting Post-Conviction Release</w:t>
        </w:r>
        <w:r w:rsidRPr="002749B3">
          <w:rPr>
            <w:rStyle w:val="Hyperlink"/>
            <w:rFonts w:eastAsia="Aptos"/>
            <w:color w:val="000000" w:themeColor="text1"/>
            <w:kern w:val="0"/>
            <w14:ligatures w14:val="none"/>
          </w:rPr>
          <w:t xml:space="preserve"> form</w:t>
        </w:r>
      </w:hyperlink>
      <w:r w:rsidRPr="002749B3">
        <w:rPr>
          <w:rFonts w:eastAsia="Aptos"/>
          <w:color w:val="000000" w:themeColor="text1"/>
          <w:kern w:val="0"/>
          <w14:ligatures w14:val="none"/>
        </w:rPr>
        <w:t xml:space="preserve"> circulated by the </w:t>
      </w:r>
      <w:r w:rsidR="00266944" w:rsidRPr="002749B3">
        <w:rPr>
          <w:rFonts w:eastAsia="Aptos"/>
          <w:color w:val="000000" w:themeColor="text1"/>
          <w:kern w:val="0"/>
          <w14:ligatures w14:val="none"/>
        </w:rPr>
        <w:t>Maricopa County Superior Court</w:t>
      </w:r>
      <w:r w:rsidRPr="002749B3">
        <w:rPr>
          <w:rFonts w:eastAsia="Aptos"/>
          <w:color w:val="000000" w:themeColor="text1"/>
          <w:kern w:val="0"/>
          <w14:ligatures w14:val="none"/>
        </w:rPr>
        <w:t xml:space="preserve"> is </w:t>
      </w:r>
      <w:r w:rsidR="00565694" w:rsidRPr="002749B3">
        <w:rPr>
          <w:rFonts w:eastAsia="Aptos"/>
          <w:color w:val="000000" w:themeColor="text1"/>
          <w:kern w:val="0"/>
          <w14:ligatures w14:val="none"/>
        </w:rPr>
        <w:t>six</w:t>
      </w:r>
      <w:r w:rsidRPr="002749B3">
        <w:rPr>
          <w:rFonts w:eastAsia="Aptos"/>
          <w:color w:val="000000" w:themeColor="text1"/>
          <w:kern w:val="0"/>
          <w14:ligatures w14:val="none"/>
        </w:rPr>
        <w:t xml:space="preserve"> pages itself</w:t>
      </w:r>
      <w:r w:rsidR="007D0216" w:rsidRPr="002749B3">
        <w:rPr>
          <w:rFonts w:eastAsia="Aptos"/>
          <w:color w:val="000000" w:themeColor="text1"/>
          <w:kern w:val="0"/>
          <w14:ligatures w14:val="none"/>
        </w:rPr>
        <w:t>.</w:t>
      </w:r>
      <w:r w:rsidR="00266944" w:rsidRPr="002749B3">
        <w:rPr>
          <w:rStyle w:val="FootnoteReference"/>
          <w:rFonts w:eastAsia="Aptos"/>
          <w:color w:val="000000" w:themeColor="text1"/>
          <w:kern w:val="0"/>
          <w14:ligatures w14:val="none"/>
        </w:rPr>
        <w:footnoteReference w:id="6"/>
      </w:r>
      <w:r w:rsidRPr="002749B3">
        <w:rPr>
          <w:rFonts w:eastAsia="Aptos"/>
          <w:color w:val="000000" w:themeColor="text1"/>
          <w:kern w:val="0"/>
          <w14:ligatures w14:val="none"/>
        </w:rPr>
        <w:t xml:space="preserve"> Portions of the form that require an explanation regarding untimely filings </w:t>
      </w:r>
      <w:r w:rsidR="0085528E" w:rsidRPr="002749B3">
        <w:rPr>
          <w:rFonts w:eastAsia="Aptos"/>
          <w:color w:val="000000" w:themeColor="text1"/>
          <w:kern w:val="0"/>
          <w14:ligatures w14:val="none"/>
        </w:rPr>
        <w:t xml:space="preserve">state </w:t>
      </w:r>
      <w:r w:rsidRPr="002749B3">
        <w:rPr>
          <w:rFonts w:eastAsia="Aptos"/>
          <w:color w:val="000000" w:themeColor="text1"/>
          <w:kern w:val="0"/>
          <w14:ligatures w14:val="none"/>
        </w:rPr>
        <w:t xml:space="preserve">that a separate addendum can be attached for complete explanations. The proposed rule would restrict petitioners to one page for such addenda. </w:t>
      </w:r>
      <w:r w:rsidR="00D568F5" w:rsidRPr="002749B3">
        <w:rPr>
          <w:rFonts w:eastAsia="Aptos"/>
          <w:color w:val="000000" w:themeColor="text1"/>
          <w:kern w:val="0"/>
          <w14:ligatures w14:val="none"/>
        </w:rPr>
        <w:t>And, as noted above</w:t>
      </w:r>
      <w:r w:rsidRPr="002749B3">
        <w:rPr>
          <w:rFonts w:eastAsia="Aptos"/>
          <w:color w:val="000000" w:themeColor="text1"/>
          <w:kern w:val="0"/>
          <w14:ligatures w14:val="none"/>
        </w:rPr>
        <w:t>, many pro per petitioners may not have access to this online notice form and m</w:t>
      </w:r>
      <w:r w:rsidR="00D568F5" w:rsidRPr="002749B3">
        <w:rPr>
          <w:rFonts w:eastAsia="Aptos"/>
          <w:color w:val="000000" w:themeColor="text1"/>
          <w:kern w:val="0"/>
          <w14:ligatures w14:val="none"/>
        </w:rPr>
        <w:t xml:space="preserve">ust </w:t>
      </w:r>
      <w:r w:rsidRPr="002749B3">
        <w:rPr>
          <w:rFonts w:eastAsia="Aptos"/>
          <w:color w:val="000000" w:themeColor="text1"/>
          <w:kern w:val="0"/>
          <w14:ligatures w14:val="none"/>
        </w:rPr>
        <w:t xml:space="preserve">handwrite </w:t>
      </w:r>
      <w:r w:rsidRPr="002749B3">
        <w:rPr>
          <w:rFonts w:eastAsia="Aptos"/>
          <w:color w:val="000000" w:themeColor="text1"/>
          <w:kern w:val="0"/>
          <w14:ligatures w14:val="none"/>
        </w:rPr>
        <w:lastRenderedPageBreak/>
        <w:t xml:space="preserve">the information required. </w:t>
      </w:r>
      <w:r w:rsidR="0046693F" w:rsidRPr="002749B3">
        <w:rPr>
          <w:rFonts w:eastAsia="Aptos"/>
          <w:color w:val="000000" w:themeColor="text1"/>
          <w:kern w:val="0"/>
          <w14:ligatures w14:val="none"/>
        </w:rPr>
        <w:t>Seven pages is unlikely</w:t>
      </w:r>
      <w:r w:rsidR="00665453" w:rsidRPr="002749B3">
        <w:rPr>
          <w:rFonts w:eastAsia="Aptos"/>
          <w:color w:val="000000" w:themeColor="text1"/>
          <w:kern w:val="0"/>
          <w14:ligatures w14:val="none"/>
        </w:rPr>
        <w:t xml:space="preserve"> to afford petitioners adequate space </w:t>
      </w:r>
      <w:r w:rsidR="00EF07FB" w:rsidRPr="002749B3">
        <w:rPr>
          <w:rFonts w:eastAsia="Aptos"/>
          <w:color w:val="000000" w:themeColor="text1"/>
          <w:kern w:val="0"/>
          <w14:ligatures w14:val="none"/>
        </w:rPr>
        <w:t>to satisfy the</w:t>
      </w:r>
      <w:r w:rsidR="00AE1C34" w:rsidRPr="002749B3">
        <w:rPr>
          <w:rFonts w:eastAsia="Aptos"/>
          <w:color w:val="000000" w:themeColor="text1"/>
          <w:kern w:val="0"/>
          <w14:ligatures w14:val="none"/>
        </w:rPr>
        <w:t>se</w:t>
      </w:r>
      <w:r w:rsidR="00EF07FB" w:rsidRPr="002749B3">
        <w:rPr>
          <w:rFonts w:eastAsia="Aptos"/>
          <w:color w:val="000000" w:themeColor="text1"/>
          <w:kern w:val="0"/>
          <w14:ligatures w14:val="none"/>
        </w:rPr>
        <w:t xml:space="preserve"> </w:t>
      </w:r>
      <w:r w:rsidR="0046693F" w:rsidRPr="002749B3">
        <w:rPr>
          <w:rFonts w:eastAsia="Aptos"/>
          <w:color w:val="000000" w:themeColor="text1"/>
          <w:kern w:val="0"/>
          <w14:ligatures w14:val="none"/>
        </w:rPr>
        <w:t>notice</w:t>
      </w:r>
      <w:r w:rsidR="00EF07FB" w:rsidRPr="002749B3">
        <w:rPr>
          <w:rFonts w:eastAsia="Aptos"/>
          <w:color w:val="000000" w:themeColor="text1"/>
          <w:kern w:val="0"/>
          <w14:ligatures w14:val="none"/>
        </w:rPr>
        <w:t xml:space="preserve"> requirements</w:t>
      </w:r>
      <w:r w:rsidR="00880BF0" w:rsidRPr="002749B3">
        <w:rPr>
          <w:rFonts w:eastAsia="Aptos"/>
          <w:color w:val="000000" w:themeColor="text1"/>
          <w:kern w:val="0"/>
          <w14:ligatures w14:val="none"/>
        </w:rPr>
        <w:t>.</w:t>
      </w:r>
    </w:p>
    <w:p w14:paraId="18F76E55" w14:textId="5429AB96" w:rsidR="002A5D15" w:rsidRPr="002749B3" w:rsidRDefault="002A5D15" w:rsidP="00A21FAF">
      <w:pPr>
        <w:pStyle w:val="ListParagraph"/>
        <w:numPr>
          <w:ilvl w:val="0"/>
          <w:numId w:val="5"/>
        </w:numPr>
        <w:spacing w:after="0" w:line="240" w:lineRule="auto"/>
        <w:jc w:val="both"/>
        <w:rPr>
          <w:rFonts w:eastAsia="Aptos"/>
          <w:b/>
          <w:bCs/>
          <w:color w:val="000000" w:themeColor="text1"/>
          <w:kern w:val="0"/>
          <w14:ligatures w14:val="none"/>
        </w:rPr>
      </w:pPr>
      <w:r w:rsidRPr="002749B3">
        <w:rPr>
          <w:rFonts w:eastAsia="Aptos"/>
          <w:b/>
          <w:bCs/>
          <w:color w:val="000000" w:themeColor="text1"/>
          <w:kern w:val="0"/>
          <w14:ligatures w14:val="none"/>
        </w:rPr>
        <w:t>The proposed rule would particularly impede defendants who seek to file untimely or successive petitions and would deprive attorneys of useful information.</w:t>
      </w:r>
    </w:p>
    <w:p w14:paraId="685569CA" w14:textId="77777777" w:rsidR="002A5D15" w:rsidRPr="002749B3" w:rsidRDefault="002A5D15" w:rsidP="002A5D15">
      <w:pPr>
        <w:spacing w:after="0" w:line="240" w:lineRule="auto"/>
        <w:jc w:val="both"/>
        <w:rPr>
          <w:rFonts w:eastAsia="Aptos"/>
          <w:b/>
          <w:bCs/>
          <w:color w:val="000000" w:themeColor="text1"/>
          <w:kern w:val="0"/>
          <w14:ligatures w14:val="none"/>
        </w:rPr>
      </w:pPr>
    </w:p>
    <w:p w14:paraId="520C63CB" w14:textId="40C78727" w:rsidR="000A1720" w:rsidRPr="002749B3" w:rsidRDefault="002A5D15" w:rsidP="002A5D15">
      <w:pPr>
        <w:spacing w:after="0" w:line="480" w:lineRule="auto"/>
        <w:jc w:val="both"/>
        <w:rPr>
          <w:color w:val="000000" w:themeColor="text1"/>
        </w:rPr>
      </w:pPr>
      <w:r w:rsidRPr="002749B3">
        <w:rPr>
          <w:rFonts w:eastAsia="Aptos"/>
          <w:b/>
          <w:bCs/>
          <w:color w:val="000000" w:themeColor="text1"/>
          <w:kern w:val="0"/>
          <w14:ligatures w14:val="none"/>
        </w:rPr>
        <w:tab/>
      </w:r>
      <w:r w:rsidRPr="002749B3">
        <w:rPr>
          <w:rFonts w:eastAsia="Aptos"/>
          <w:color w:val="000000" w:themeColor="text1"/>
          <w:kern w:val="0"/>
          <w14:ligatures w14:val="none"/>
        </w:rPr>
        <w:t>As discussed above, defendants who are filing untimely or successive petitions</w:t>
      </w:r>
      <w:r w:rsidR="009040E5" w:rsidRPr="002749B3">
        <w:rPr>
          <w:rFonts w:eastAsia="Aptos"/>
          <w:color w:val="000000" w:themeColor="text1"/>
          <w:kern w:val="0"/>
          <w14:ligatures w14:val="none"/>
        </w:rPr>
        <w:t xml:space="preserve">, </w:t>
      </w:r>
      <w:r w:rsidR="00B923EA" w:rsidRPr="002749B3">
        <w:rPr>
          <w:rFonts w:eastAsia="Aptos"/>
          <w:color w:val="000000" w:themeColor="text1"/>
          <w:kern w:val="0"/>
          <w14:ligatures w14:val="none"/>
        </w:rPr>
        <w:t>to</w:t>
      </w:r>
      <w:r w:rsidR="009040E5" w:rsidRPr="002749B3">
        <w:rPr>
          <w:rFonts w:eastAsia="Aptos"/>
          <w:color w:val="000000" w:themeColor="text1"/>
          <w:kern w:val="0"/>
          <w14:ligatures w14:val="none"/>
        </w:rPr>
        <w:t xml:space="preserve"> avoid summary dismissal, must explain the reasons </w:t>
      </w:r>
      <w:r w:rsidR="00562905" w:rsidRPr="002749B3">
        <w:rPr>
          <w:rFonts w:eastAsia="Aptos"/>
          <w:color w:val="000000" w:themeColor="text1"/>
          <w:kern w:val="0"/>
          <w14:ligatures w14:val="none"/>
        </w:rPr>
        <w:t>why the claim was not brought sooner or in a previous PCR proceeding a</w:t>
      </w:r>
      <w:r w:rsidR="009040E5" w:rsidRPr="002749B3">
        <w:rPr>
          <w:rFonts w:eastAsia="Aptos"/>
          <w:color w:val="000000" w:themeColor="text1"/>
          <w:kern w:val="0"/>
          <w14:ligatures w14:val="none"/>
        </w:rPr>
        <w:t>nd/or must provide adequate grounds for seeking relief</w:t>
      </w:r>
      <w:r w:rsidR="00562905" w:rsidRPr="002749B3">
        <w:rPr>
          <w:rFonts w:eastAsia="Aptos"/>
          <w:color w:val="000000" w:themeColor="text1"/>
          <w:kern w:val="0"/>
          <w14:ligatures w14:val="none"/>
        </w:rPr>
        <w:t xml:space="preserve">. </w:t>
      </w:r>
      <w:r w:rsidR="00562905" w:rsidRPr="002749B3">
        <w:rPr>
          <w:rFonts w:eastAsia="Aptos"/>
          <w:i/>
          <w:iCs/>
          <w:color w:val="000000" w:themeColor="text1"/>
          <w:kern w:val="0"/>
          <w14:ligatures w14:val="none"/>
        </w:rPr>
        <w:t xml:space="preserve">See </w:t>
      </w:r>
      <w:r w:rsidR="00562905" w:rsidRPr="002749B3">
        <w:rPr>
          <w:rFonts w:eastAsia="Aptos"/>
          <w:color w:val="000000" w:themeColor="text1"/>
          <w:kern w:val="0"/>
          <w14:ligatures w14:val="none"/>
        </w:rPr>
        <w:t>Ariz. R. Crim. P. 32.2(b); Ariz. R. Crim. P. 32.4(b)(3)(D)</w:t>
      </w:r>
      <w:r w:rsidR="009040E5" w:rsidRPr="002749B3">
        <w:rPr>
          <w:rFonts w:eastAsia="Aptos"/>
          <w:color w:val="000000" w:themeColor="text1"/>
          <w:kern w:val="0"/>
          <w14:ligatures w14:val="none"/>
        </w:rPr>
        <w:t>. Timeliness is no mere formality</w:t>
      </w:r>
      <w:r w:rsidR="002E71A1" w:rsidRPr="002749B3">
        <w:rPr>
          <w:rFonts w:eastAsia="Aptos"/>
          <w:color w:val="000000" w:themeColor="text1"/>
          <w:kern w:val="0"/>
          <w14:ligatures w14:val="none"/>
        </w:rPr>
        <w:t>—</w:t>
      </w:r>
      <w:r w:rsidR="009040E5" w:rsidRPr="002749B3">
        <w:rPr>
          <w:rFonts w:eastAsia="Aptos"/>
          <w:color w:val="000000" w:themeColor="text1"/>
          <w:kern w:val="0"/>
          <w14:ligatures w14:val="none"/>
        </w:rPr>
        <w:t>a defendant has the burden to demonstrate that a failure to timely file was not</w:t>
      </w:r>
      <w:r w:rsidR="00EE12C2" w:rsidRPr="002749B3">
        <w:rPr>
          <w:rFonts w:eastAsia="Aptos"/>
          <w:color w:val="000000" w:themeColor="text1"/>
          <w:kern w:val="0"/>
          <w14:ligatures w14:val="none"/>
        </w:rPr>
        <w:t xml:space="preserve"> their</w:t>
      </w:r>
      <w:r w:rsidR="009040E5" w:rsidRPr="002749B3">
        <w:rPr>
          <w:rFonts w:eastAsia="Aptos"/>
          <w:color w:val="000000" w:themeColor="text1"/>
          <w:kern w:val="0"/>
          <w14:ligatures w14:val="none"/>
        </w:rPr>
        <w:t xml:space="preserve"> fault, and absent an adequate showing the defendant has no remedy. </w:t>
      </w:r>
      <w:r w:rsidR="009040E5" w:rsidRPr="002749B3">
        <w:rPr>
          <w:i/>
          <w:iCs/>
          <w:color w:val="000000" w:themeColor="text1"/>
        </w:rPr>
        <w:t>State v. Solano</w:t>
      </w:r>
      <w:r w:rsidR="009040E5" w:rsidRPr="002749B3">
        <w:rPr>
          <w:color w:val="000000" w:themeColor="text1"/>
        </w:rPr>
        <w:t>, 257 Ariz. 10, 12, ¶</w:t>
      </w:r>
      <w:r w:rsidR="00BF606F" w:rsidRPr="002749B3">
        <w:rPr>
          <w:color w:val="000000" w:themeColor="text1"/>
        </w:rPr>
        <w:t xml:space="preserve"> </w:t>
      </w:r>
      <w:r w:rsidR="009040E5" w:rsidRPr="002749B3">
        <w:rPr>
          <w:color w:val="000000" w:themeColor="text1"/>
        </w:rPr>
        <w:t>7 (App. 2024); Ariz. R. Crim. P. 32.1(f)</w:t>
      </w:r>
      <w:r w:rsidR="00562905" w:rsidRPr="002749B3">
        <w:rPr>
          <w:color w:val="000000" w:themeColor="text1"/>
        </w:rPr>
        <w:t>; Ariz. R. Crim. P. 32.4(b)(3)(D)</w:t>
      </w:r>
      <w:r w:rsidR="009040E5" w:rsidRPr="002749B3">
        <w:rPr>
          <w:color w:val="000000" w:themeColor="text1"/>
        </w:rPr>
        <w:t xml:space="preserve">. When a defendant raises a </w:t>
      </w:r>
      <w:r w:rsidR="00FE6961" w:rsidRPr="002749B3">
        <w:rPr>
          <w:color w:val="000000" w:themeColor="text1"/>
        </w:rPr>
        <w:t>claim in a successive PCR Notice</w:t>
      </w:r>
      <w:r w:rsidR="009040E5" w:rsidRPr="002749B3">
        <w:rPr>
          <w:color w:val="000000" w:themeColor="text1"/>
        </w:rPr>
        <w:t xml:space="preserve">, </w:t>
      </w:r>
      <w:r w:rsidR="000A1720" w:rsidRPr="002749B3">
        <w:rPr>
          <w:color w:val="000000" w:themeColor="text1"/>
        </w:rPr>
        <w:t xml:space="preserve">to avoid preclusion </w:t>
      </w:r>
      <w:r w:rsidR="00EE12C2" w:rsidRPr="002749B3">
        <w:rPr>
          <w:color w:val="000000" w:themeColor="text1"/>
        </w:rPr>
        <w:t>they</w:t>
      </w:r>
      <w:r w:rsidR="009040E5" w:rsidRPr="002749B3">
        <w:rPr>
          <w:color w:val="000000" w:themeColor="text1"/>
        </w:rPr>
        <w:t xml:space="preserve"> must “explain the reasons for not raising the claim </w:t>
      </w:r>
      <w:r w:rsidR="000A1720" w:rsidRPr="002749B3">
        <w:rPr>
          <w:color w:val="000000" w:themeColor="text1"/>
        </w:rPr>
        <w:t>in a previous notice or petition, or for not raising the claim in a timely manner.</w:t>
      </w:r>
      <w:r w:rsidR="00BB10CA" w:rsidRPr="002749B3">
        <w:rPr>
          <w:color w:val="000000" w:themeColor="text1"/>
        </w:rPr>
        <w:t>”</w:t>
      </w:r>
      <w:r w:rsidR="000A1720" w:rsidRPr="002749B3">
        <w:rPr>
          <w:color w:val="000000" w:themeColor="text1"/>
        </w:rPr>
        <w:t xml:space="preserve"> Ariz. R. Crim. P. 32.2(b). </w:t>
      </w:r>
      <w:r w:rsidR="00BB10CA" w:rsidRPr="002749B3">
        <w:rPr>
          <w:color w:val="000000" w:themeColor="text1"/>
        </w:rPr>
        <w:t xml:space="preserve">“If the notice does not provide sufficient reasons why the defendant did not raise the claim in a previous notice or petition, or in a timely manner, the court may summarily dismiss the notice.” </w:t>
      </w:r>
      <w:r w:rsidR="00BB10CA" w:rsidRPr="002749B3">
        <w:rPr>
          <w:i/>
          <w:iCs/>
          <w:color w:val="000000" w:themeColor="text1"/>
        </w:rPr>
        <w:t>Id.</w:t>
      </w:r>
      <w:r w:rsidR="00BB10CA" w:rsidRPr="002749B3">
        <w:rPr>
          <w:color w:val="000000" w:themeColor="text1"/>
        </w:rPr>
        <w:t xml:space="preserve"> And, a court can determine that an issue is precluded, and therefore subject to summary dismissal, even if the State does not raise preclusion. </w:t>
      </w:r>
      <w:r w:rsidR="00BB10CA" w:rsidRPr="002749B3">
        <w:rPr>
          <w:i/>
          <w:iCs/>
          <w:color w:val="000000" w:themeColor="text1"/>
        </w:rPr>
        <w:t xml:space="preserve">Id. </w:t>
      </w:r>
      <w:r w:rsidR="00BB10CA" w:rsidRPr="002749B3">
        <w:rPr>
          <w:color w:val="000000" w:themeColor="text1"/>
        </w:rPr>
        <w:t xml:space="preserve"> </w:t>
      </w:r>
      <w:r w:rsidR="00FB3844">
        <w:rPr>
          <w:color w:val="000000" w:themeColor="text1"/>
        </w:rPr>
        <w:t>“</w:t>
      </w:r>
      <w:r w:rsidR="000A1720" w:rsidRPr="002749B3">
        <w:rPr>
          <w:color w:val="000000" w:themeColor="text1"/>
        </w:rPr>
        <w:t xml:space="preserve">Nothing in Rule 32.2(b) suggests that counsel must be appointed for an indigent </w:t>
      </w:r>
      <w:r w:rsidR="000A1720" w:rsidRPr="002749B3">
        <w:rPr>
          <w:color w:val="000000" w:themeColor="text1"/>
        </w:rPr>
        <w:lastRenderedPageBreak/>
        <w:t xml:space="preserve">defendant before a trial court conducts the preliminary review mandated by that rule.” </w:t>
      </w:r>
      <w:r w:rsidR="000A1720" w:rsidRPr="002749B3">
        <w:rPr>
          <w:i/>
          <w:iCs/>
          <w:color w:val="000000" w:themeColor="text1"/>
        </w:rPr>
        <w:t>State v. Ainsworth</w:t>
      </w:r>
      <w:r w:rsidR="000A1720" w:rsidRPr="002749B3">
        <w:rPr>
          <w:color w:val="000000" w:themeColor="text1"/>
        </w:rPr>
        <w:t>, 250 Ariz. 457, 459, ¶</w:t>
      </w:r>
      <w:r w:rsidR="00324B16">
        <w:rPr>
          <w:color w:val="000000" w:themeColor="text1"/>
        </w:rPr>
        <w:t xml:space="preserve"> </w:t>
      </w:r>
      <w:r w:rsidR="000A1720" w:rsidRPr="002749B3">
        <w:rPr>
          <w:color w:val="000000" w:themeColor="text1"/>
        </w:rPr>
        <w:t xml:space="preserve">11 (App. 2021) (quoting </w:t>
      </w:r>
      <w:r w:rsidR="000A1720" w:rsidRPr="002749B3">
        <w:rPr>
          <w:i/>
          <w:iCs/>
          <w:color w:val="000000" w:themeColor="text1"/>
        </w:rPr>
        <w:t>State v. Harden</w:t>
      </w:r>
      <w:r w:rsidR="000A1720" w:rsidRPr="002749B3">
        <w:rPr>
          <w:color w:val="000000" w:themeColor="text1"/>
        </w:rPr>
        <w:t xml:space="preserve">, 228 Ariz. 131, </w:t>
      </w:r>
      <w:r w:rsidR="00206749">
        <w:rPr>
          <w:color w:val="000000" w:themeColor="text1"/>
        </w:rPr>
        <w:t xml:space="preserve">133 </w:t>
      </w:r>
      <w:r w:rsidR="000A1720" w:rsidRPr="002749B3">
        <w:rPr>
          <w:color w:val="000000" w:themeColor="text1"/>
        </w:rPr>
        <w:t>¶</w:t>
      </w:r>
      <w:r w:rsidR="00B9148F">
        <w:rPr>
          <w:color w:val="000000" w:themeColor="text1"/>
        </w:rPr>
        <w:t xml:space="preserve"> </w:t>
      </w:r>
      <w:r w:rsidR="000A1720" w:rsidRPr="002749B3">
        <w:rPr>
          <w:color w:val="000000" w:themeColor="text1"/>
        </w:rPr>
        <w:t>11 (App. 2011)).</w:t>
      </w:r>
      <w:r w:rsidR="00BB10CA" w:rsidRPr="002749B3">
        <w:rPr>
          <w:color w:val="000000" w:themeColor="text1"/>
        </w:rPr>
        <w:t xml:space="preserve"> And in practice, courts generally determine preclusion and timeliness issues—often resulting in the dismissal of a PCR proceeding—based solely on a PCR Notice filed by a pro se, incarcerated individual, without appointing counsel or even requiring any filing in response from the State. </w:t>
      </w:r>
    </w:p>
    <w:p w14:paraId="46992C40" w14:textId="58DB8DB0" w:rsidR="006F7A5C" w:rsidRPr="002749B3" w:rsidRDefault="00D52A88" w:rsidP="00A367E3">
      <w:pPr>
        <w:pStyle w:val="ListParagraph"/>
        <w:numPr>
          <w:ilvl w:val="0"/>
          <w:numId w:val="4"/>
        </w:numPr>
        <w:spacing w:after="0" w:line="240" w:lineRule="auto"/>
        <w:jc w:val="both"/>
        <w:rPr>
          <w:b/>
          <w:bCs/>
          <w:color w:val="000000" w:themeColor="text1"/>
        </w:rPr>
      </w:pPr>
      <w:r w:rsidRPr="002749B3">
        <w:rPr>
          <w:b/>
          <w:bCs/>
          <w:color w:val="000000" w:themeColor="text1"/>
        </w:rPr>
        <w:t xml:space="preserve">In counsels’ experience, PCR Notices frequently exceed seven pages </w:t>
      </w:r>
      <w:r w:rsidR="00A367E3" w:rsidRPr="002749B3">
        <w:rPr>
          <w:b/>
          <w:bCs/>
          <w:color w:val="000000" w:themeColor="text1"/>
        </w:rPr>
        <w:t>when preclusion and/or timeliness is an issue.</w:t>
      </w:r>
    </w:p>
    <w:p w14:paraId="3DD41C2A" w14:textId="77777777" w:rsidR="00A367E3" w:rsidRPr="002749B3" w:rsidRDefault="00A367E3" w:rsidP="00025490">
      <w:pPr>
        <w:pStyle w:val="ListParagraph"/>
        <w:spacing w:after="0" w:line="240" w:lineRule="auto"/>
        <w:jc w:val="both"/>
        <w:rPr>
          <w:color w:val="000000" w:themeColor="text1"/>
        </w:rPr>
      </w:pPr>
    </w:p>
    <w:p w14:paraId="30EA37A2" w14:textId="4EDB3164" w:rsidR="00426641" w:rsidRPr="002749B3" w:rsidRDefault="00BB10CA" w:rsidP="000A1720">
      <w:pPr>
        <w:spacing w:after="0" w:line="480" w:lineRule="auto"/>
        <w:ind w:firstLine="720"/>
        <w:jc w:val="both"/>
        <w:rPr>
          <w:color w:val="000000" w:themeColor="text1"/>
        </w:rPr>
      </w:pPr>
      <w:r w:rsidRPr="002749B3">
        <w:rPr>
          <w:color w:val="000000" w:themeColor="text1"/>
        </w:rPr>
        <w:t xml:space="preserve">Meeting the standards of Rule 32 and Rule 33’s preclusion and timeliness standards can require </w:t>
      </w:r>
      <w:r w:rsidR="009040E5" w:rsidRPr="002749B3">
        <w:rPr>
          <w:color w:val="000000" w:themeColor="text1"/>
        </w:rPr>
        <w:t>substantial explanation</w:t>
      </w:r>
      <w:r w:rsidRPr="002749B3">
        <w:rPr>
          <w:color w:val="000000" w:themeColor="text1"/>
        </w:rPr>
        <w:t>. D</w:t>
      </w:r>
      <w:r w:rsidR="000A1720" w:rsidRPr="002749B3">
        <w:rPr>
          <w:color w:val="000000" w:themeColor="text1"/>
        </w:rPr>
        <w:t>rawing on examples of recent cases involving undersigned counsels</w:t>
      </w:r>
      <w:r w:rsidR="00455F61" w:rsidRPr="002749B3">
        <w:rPr>
          <w:color w:val="000000" w:themeColor="text1"/>
        </w:rPr>
        <w:t xml:space="preserve">, the Rule Petition is incorrect in its characterization of the PCR Notice as serving only a “limited, threshold function” and not being treated “as a merits-based pleading,” </w:t>
      </w:r>
      <w:r w:rsidR="00030BEB" w:rsidRPr="002749B3">
        <w:rPr>
          <w:i/>
          <w:iCs/>
          <w:color w:val="000000" w:themeColor="text1"/>
        </w:rPr>
        <w:t xml:space="preserve">see </w:t>
      </w:r>
      <w:r w:rsidR="00030BEB" w:rsidRPr="002749B3">
        <w:rPr>
          <w:color w:val="000000" w:themeColor="text1"/>
        </w:rPr>
        <w:t xml:space="preserve">Petition at 1–2, </w:t>
      </w:r>
      <w:r w:rsidR="00455F61" w:rsidRPr="002749B3">
        <w:rPr>
          <w:color w:val="000000" w:themeColor="text1"/>
        </w:rPr>
        <w:t>at least in the case of untimely or successive PCR Notices.</w:t>
      </w:r>
      <w:r w:rsidR="000A1720" w:rsidRPr="002749B3">
        <w:rPr>
          <w:color w:val="000000" w:themeColor="text1"/>
        </w:rPr>
        <w:t xml:space="preserve"> </w:t>
      </w:r>
      <w:r w:rsidR="00455F61" w:rsidRPr="002749B3">
        <w:rPr>
          <w:color w:val="000000" w:themeColor="text1"/>
        </w:rPr>
        <w:t>I</w:t>
      </w:r>
      <w:r w:rsidRPr="002749B3">
        <w:rPr>
          <w:color w:val="000000" w:themeColor="text1"/>
        </w:rPr>
        <w:t>n one case, a pro se litigant filed a</w:t>
      </w:r>
      <w:r w:rsidR="00455F61" w:rsidRPr="002749B3">
        <w:rPr>
          <w:color w:val="000000" w:themeColor="text1"/>
        </w:rPr>
        <w:t xml:space="preserve">n eight-page PCR Notice, initiating a fourth PCR proceeding, that included the standard form (at the time 5 pages long) plus three handwritten pages explaining the nature of his claims and why they should be considered timely and not precluded, citing recent Arizona Supreme Court case law as well as the relevant provisions of Rule 32 and the U.S. and Arizona constitutions. The superior court summarily dismissed his PCR </w:t>
      </w:r>
      <w:r w:rsidR="00455F61" w:rsidRPr="002749B3">
        <w:rPr>
          <w:color w:val="000000" w:themeColor="text1"/>
        </w:rPr>
        <w:lastRenderedPageBreak/>
        <w:t xml:space="preserve">proceeding without allowing him to file a petition, finding the claims precluded and untimely based solely on the PCR Notice.  </w:t>
      </w:r>
    </w:p>
    <w:p w14:paraId="349A0617" w14:textId="059433B5" w:rsidR="002A5D15" w:rsidRPr="002749B3" w:rsidRDefault="00BB10CA" w:rsidP="00426641">
      <w:pPr>
        <w:spacing w:after="0" w:line="480" w:lineRule="auto"/>
        <w:ind w:firstLine="720"/>
        <w:jc w:val="both"/>
        <w:rPr>
          <w:color w:val="000000" w:themeColor="text1"/>
        </w:rPr>
      </w:pPr>
      <w:r w:rsidRPr="002749B3">
        <w:rPr>
          <w:color w:val="000000" w:themeColor="text1"/>
        </w:rPr>
        <w:t>Another</w:t>
      </w:r>
      <w:r w:rsidR="000A1720" w:rsidRPr="002749B3">
        <w:rPr>
          <w:color w:val="000000" w:themeColor="text1"/>
        </w:rPr>
        <w:t xml:space="preserve"> </w:t>
      </w:r>
      <w:r w:rsidR="00426641" w:rsidRPr="002749B3">
        <w:rPr>
          <w:color w:val="000000" w:themeColor="text1"/>
        </w:rPr>
        <w:t>PCR Notice</w:t>
      </w:r>
      <w:r w:rsidR="000A1720" w:rsidRPr="002749B3">
        <w:rPr>
          <w:color w:val="000000" w:themeColor="text1"/>
        </w:rPr>
        <w:t xml:space="preserve"> required approximately ten pages just to explain the ineffectiveness of appellate counsel in failing to address a waiver issue. In another case, prior to the appointment of counsel</w:t>
      </w:r>
      <w:r w:rsidR="00030BEB" w:rsidRPr="002749B3">
        <w:rPr>
          <w:color w:val="000000" w:themeColor="text1"/>
        </w:rPr>
        <w:t>,</w:t>
      </w:r>
      <w:r w:rsidR="000A1720" w:rsidRPr="002749B3">
        <w:rPr>
          <w:color w:val="000000" w:themeColor="text1"/>
        </w:rPr>
        <w:t xml:space="preserve"> the defendant filed his fourth notice of petition for post-conviction relief and had to state a claim</w:t>
      </w:r>
      <w:r w:rsidR="009040E5" w:rsidRPr="002749B3">
        <w:rPr>
          <w:color w:val="000000" w:themeColor="text1"/>
        </w:rPr>
        <w:t xml:space="preserve"> </w:t>
      </w:r>
      <w:r w:rsidR="000A1720" w:rsidRPr="002749B3">
        <w:rPr>
          <w:color w:val="000000" w:themeColor="text1"/>
        </w:rPr>
        <w:t xml:space="preserve">of newly discovered evidence that would not be summarily dismissed. </w:t>
      </w:r>
      <w:r w:rsidR="000D6FB3" w:rsidRPr="002749B3">
        <w:rPr>
          <w:color w:val="000000" w:themeColor="text1"/>
        </w:rPr>
        <w:t>For s</w:t>
      </w:r>
      <w:r w:rsidR="000A1720" w:rsidRPr="002749B3">
        <w:rPr>
          <w:color w:val="000000" w:themeColor="text1"/>
        </w:rPr>
        <w:t>till another untimely petition</w:t>
      </w:r>
      <w:r w:rsidR="002E71A1" w:rsidRPr="002749B3">
        <w:rPr>
          <w:color w:val="000000" w:themeColor="text1"/>
        </w:rPr>
        <w:t>—</w:t>
      </w:r>
      <w:r w:rsidR="000A1720" w:rsidRPr="002749B3">
        <w:rPr>
          <w:color w:val="000000" w:themeColor="text1"/>
        </w:rPr>
        <w:t>for which relief was ultimately granted involving an innocent veteran</w:t>
      </w:r>
      <w:r w:rsidR="002E71A1" w:rsidRPr="002749B3">
        <w:rPr>
          <w:color w:val="000000" w:themeColor="text1"/>
        </w:rPr>
        <w:t>—</w:t>
      </w:r>
      <w:r w:rsidR="000D6FB3" w:rsidRPr="002749B3">
        <w:rPr>
          <w:color w:val="000000" w:themeColor="text1"/>
        </w:rPr>
        <w:t>the defendant had to provide information from an investigation report to provide grounds showing ineffective assistance of his first PCR counsel.</w:t>
      </w:r>
    </w:p>
    <w:p w14:paraId="1C9D8994" w14:textId="08D3BACB" w:rsidR="00A367E3" w:rsidRPr="002749B3" w:rsidRDefault="00A367E3" w:rsidP="00E65CDC">
      <w:pPr>
        <w:pStyle w:val="ListParagraph"/>
        <w:numPr>
          <w:ilvl w:val="0"/>
          <w:numId w:val="4"/>
        </w:numPr>
        <w:spacing w:after="0" w:line="240" w:lineRule="auto"/>
        <w:jc w:val="both"/>
        <w:rPr>
          <w:b/>
          <w:bCs/>
          <w:color w:val="000000" w:themeColor="text1"/>
        </w:rPr>
      </w:pPr>
      <w:r w:rsidRPr="002749B3">
        <w:rPr>
          <w:b/>
          <w:bCs/>
          <w:color w:val="000000" w:themeColor="text1"/>
        </w:rPr>
        <w:t>Lengthy PCR Notices</w:t>
      </w:r>
      <w:r w:rsidR="00E65CDC" w:rsidRPr="002749B3">
        <w:rPr>
          <w:b/>
          <w:bCs/>
          <w:color w:val="000000" w:themeColor="text1"/>
        </w:rPr>
        <w:t xml:space="preserve"> serve a secondary function of </w:t>
      </w:r>
      <w:r w:rsidR="00BE22D4" w:rsidRPr="002749B3">
        <w:rPr>
          <w:b/>
          <w:bCs/>
          <w:color w:val="000000" w:themeColor="text1"/>
        </w:rPr>
        <w:t>providing insight into the claims and helping counsel build rapport.</w:t>
      </w:r>
    </w:p>
    <w:p w14:paraId="4D67756F" w14:textId="77777777" w:rsidR="00E65CDC" w:rsidRPr="002749B3" w:rsidRDefault="00E65CDC" w:rsidP="00025490">
      <w:pPr>
        <w:pStyle w:val="ListParagraph"/>
        <w:spacing w:after="0" w:line="240" w:lineRule="auto"/>
        <w:jc w:val="both"/>
        <w:rPr>
          <w:color w:val="000000" w:themeColor="text1"/>
        </w:rPr>
      </w:pPr>
    </w:p>
    <w:p w14:paraId="1DEC5B99" w14:textId="27CD5B64" w:rsidR="000D6FB3" w:rsidRPr="002749B3" w:rsidRDefault="000D6FB3" w:rsidP="00885044">
      <w:pPr>
        <w:spacing w:after="0" w:line="480" w:lineRule="auto"/>
        <w:ind w:firstLine="720"/>
        <w:jc w:val="both"/>
        <w:rPr>
          <w:color w:val="000000" w:themeColor="text1"/>
        </w:rPr>
      </w:pPr>
      <w:r w:rsidRPr="002749B3">
        <w:rPr>
          <w:color w:val="000000" w:themeColor="text1"/>
        </w:rPr>
        <w:t xml:space="preserve">As defense counsel, the undersigned can appreciate the challenges involved in separating the wheat from the chaff when it comes to reviewing lengthy pro per filings, including </w:t>
      </w:r>
      <w:r w:rsidR="00622CEE" w:rsidRPr="002749B3">
        <w:rPr>
          <w:color w:val="000000" w:themeColor="text1"/>
        </w:rPr>
        <w:t>PCR Not</w:t>
      </w:r>
      <w:r w:rsidR="00D54F3D" w:rsidRPr="002749B3">
        <w:rPr>
          <w:color w:val="000000" w:themeColor="text1"/>
        </w:rPr>
        <w:t>ic</w:t>
      </w:r>
      <w:r w:rsidR="00622CEE" w:rsidRPr="002749B3">
        <w:rPr>
          <w:color w:val="000000" w:themeColor="text1"/>
        </w:rPr>
        <w:t>es</w:t>
      </w:r>
      <w:r w:rsidRPr="002749B3">
        <w:rPr>
          <w:color w:val="000000" w:themeColor="text1"/>
        </w:rPr>
        <w:t xml:space="preserve">. </w:t>
      </w:r>
      <w:r w:rsidR="00885044" w:rsidRPr="002749B3">
        <w:rPr>
          <w:color w:val="000000" w:themeColor="text1"/>
        </w:rPr>
        <w:t xml:space="preserve">However, even </w:t>
      </w:r>
      <w:r w:rsidRPr="002749B3">
        <w:rPr>
          <w:color w:val="000000" w:themeColor="text1"/>
        </w:rPr>
        <w:t>whe</w:t>
      </w:r>
      <w:r w:rsidR="00404754" w:rsidRPr="002749B3">
        <w:rPr>
          <w:color w:val="000000" w:themeColor="text1"/>
        </w:rPr>
        <w:t>n</w:t>
      </w:r>
      <w:r w:rsidRPr="002749B3">
        <w:rPr>
          <w:color w:val="000000" w:themeColor="text1"/>
        </w:rPr>
        <w:t xml:space="preserve"> notices are</w:t>
      </w:r>
      <w:r w:rsidR="00404754" w:rsidRPr="002749B3">
        <w:rPr>
          <w:color w:val="000000" w:themeColor="text1"/>
        </w:rPr>
        <w:t xml:space="preserve"> lengthy</w:t>
      </w:r>
      <w:r w:rsidRPr="002749B3">
        <w:rPr>
          <w:color w:val="000000" w:themeColor="text1"/>
        </w:rPr>
        <w:t xml:space="preserve">, the extraneous matter can be useful for defense counsel. </w:t>
      </w:r>
      <w:r w:rsidR="00393817" w:rsidRPr="002749B3">
        <w:rPr>
          <w:color w:val="000000" w:themeColor="text1"/>
        </w:rPr>
        <w:t>D</w:t>
      </w:r>
      <w:r w:rsidRPr="002749B3">
        <w:rPr>
          <w:color w:val="000000" w:themeColor="text1"/>
        </w:rPr>
        <w:t xml:space="preserve">efendants can be guarded. However, in their written filings defendants are often unfiltered, expressing their thoughts in detail. This is especially true of defendants who suffer from mental health issues, and review of what most would consider to be excessive ramblings can and sometimes does form the basis for claims related to mental health issues, such as </w:t>
      </w:r>
      <w:r w:rsidRPr="002749B3">
        <w:rPr>
          <w:color w:val="000000" w:themeColor="text1"/>
        </w:rPr>
        <w:lastRenderedPageBreak/>
        <w:t xml:space="preserve">ineffective assistance of counsel for failing to seek evaluations pursuant to Ariz. R. Crim. P. 11. </w:t>
      </w:r>
    </w:p>
    <w:p w14:paraId="033E8E4E" w14:textId="3F080514" w:rsidR="000D6FB3" w:rsidRPr="002749B3" w:rsidRDefault="000D6FB3" w:rsidP="000A1720">
      <w:pPr>
        <w:spacing w:after="0" w:line="480" w:lineRule="auto"/>
        <w:ind w:firstLine="720"/>
        <w:jc w:val="both"/>
        <w:rPr>
          <w:color w:val="000000" w:themeColor="text1"/>
        </w:rPr>
      </w:pPr>
      <w:r w:rsidRPr="002749B3">
        <w:rPr>
          <w:color w:val="000000" w:themeColor="text1"/>
        </w:rPr>
        <w:t xml:space="preserve">More often, the arguments detailed in pro per filings can be of immense assistance for defense counsel in building trust with defendants, understanding what they are seeking to accomplish and/or argue, and in overcoming </w:t>
      </w:r>
      <w:r w:rsidR="00402419">
        <w:rPr>
          <w:color w:val="000000" w:themeColor="text1"/>
        </w:rPr>
        <w:t xml:space="preserve">communication </w:t>
      </w:r>
      <w:r w:rsidRPr="002749B3">
        <w:rPr>
          <w:color w:val="000000" w:themeColor="text1"/>
        </w:rPr>
        <w:t xml:space="preserve">challenges. The very defendants who often file the </w:t>
      </w:r>
      <w:r w:rsidR="00B923EA" w:rsidRPr="002749B3">
        <w:rPr>
          <w:color w:val="000000" w:themeColor="text1"/>
        </w:rPr>
        <w:t>lengthiest</w:t>
      </w:r>
      <w:r w:rsidRPr="002749B3">
        <w:rPr>
          <w:color w:val="000000" w:themeColor="text1"/>
        </w:rPr>
        <w:t xml:space="preserve"> notices are often defendants who </w:t>
      </w:r>
      <w:r w:rsidR="003C1934" w:rsidRPr="002749B3">
        <w:rPr>
          <w:color w:val="000000" w:themeColor="text1"/>
        </w:rPr>
        <w:t xml:space="preserve">have had issues dealing with counsel </w:t>
      </w:r>
      <w:r w:rsidR="00030BEB" w:rsidRPr="002749B3">
        <w:rPr>
          <w:color w:val="000000" w:themeColor="text1"/>
        </w:rPr>
        <w:t xml:space="preserve">in the past </w:t>
      </w:r>
      <w:r w:rsidR="003C1934" w:rsidRPr="002749B3">
        <w:rPr>
          <w:color w:val="000000" w:themeColor="text1"/>
        </w:rPr>
        <w:t xml:space="preserve">and who may have had numerous attorneys appointed and withdrawn. </w:t>
      </w:r>
      <w:r w:rsidR="00293678" w:rsidRPr="002749B3">
        <w:rPr>
          <w:color w:val="000000" w:themeColor="text1"/>
        </w:rPr>
        <w:t>The contents of a lengthy PCR Notice can often provide counsel with the ability to have an informed initial conversation with the client</w:t>
      </w:r>
      <w:r w:rsidR="005C22AF" w:rsidRPr="002749B3">
        <w:rPr>
          <w:color w:val="000000" w:themeColor="text1"/>
        </w:rPr>
        <w:t>.</w:t>
      </w:r>
    </w:p>
    <w:p w14:paraId="4A75ED47" w14:textId="6FA9036D" w:rsidR="00FB531A" w:rsidRPr="002749B3" w:rsidRDefault="003C1934" w:rsidP="003C1934">
      <w:pPr>
        <w:spacing w:after="0" w:line="480" w:lineRule="auto"/>
        <w:ind w:firstLine="720"/>
        <w:jc w:val="both"/>
        <w:rPr>
          <w:rFonts w:eastAsia="Aptos"/>
          <w:color w:val="000000" w:themeColor="text1"/>
          <w:kern w:val="0"/>
          <w14:ligatures w14:val="none"/>
        </w:rPr>
      </w:pPr>
      <w:r w:rsidRPr="002749B3">
        <w:rPr>
          <w:color w:val="000000" w:themeColor="text1"/>
        </w:rPr>
        <w:t>In sum, a strict and rather short page limit will substantially impede the ability of defendants to litigate significant claims particularly where those claims involve untimely or successive petitions. It will further reduce the sharing of information between attorney and defendant</w:t>
      </w:r>
      <w:r w:rsidR="00030BEB" w:rsidRPr="002749B3">
        <w:rPr>
          <w:color w:val="000000" w:themeColor="text1"/>
        </w:rPr>
        <w:t>, impeding defense counsel’s ability to effectively represent their clients</w:t>
      </w:r>
      <w:r w:rsidRPr="002749B3">
        <w:rPr>
          <w:color w:val="000000" w:themeColor="text1"/>
        </w:rPr>
        <w:t>.</w:t>
      </w:r>
      <w:r w:rsidR="00B923EA" w:rsidRPr="002749B3">
        <w:rPr>
          <w:color w:val="000000" w:themeColor="text1"/>
        </w:rPr>
        <w:t xml:space="preserve"> And it risks summary dismissal of meritorious claims.</w:t>
      </w:r>
    </w:p>
    <w:p w14:paraId="346F3313" w14:textId="77777777" w:rsidR="00402419" w:rsidRDefault="00402419">
      <w:pPr>
        <w:rPr>
          <w:rFonts w:eastAsia="Aptos"/>
          <w:b/>
          <w:bCs/>
          <w:color w:val="000000" w:themeColor="text1"/>
          <w:kern w:val="0"/>
          <w14:ligatures w14:val="none"/>
        </w:rPr>
      </w:pPr>
      <w:r>
        <w:rPr>
          <w:rFonts w:eastAsia="Aptos"/>
          <w:b/>
          <w:bCs/>
          <w:color w:val="000000" w:themeColor="text1"/>
          <w:kern w:val="0"/>
          <w14:ligatures w14:val="none"/>
        </w:rPr>
        <w:br w:type="page"/>
      </w:r>
    </w:p>
    <w:p w14:paraId="249F22F4" w14:textId="12A08DDE" w:rsidR="00DB6885" w:rsidRPr="00402419" w:rsidRDefault="00DB6885" w:rsidP="00402419">
      <w:pPr>
        <w:pStyle w:val="ListParagraph"/>
        <w:numPr>
          <w:ilvl w:val="0"/>
          <w:numId w:val="5"/>
        </w:numPr>
        <w:spacing w:after="0" w:line="240" w:lineRule="auto"/>
        <w:rPr>
          <w:rFonts w:eastAsia="Aptos"/>
          <w:b/>
          <w:bCs/>
          <w:color w:val="000000" w:themeColor="text1"/>
          <w:kern w:val="0"/>
          <w14:ligatures w14:val="none"/>
        </w:rPr>
      </w:pPr>
      <w:r w:rsidRPr="00402419">
        <w:rPr>
          <w:rFonts w:eastAsia="Aptos"/>
          <w:b/>
          <w:bCs/>
          <w:color w:val="000000" w:themeColor="text1"/>
          <w:kern w:val="0"/>
          <w14:ligatures w14:val="none"/>
        </w:rPr>
        <w:lastRenderedPageBreak/>
        <w:t xml:space="preserve"> Conclusion</w:t>
      </w:r>
    </w:p>
    <w:bookmarkEnd w:id="0"/>
    <w:p w14:paraId="080CB619" w14:textId="77777777" w:rsidR="00DB6885" w:rsidRPr="002749B3" w:rsidRDefault="00DB6885" w:rsidP="00DB6885">
      <w:pPr>
        <w:spacing w:after="0" w:line="240" w:lineRule="auto"/>
        <w:rPr>
          <w:rFonts w:eastAsia="Times New Roman"/>
          <w:b/>
          <w:bCs/>
          <w:color w:val="000000" w:themeColor="text1"/>
          <w:kern w:val="0"/>
          <w14:ligatures w14:val="none"/>
        </w:rPr>
      </w:pPr>
    </w:p>
    <w:p w14:paraId="320CAD45" w14:textId="4288CBD6" w:rsidR="00DB6885" w:rsidRPr="002749B3" w:rsidRDefault="00DB6885" w:rsidP="00AE0899">
      <w:pPr>
        <w:spacing w:after="0" w:line="480" w:lineRule="auto"/>
        <w:ind w:firstLine="720"/>
        <w:jc w:val="both"/>
        <w:rPr>
          <w:rFonts w:eastAsia="Times New Roman"/>
          <w:color w:val="000000" w:themeColor="text1"/>
          <w:kern w:val="0"/>
          <w14:ligatures w14:val="none"/>
        </w:rPr>
      </w:pPr>
      <w:r w:rsidRPr="002749B3">
        <w:rPr>
          <w:rFonts w:eastAsia="Times New Roman"/>
          <w:color w:val="000000" w:themeColor="text1"/>
          <w:kern w:val="0"/>
          <w14:ligatures w14:val="none"/>
        </w:rPr>
        <w:t xml:space="preserve">AACJ opposes the adoption of the proposed amendment to Rules 32.4 and 33.4. The proposed seven-page limit on PCR </w:t>
      </w:r>
      <w:r w:rsidR="004A2D37" w:rsidRPr="002749B3">
        <w:rPr>
          <w:rFonts w:eastAsia="Times New Roman"/>
          <w:color w:val="000000" w:themeColor="text1"/>
          <w:kern w:val="0"/>
          <w14:ligatures w14:val="none"/>
        </w:rPr>
        <w:t>N</w:t>
      </w:r>
      <w:r w:rsidRPr="002749B3">
        <w:rPr>
          <w:rFonts w:eastAsia="Times New Roman"/>
          <w:color w:val="000000" w:themeColor="text1"/>
          <w:kern w:val="0"/>
          <w14:ligatures w14:val="none"/>
        </w:rPr>
        <w:t xml:space="preserve">otices </w:t>
      </w:r>
      <w:r w:rsidR="008F3865" w:rsidRPr="002749B3">
        <w:rPr>
          <w:rFonts w:eastAsia="Times New Roman"/>
          <w:color w:val="000000" w:themeColor="text1"/>
          <w:kern w:val="0"/>
          <w14:ligatures w14:val="none"/>
        </w:rPr>
        <w:t xml:space="preserve">will </w:t>
      </w:r>
      <w:r w:rsidRPr="002749B3">
        <w:rPr>
          <w:rFonts w:eastAsia="Times New Roman"/>
          <w:color w:val="000000" w:themeColor="text1"/>
          <w:kern w:val="0"/>
          <w14:ligatures w14:val="none"/>
        </w:rPr>
        <w:t xml:space="preserve">present more challenges for courts and </w:t>
      </w:r>
      <w:r w:rsidR="009E5E19" w:rsidRPr="002749B3">
        <w:rPr>
          <w:rFonts w:eastAsia="Times New Roman"/>
          <w:color w:val="000000" w:themeColor="text1"/>
          <w:kern w:val="0"/>
          <w14:ligatures w14:val="none"/>
        </w:rPr>
        <w:t xml:space="preserve">practitioners, and </w:t>
      </w:r>
      <w:r w:rsidRPr="002749B3">
        <w:rPr>
          <w:rFonts w:eastAsia="Times New Roman"/>
          <w:color w:val="000000" w:themeColor="text1"/>
          <w:kern w:val="0"/>
          <w14:ligatures w14:val="none"/>
        </w:rPr>
        <w:t xml:space="preserve">disproportionately disadvantage pro per petitioners, obstructing their ability to exercise their </w:t>
      </w:r>
      <w:r w:rsidR="009E5E19" w:rsidRPr="002749B3">
        <w:rPr>
          <w:rFonts w:eastAsia="Times New Roman"/>
          <w:color w:val="000000" w:themeColor="text1"/>
          <w:kern w:val="0"/>
          <w14:ligatures w14:val="none"/>
        </w:rPr>
        <w:t>constitutional right to post-conviction relief</w:t>
      </w:r>
      <w:r w:rsidRPr="002749B3">
        <w:rPr>
          <w:rFonts w:eastAsia="Times New Roman"/>
          <w:color w:val="000000" w:themeColor="text1"/>
          <w:kern w:val="0"/>
          <w14:ligatures w14:val="none"/>
        </w:rPr>
        <w:t xml:space="preserve">. </w:t>
      </w:r>
    </w:p>
    <w:p w14:paraId="0B766D54" w14:textId="77777777" w:rsidR="00B45C22" w:rsidRPr="002749B3" w:rsidRDefault="00B45C22" w:rsidP="00DB6885">
      <w:pPr>
        <w:spacing w:after="0" w:line="240" w:lineRule="auto"/>
        <w:jc w:val="both"/>
        <w:rPr>
          <w:rFonts w:eastAsia="Times New Roman"/>
          <w:b/>
          <w:bCs/>
          <w:color w:val="000000" w:themeColor="text1"/>
          <w:kern w:val="0"/>
          <w14:ligatures w14:val="none"/>
        </w:rPr>
      </w:pPr>
    </w:p>
    <w:p w14:paraId="2B6000D7" w14:textId="33A76C21" w:rsidR="00DB6885" w:rsidRPr="002749B3" w:rsidRDefault="00DB6885" w:rsidP="00DB6885">
      <w:pPr>
        <w:autoSpaceDE w:val="0"/>
        <w:autoSpaceDN w:val="0"/>
        <w:adjustRightInd w:val="0"/>
        <w:spacing w:after="0" w:line="240" w:lineRule="auto"/>
        <w:ind w:left="720" w:firstLine="720"/>
        <w:rPr>
          <w:rFonts w:eastAsia="Times New Roman"/>
          <w:color w:val="000000" w:themeColor="text1"/>
          <w:kern w:val="0"/>
          <w14:ligatures w14:val="none"/>
        </w:rPr>
      </w:pPr>
      <w:r w:rsidRPr="002749B3">
        <w:rPr>
          <w:rFonts w:eastAsia="Times New Roman"/>
          <w:color w:val="000000" w:themeColor="text1"/>
          <w:kern w:val="0"/>
          <w14:ligatures w14:val="none"/>
        </w:rPr>
        <w:t xml:space="preserve">Respectfully submitted, this </w:t>
      </w:r>
      <w:r w:rsidR="007E3BE7">
        <w:rPr>
          <w:rFonts w:eastAsia="Times New Roman"/>
          <w:color w:val="000000" w:themeColor="text1"/>
          <w:kern w:val="0"/>
          <w14:ligatures w14:val="none"/>
        </w:rPr>
        <w:t>23</w:t>
      </w:r>
      <w:r w:rsidR="007E3BE7" w:rsidRPr="007E3BE7">
        <w:rPr>
          <w:rFonts w:eastAsia="Times New Roman"/>
          <w:color w:val="000000" w:themeColor="text1"/>
          <w:kern w:val="0"/>
          <w:vertAlign w:val="superscript"/>
          <w14:ligatures w14:val="none"/>
        </w:rPr>
        <w:t>rd</w:t>
      </w:r>
      <w:r w:rsidR="007E3BE7">
        <w:rPr>
          <w:rFonts w:eastAsia="Times New Roman"/>
          <w:color w:val="000000" w:themeColor="text1"/>
          <w:kern w:val="0"/>
          <w14:ligatures w14:val="none"/>
        </w:rPr>
        <w:t xml:space="preserve"> day</w:t>
      </w:r>
      <w:r w:rsidRPr="002749B3">
        <w:rPr>
          <w:rFonts w:eastAsia="Times New Roman"/>
          <w:color w:val="000000" w:themeColor="text1"/>
          <w:kern w:val="0"/>
          <w14:ligatures w14:val="none"/>
        </w:rPr>
        <w:t xml:space="preserve"> of </w:t>
      </w:r>
      <w:r w:rsidR="00BB10CA" w:rsidRPr="002749B3">
        <w:rPr>
          <w:rFonts w:eastAsia="Times New Roman"/>
          <w:color w:val="000000" w:themeColor="text1"/>
          <w:kern w:val="0"/>
          <w14:ligatures w14:val="none"/>
        </w:rPr>
        <w:t xml:space="preserve">April, </w:t>
      </w:r>
      <w:r w:rsidRPr="002749B3">
        <w:rPr>
          <w:rFonts w:eastAsia="Times New Roman"/>
          <w:color w:val="000000" w:themeColor="text1"/>
          <w:kern w:val="0"/>
          <w14:ligatures w14:val="none"/>
        </w:rPr>
        <w:t>2026,</w:t>
      </w:r>
    </w:p>
    <w:p w14:paraId="1D0D0A9B" w14:textId="77777777" w:rsidR="00DB6885" w:rsidRPr="002749B3" w:rsidRDefault="00DB6885" w:rsidP="00DB6885">
      <w:pPr>
        <w:autoSpaceDE w:val="0"/>
        <w:autoSpaceDN w:val="0"/>
        <w:adjustRightInd w:val="0"/>
        <w:spacing w:after="0" w:line="240" w:lineRule="auto"/>
        <w:ind w:left="2160"/>
        <w:rPr>
          <w:rFonts w:eastAsia="Times New Roman"/>
          <w:i/>
          <w:iCs/>
          <w:color w:val="000000" w:themeColor="text1"/>
          <w:kern w:val="0"/>
          <w14:ligatures w14:val="none"/>
        </w:rPr>
      </w:pPr>
    </w:p>
    <w:p w14:paraId="185C8F43" w14:textId="77777777" w:rsidR="00DB6885" w:rsidRPr="002749B3" w:rsidRDefault="00DB6885" w:rsidP="00DB6885">
      <w:pPr>
        <w:autoSpaceDE w:val="0"/>
        <w:autoSpaceDN w:val="0"/>
        <w:adjustRightInd w:val="0"/>
        <w:spacing w:after="0" w:line="240" w:lineRule="auto"/>
        <w:ind w:left="2160"/>
        <w:rPr>
          <w:rFonts w:eastAsia="Times New Roman"/>
          <w:i/>
          <w:iCs/>
          <w:color w:val="000000" w:themeColor="text1"/>
          <w:kern w:val="0"/>
          <w14:ligatures w14:val="none"/>
        </w:rPr>
      </w:pPr>
      <w:r w:rsidRPr="002749B3">
        <w:rPr>
          <w:rFonts w:eastAsia="Times New Roman"/>
          <w:iCs/>
          <w:color w:val="000000" w:themeColor="text1"/>
          <w:kern w:val="0"/>
          <w14:ligatures w14:val="none"/>
        </w:rPr>
        <w:t xml:space="preserve">By </w:t>
      </w:r>
      <w:r w:rsidRPr="002749B3">
        <w:rPr>
          <w:rFonts w:eastAsia="Times New Roman"/>
          <w:iCs/>
          <w:color w:val="000000" w:themeColor="text1"/>
          <w:kern w:val="0"/>
          <w:u w:val="single"/>
          <w14:ligatures w14:val="none"/>
        </w:rPr>
        <w:t>/s</w:t>
      </w:r>
      <w:r w:rsidRPr="002749B3">
        <w:rPr>
          <w:rFonts w:eastAsia="Times New Roman"/>
          <w:i/>
          <w:iCs/>
          <w:color w:val="000000" w:themeColor="text1"/>
          <w:kern w:val="0"/>
          <w:u w:val="single"/>
          <w14:ligatures w14:val="none"/>
        </w:rPr>
        <w:t>/</w:t>
      </w:r>
    </w:p>
    <w:p w14:paraId="063959E0" w14:textId="27DA1BC5" w:rsidR="00E75F8E" w:rsidRPr="002749B3" w:rsidRDefault="00F50DDA" w:rsidP="00AE0899">
      <w:pPr>
        <w:autoSpaceDE w:val="0"/>
        <w:autoSpaceDN w:val="0"/>
        <w:adjustRightInd w:val="0"/>
        <w:spacing w:after="0" w:line="240" w:lineRule="exact"/>
        <w:ind w:left="2592"/>
        <w:rPr>
          <w:rFonts w:eastAsia="Times New Roman"/>
          <w:color w:val="000000" w:themeColor="text1"/>
          <w:kern w:val="0"/>
          <w14:ligatures w14:val="none"/>
        </w:rPr>
      </w:pPr>
      <w:r w:rsidRPr="002749B3">
        <w:rPr>
          <w:rFonts w:eastAsia="Times New Roman"/>
          <w:color w:val="000000" w:themeColor="text1"/>
          <w:kern w:val="0"/>
          <w14:ligatures w14:val="none"/>
        </w:rPr>
        <w:t xml:space="preserve">Seth Apfel, </w:t>
      </w:r>
      <w:r w:rsidR="00DB6885" w:rsidRPr="002749B3">
        <w:rPr>
          <w:rFonts w:eastAsia="Times New Roman"/>
          <w:color w:val="000000" w:themeColor="text1"/>
          <w:kern w:val="0"/>
          <w14:ligatures w14:val="none"/>
        </w:rPr>
        <w:t>Grace Guisewite</w:t>
      </w:r>
      <w:r w:rsidRPr="002749B3">
        <w:rPr>
          <w:rFonts w:eastAsia="Times New Roman"/>
          <w:color w:val="000000" w:themeColor="text1"/>
          <w:kern w:val="0"/>
          <w14:ligatures w14:val="none"/>
        </w:rPr>
        <w:t xml:space="preserve">, Karen </w:t>
      </w:r>
      <w:r w:rsidR="00BB10CA" w:rsidRPr="002749B3">
        <w:rPr>
          <w:rFonts w:eastAsia="Times New Roman"/>
          <w:color w:val="000000" w:themeColor="text1"/>
          <w:kern w:val="0"/>
          <w14:ligatures w14:val="none"/>
        </w:rPr>
        <w:t xml:space="preserve">S. </w:t>
      </w:r>
      <w:r w:rsidRPr="002749B3">
        <w:rPr>
          <w:rFonts w:eastAsia="Times New Roman"/>
          <w:color w:val="000000" w:themeColor="text1"/>
          <w:kern w:val="0"/>
          <w14:ligatures w14:val="none"/>
        </w:rPr>
        <w:t>Smith</w:t>
      </w:r>
      <w:r w:rsidR="00BB10CA" w:rsidRPr="002749B3">
        <w:rPr>
          <w:rFonts w:eastAsia="Times New Roman"/>
          <w:color w:val="000000" w:themeColor="text1"/>
          <w:kern w:val="0"/>
          <w14:ligatures w14:val="none"/>
        </w:rPr>
        <w:t xml:space="preserve"> on behalf of </w:t>
      </w:r>
      <w:r w:rsidR="00DB6885" w:rsidRPr="002749B3">
        <w:rPr>
          <w:rFonts w:eastAsia="Times New Roman"/>
          <w:color w:val="000000" w:themeColor="text1"/>
          <w:kern w:val="0"/>
          <w14:ligatures w14:val="none"/>
        </w:rPr>
        <w:t>Arizona Attorneys for Criminal Justice</w:t>
      </w:r>
    </w:p>
    <w:sectPr w:rsidR="00E75F8E" w:rsidRPr="002749B3" w:rsidSect="00DB688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F688" w14:textId="77777777" w:rsidR="00FA6F90" w:rsidRDefault="00FA6F90" w:rsidP="00B01C4B">
      <w:pPr>
        <w:spacing w:after="0" w:line="240" w:lineRule="auto"/>
      </w:pPr>
      <w:r>
        <w:separator/>
      </w:r>
    </w:p>
  </w:endnote>
  <w:endnote w:type="continuationSeparator" w:id="0">
    <w:p w14:paraId="43404AA0" w14:textId="77777777" w:rsidR="00FA6F90" w:rsidRDefault="00FA6F90" w:rsidP="00B01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565045"/>
      <w:docPartObj>
        <w:docPartGallery w:val="Page Numbers (Bottom of Page)"/>
        <w:docPartUnique/>
      </w:docPartObj>
    </w:sdtPr>
    <w:sdtEndPr>
      <w:rPr>
        <w:noProof/>
      </w:rPr>
    </w:sdtEndPr>
    <w:sdtContent>
      <w:p w14:paraId="1C83875E" w14:textId="7B893594" w:rsidR="00343942" w:rsidRDefault="003439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66C2F" w14:textId="77777777" w:rsidR="00343942" w:rsidRDefault="00343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DD77" w14:textId="77777777" w:rsidR="00FA6F90" w:rsidRDefault="00FA6F90" w:rsidP="00B01C4B">
      <w:pPr>
        <w:spacing w:after="0" w:line="240" w:lineRule="auto"/>
      </w:pPr>
      <w:r>
        <w:separator/>
      </w:r>
    </w:p>
  </w:footnote>
  <w:footnote w:type="continuationSeparator" w:id="0">
    <w:p w14:paraId="0AC5B92F" w14:textId="77777777" w:rsidR="00FA6F90" w:rsidRDefault="00FA6F90" w:rsidP="00B01C4B">
      <w:pPr>
        <w:spacing w:after="0" w:line="240" w:lineRule="auto"/>
      </w:pPr>
      <w:r>
        <w:continuationSeparator/>
      </w:r>
    </w:p>
  </w:footnote>
  <w:footnote w:id="1">
    <w:p w14:paraId="2DFB71E4" w14:textId="602E08D1" w:rsidR="009A3097" w:rsidRPr="00421DAA" w:rsidRDefault="009A3097">
      <w:pPr>
        <w:pStyle w:val="FootnoteText"/>
        <w:rPr>
          <w:sz w:val="28"/>
          <w:szCs w:val="28"/>
        </w:rPr>
      </w:pPr>
      <w:r w:rsidRPr="009C56C8">
        <w:rPr>
          <w:rStyle w:val="FootnoteReference"/>
          <w:sz w:val="28"/>
          <w:szCs w:val="28"/>
        </w:rPr>
        <w:footnoteRef/>
      </w:r>
      <w:r w:rsidRPr="009C56C8">
        <w:rPr>
          <w:sz w:val="28"/>
          <w:szCs w:val="28"/>
        </w:rPr>
        <w:t xml:space="preserve"> Special thanks to Monique Guevara, </w:t>
      </w:r>
      <w:r w:rsidR="00421DAA" w:rsidRPr="009C56C8">
        <w:rPr>
          <w:sz w:val="28"/>
          <w:szCs w:val="28"/>
        </w:rPr>
        <w:t xml:space="preserve">who assisted in the drafting of this Comment, under </w:t>
      </w:r>
      <w:r w:rsidR="009C56C8">
        <w:rPr>
          <w:sz w:val="28"/>
          <w:szCs w:val="28"/>
        </w:rPr>
        <w:t xml:space="preserve">Arizona Supreme Court </w:t>
      </w:r>
      <w:r w:rsidR="00421DAA" w:rsidRPr="009C56C8">
        <w:rPr>
          <w:sz w:val="28"/>
          <w:szCs w:val="28"/>
        </w:rPr>
        <w:t xml:space="preserve">Rule </w:t>
      </w:r>
      <w:r w:rsidR="009C56C8" w:rsidRPr="009C56C8">
        <w:rPr>
          <w:sz w:val="28"/>
          <w:szCs w:val="28"/>
        </w:rPr>
        <w:t>39</w:t>
      </w:r>
      <w:r w:rsidR="009C56C8">
        <w:rPr>
          <w:sz w:val="28"/>
          <w:szCs w:val="28"/>
        </w:rPr>
        <w:t>(c)(4)</w:t>
      </w:r>
      <w:r w:rsidR="00421DAA" w:rsidRPr="009C56C8">
        <w:rPr>
          <w:sz w:val="28"/>
          <w:szCs w:val="28"/>
        </w:rPr>
        <w:t>.</w:t>
      </w:r>
    </w:p>
  </w:footnote>
  <w:footnote w:id="2">
    <w:p w14:paraId="1E47E10F" w14:textId="690FC0D3" w:rsidR="005B6490" w:rsidRPr="005B6490" w:rsidRDefault="00E219A1">
      <w:pPr>
        <w:pStyle w:val="FootnoteText"/>
        <w:rPr>
          <w:rFonts w:eastAsia="Aptos"/>
          <w:kern w:val="0"/>
          <w:sz w:val="28"/>
          <w:szCs w:val="28"/>
          <w14:ligatures w14:val="none"/>
        </w:rPr>
      </w:pPr>
      <w:r>
        <w:rPr>
          <w:rStyle w:val="FootnoteReference"/>
        </w:rPr>
        <w:footnoteRef/>
      </w:r>
      <w:r>
        <w:t xml:space="preserve"> </w:t>
      </w:r>
      <w:r>
        <w:rPr>
          <w:rFonts w:eastAsia="Aptos"/>
          <w:kern w:val="0"/>
          <w:sz w:val="28"/>
          <w:szCs w:val="28"/>
          <w14:ligatures w14:val="none"/>
        </w:rPr>
        <w:t xml:space="preserve">Tommaso Bardelli, Sindy Lopez, Tammy Ortiz, &amp; Laura Brown, </w:t>
      </w:r>
      <w:r>
        <w:rPr>
          <w:rFonts w:eastAsia="Aptos"/>
          <w:i/>
          <w:iCs/>
          <w:kern w:val="0"/>
          <w:sz w:val="28"/>
          <w:szCs w:val="28"/>
          <w14:ligatures w14:val="none"/>
        </w:rPr>
        <w:t>Limited by Design: The Policy Framework of Legal Access in Prison,</w:t>
      </w:r>
      <w:r>
        <w:rPr>
          <w:rFonts w:eastAsia="Aptos"/>
          <w:kern w:val="0"/>
          <w:sz w:val="28"/>
          <w:szCs w:val="28"/>
          <w14:ligatures w14:val="none"/>
        </w:rPr>
        <w:t xml:space="preserve"> Ithaka S</w:t>
      </w:r>
      <w:r w:rsidR="005B6490">
        <w:rPr>
          <w:rFonts w:eastAsia="Aptos"/>
          <w:kern w:val="0"/>
          <w:sz w:val="28"/>
          <w:szCs w:val="28"/>
          <w14:ligatures w14:val="none"/>
        </w:rPr>
        <w:t>+R 1, 26 (2025)</w:t>
      </w:r>
      <w:r w:rsidR="00296F6B">
        <w:rPr>
          <w:rFonts w:eastAsia="Aptos"/>
          <w:kern w:val="0"/>
          <w:sz w:val="28"/>
          <w:szCs w:val="28"/>
          <w14:ligatures w14:val="none"/>
        </w:rPr>
        <w:t>.</w:t>
      </w:r>
    </w:p>
  </w:footnote>
  <w:footnote w:id="3">
    <w:p w14:paraId="24DEFDEE" w14:textId="285453D3" w:rsidR="00296F6B" w:rsidRPr="00296F6B" w:rsidRDefault="00296F6B">
      <w:pPr>
        <w:pStyle w:val="FootnoteText"/>
      </w:pPr>
      <w:r>
        <w:rPr>
          <w:rStyle w:val="FootnoteReference"/>
        </w:rPr>
        <w:footnoteRef/>
      </w:r>
      <w:r>
        <w:t xml:space="preserve"> </w:t>
      </w:r>
      <w:r>
        <w:rPr>
          <w:rFonts w:eastAsia="Aptos"/>
          <w:i/>
          <w:iCs/>
          <w:kern w:val="0"/>
          <w:sz w:val="28"/>
          <w:szCs w:val="28"/>
          <w14:ligatures w14:val="none"/>
        </w:rPr>
        <w:t>Id.</w:t>
      </w:r>
      <w:r>
        <w:rPr>
          <w:rFonts w:eastAsia="Aptos"/>
          <w:kern w:val="0"/>
          <w:sz w:val="28"/>
          <w:szCs w:val="28"/>
          <w14:ligatures w14:val="none"/>
        </w:rPr>
        <w:t xml:space="preserve"> at </w:t>
      </w:r>
      <w:r w:rsidR="001A3CB8">
        <w:rPr>
          <w:rFonts w:eastAsia="Aptos"/>
          <w:kern w:val="0"/>
          <w:sz w:val="28"/>
          <w:szCs w:val="28"/>
          <w14:ligatures w14:val="none"/>
        </w:rPr>
        <w:t>30.</w:t>
      </w:r>
    </w:p>
  </w:footnote>
  <w:footnote w:id="4">
    <w:p w14:paraId="21CA2787" w14:textId="6BD2A949" w:rsidR="00B01C4B" w:rsidRDefault="00B01C4B" w:rsidP="00B01C4B">
      <w:r>
        <w:rPr>
          <w:rStyle w:val="FootnoteReference"/>
        </w:rPr>
        <w:footnoteRef/>
      </w:r>
      <w:r>
        <w:t xml:space="preserve"> </w:t>
      </w:r>
      <w:hyperlink r:id="rId1" w:history="1">
        <w:r w:rsidR="00266944" w:rsidRPr="004D4500">
          <w:rPr>
            <w:rStyle w:val="Hyperlink"/>
          </w:rPr>
          <w:t>https://superiorcourt.maricopa.gov/media/3bpnamwh/crpcr12fz.pdf</w:t>
        </w:r>
      </w:hyperlink>
      <w:r w:rsidR="00E647C7">
        <w:t>.</w:t>
      </w:r>
      <w:r w:rsidR="00266944">
        <w:t xml:space="preserve"> </w:t>
      </w:r>
    </w:p>
  </w:footnote>
  <w:footnote w:id="5">
    <w:p w14:paraId="7C251A0C" w14:textId="742064B4" w:rsidR="008825D2" w:rsidRDefault="00BD541A" w:rsidP="004D4500">
      <w:pPr>
        <w:spacing w:line="240" w:lineRule="auto"/>
      </w:pPr>
      <w:r>
        <w:rPr>
          <w:rStyle w:val="FootnoteReference"/>
        </w:rPr>
        <w:footnoteRef/>
      </w:r>
      <w:r>
        <w:t xml:space="preserve"> </w:t>
      </w:r>
      <w:r w:rsidRPr="00B86030">
        <w:t xml:space="preserve">15 David J. Euchner &amp; Barbara E. Bergman, </w:t>
      </w:r>
      <w:r w:rsidRPr="00B86030">
        <w:rPr>
          <w:i/>
          <w:iCs/>
        </w:rPr>
        <w:t>Arizona Criminal Practice Manual</w:t>
      </w:r>
      <w:r w:rsidRPr="00B86030">
        <w:t xml:space="preserve"> § 31:3 (2025)</w:t>
      </w:r>
    </w:p>
  </w:footnote>
  <w:footnote w:id="6">
    <w:p w14:paraId="0CE718AD" w14:textId="14AA8769" w:rsidR="00266944" w:rsidRDefault="00266944" w:rsidP="00266944">
      <w:r>
        <w:rPr>
          <w:rStyle w:val="FootnoteReference"/>
        </w:rPr>
        <w:footnoteRef/>
      </w:r>
      <w:r>
        <w:t xml:space="preserve"> </w:t>
      </w:r>
      <w:hyperlink r:id="rId2" w:history="1">
        <w:r w:rsidRPr="00B86030">
          <w:rPr>
            <w:rStyle w:val="Hyperlink"/>
          </w:rPr>
          <w:t>https://superiorcourt.maricopa.gov/media/3bpnamwh/crpcr12fz.pdf</w:t>
        </w:r>
      </w:hyperlink>
      <w:r w:rsidR="003C4E32">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A6F"/>
    <w:multiLevelType w:val="hybridMultilevel"/>
    <w:tmpl w:val="A3E292E6"/>
    <w:lvl w:ilvl="0" w:tplc="4CFCE4A2">
      <w:start w:val="2"/>
      <w:numFmt w:val="bullet"/>
      <w:lvlText w:val=""/>
      <w:lvlJc w:val="left"/>
      <w:pPr>
        <w:ind w:left="720" w:hanging="360"/>
      </w:pPr>
      <w:rPr>
        <w:rFonts w:ascii="Wingdings" w:eastAsia="Aptos"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817"/>
    <w:multiLevelType w:val="hybridMultilevel"/>
    <w:tmpl w:val="60A02F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E777504"/>
    <w:multiLevelType w:val="hybridMultilevel"/>
    <w:tmpl w:val="B95EC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99661F"/>
    <w:multiLevelType w:val="hybridMultilevel"/>
    <w:tmpl w:val="76086B70"/>
    <w:lvl w:ilvl="0" w:tplc="AEBAC3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6C4A8F"/>
    <w:multiLevelType w:val="hybridMultilevel"/>
    <w:tmpl w:val="A0068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9E6052"/>
    <w:multiLevelType w:val="hybridMultilevel"/>
    <w:tmpl w:val="2FC279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621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0788505">
    <w:abstractNumId w:val="5"/>
  </w:num>
  <w:num w:numId="3" w16cid:durableId="1202860417">
    <w:abstractNumId w:val="2"/>
  </w:num>
  <w:num w:numId="4" w16cid:durableId="1568303793">
    <w:abstractNumId w:val="4"/>
  </w:num>
  <w:num w:numId="5" w16cid:durableId="141046842">
    <w:abstractNumId w:val="3"/>
  </w:num>
  <w:num w:numId="6" w16cid:durableId="1659843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85"/>
    <w:rsid w:val="000137D0"/>
    <w:rsid w:val="00024AFB"/>
    <w:rsid w:val="00025490"/>
    <w:rsid w:val="00025B82"/>
    <w:rsid w:val="00026294"/>
    <w:rsid w:val="00030BEB"/>
    <w:rsid w:val="00034750"/>
    <w:rsid w:val="000368A5"/>
    <w:rsid w:val="00042355"/>
    <w:rsid w:val="000462D0"/>
    <w:rsid w:val="00056727"/>
    <w:rsid w:val="00066135"/>
    <w:rsid w:val="00076116"/>
    <w:rsid w:val="00087871"/>
    <w:rsid w:val="00093D23"/>
    <w:rsid w:val="00094B35"/>
    <w:rsid w:val="000A1720"/>
    <w:rsid w:val="000A67D9"/>
    <w:rsid w:val="000A77C2"/>
    <w:rsid w:val="000A7821"/>
    <w:rsid w:val="000C799F"/>
    <w:rsid w:val="000D6FB3"/>
    <w:rsid w:val="000E0BBE"/>
    <w:rsid w:val="000E2FA1"/>
    <w:rsid w:val="000E7D38"/>
    <w:rsid w:val="000F76CC"/>
    <w:rsid w:val="001171AC"/>
    <w:rsid w:val="00127322"/>
    <w:rsid w:val="00140314"/>
    <w:rsid w:val="00141B90"/>
    <w:rsid w:val="00150779"/>
    <w:rsid w:val="001650C2"/>
    <w:rsid w:val="0017210F"/>
    <w:rsid w:val="001900C2"/>
    <w:rsid w:val="00195429"/>
    <w:rsid w:val="001A3CB8"/>
    <w:rsid w:val="001B43EF"/>
    <w:rsid w:val="001D1D1E"/>
    <w:rsid w:val="001D6BDA"/>
    <w:rsid w:val="001E7EA3"/>
    <w:rsid w:val="001F71A8"/>
    <w:rsid w:val="00206749"/>
    <w:rsid w:val="00224036"/>
    <w:rsid w:val="00266944"/>
    <w:rsid w:val="002749B3"/>
    <w:rsid w:val="00287518"/>
    <w:rsid w:val="00293678"/>
    <w:rsid w:val="00293989"/>
    <w:rsid w:val="00296F6B"/>
    <w:rsid w:val="002A5D15"/>
    <w:rsid w:val="002B1A8E"/>
    <w:rsid w:val="002C073F"/>
    <w:rsid w:val="002C7548"/>
    <w:rsid w:val="002E71A1"/>
    <w:rsid w:val="002E7DBA"/>
    <w:rsid w:val="00303C44"/>
    <w:rsid w:val="00320FA4"/>
    <w:rsid w:val="00322DFB"/>
    <w:rsid w:val="00324B16"/>
    <w:rsid w:val="00331E40"/>
    <w:rsid w:val="003327B4"/>
    <w:rsid w:val="00334446"/>
    <w:rsid w:val="00334A1E"/>
    <w:rsid w:val="00343942"/>
    <w:rsid w:val="00345E65"/>
    <w:rsid w:val="0035322C"/>
    <w:rsid w:val="00356A79"/>
    <w:rsid w:val="003615A3"/>
    <w:rsid w:val="00371E2B"/>
    <w:rsid w:val="00374533"/>
    <w:rsid w:val="00380CC8"/>
    <w:rsid w:val="00393817"/>
    <w:rsid w:val="003B542D"/>
    <w:rsid w:val="003C1934"/>
    <w:rsid w:val="003C4E32"/>
    <w:rsid w:val="003D7321"/>
    <w:rsid w:val="003E094F"/>
    <w:rsid w:val="003E3A79"/>
    <w:rsid w:val="00402419"/>
    <w:rsid w:val="00404754"/>
    <w:rsid w:val="00421DAA"/>
    <w:rsid w:val="0042413B"/>
    <w:rsid w:val="00426641"/>
    <w:rsid w:val="0043221C"/>
    <w:rsid w:val="00447D2C"/>
    <w:rsid w:val="00455F61"/>
    <w:rsid w:val="0046693F"/>
    <w:rsid w:val="00480DED"/>
    <w:rsid w:val="004972D1"/>
    <w:rsid w:val="00497B0C"/>
    <w:rsid w:val="004A2D37"/>
    <w:rsid w:val="004A6ACC"/>
    <w:rsid w:val="004B5E7D"/>
    <w:rsid w:val="004D3FA6"/>
    <w:rsid w:val="004D4500"/>
    <w:rsid w:val="004F147A"/>
    <w:rsid w:val="004F29FB"/>
    <w:rsid w:val="004F5ED0"/>
    <w:rsid w:val="004F7381"/>
    <w:rsid w:val="0051087D"/>
    <w:rsid w:val="00514858"/>
    <w:rsid w:val="00562905"/>
    <w:rsid w:val="00565694"/>
    <w:rsid w:val="0056766C"/>
    <w:rsid w:val="00586DA8"/>
    <w:rsid w:val="0058759C"/>
    <w:rsid w:val="005B6490"/>
    <w:rsid w:val="005C22AF"/>
    <w:rsid w:val="005E1A00"/>
    <w:rsid w:val="005E7D60"/>
    <w:rsid w:val="005F52B3"/>
    <w:rsid w:val="0060628A"/>
    <w:rsid w:val="006067E5"/>
    <w:rsid w:val="00612A52"/>
    <w:rsid w:val="00622CEE"/>
    <w:rsid w:val="0062480B"/>
    <w:rsid w:val="006323B8"/>
    <w:rsid w:val="00641F84"/>
    <w:rsid w:val="00660AFB"/>
    <w:rsid w:val="00665453"/>
    <w:rsid w:val="006725BA"/>
    <w:rsid w:val="006731D5"/>
    <w:rsid w:val="00677907"/>
    <w:rsid w:val="00684272"/>
    <w:rsid w:val="0069104D"/>
    <w:rsid w:val="006933E8"/>
    <w:rsid w:val="006955F9"/>
    <w:rsid w:val="006C05D5"/>
    <w:rsid w:val="006F7A5C"/>
    <w:rsid w:val="0070186D"/>
    <w:rsid w:val="0070386A"/>
    <w:rsid w:val="00715AA1"/>
    <w:rsid w:val="00721295"/>
    <w:rsid w:val="00731FBB"/>
    <w:rsid w:val="007457EC"/>
    <w:rsid w:val="007520D0"/>
    <w:rsid w:val="00762C44"/>
    <w:rsid w:val="00782F52"/>
    <w:rsid w:val="007A7768"/>
    <w:rsid w:val="007C09A3"/>
    <w:rsid w:val="007C3089"/>
    <w:rsid w:val="007D0216"/>
    <w:rsid w:val="007D4468"/>
    <w:rsid w:val="007E032E"/>
    <w:rsid w:val="007E1802"/>
    <w:rsid w:val="007E3BE7"/>
    <w:rsid w:val="007F3A8D"/>
    <w:rsid w:val="0080124C"/>
    <w:rsid w:val="008139D8"/>
    <w:rsid w:val="0082151E"/>
    <w:rsid w:val="00823586"/>
    <w:rsid w:val="00830B53"/>
    <w:rsid w:val="00835455"/>
    <w:rsid w:val="008426AA"/>
    <w:rsid w:val="008543A8"/>
    <w:rsid w:val="008549C4"/>
    <w:rsid w:val="0085528E"/>
    <w:rsid w:val="008569BD"/>
    <w:rsid w:val="00857035"/>
    <w:rsid w:val="00857578"/>
    <w:rsid w:val="00860460"/>
    <w:rsid w:val="008679B3"/>
    <w:rsid w:val="0087572B"/>
    <w:rsid w:val="00880BF0"/>
    <w:rsid w:val="008825D2"/>
    <w:rsid w:val="00882D52"/>
    <w:rsid w:val="00885044"/>
    <w:rsid w:val="00885579"/>
    <w:rsid w:val="008A5B1E"/>
    <w:rsid w:val="008B1686"/>
    <w:rsid w:val="008C0B7B"/>
    <w:rsid w:val="008C2384"/>
    <w:rsid w:val="008E393C"/>
    <w:rsid w:val="008E4C50"/>
    <w:rsid w:val="008E7D4B"/>
    <w:rsid w:val="008F3865"/>
    <w:rsid w:val="009040E5"/>
    <w:rsid w:val="009155C3"/>
    <w:rsid w:val="009311E0"/>
    <w:rsid w:val="00935B94"/>
    <w:rsid w:val="00940090"/>
    <w:rsid w:val="009537CB"/>
    <w:rsid w:val="009563CD"/>
    <w:rsid w:val="00962E0A"/>
    <w:rsid w:val="0097591E"/>
    <w:rsid w:val="0099413A"/>
    <w:rsid w:val="009A3097"/>
    <w:rsid w:val="009B4138"/>
    <w:rsid w:val="009C56C8"/>
    <w:rsid w:val="009E257C"/>
    <w:rsid w:val="009E5E19"/>
    <w:rsid w:val="00A02BF2"/>
    <w:rsid w:val="00A07CD5"/>
    <w:rsid w:val="00A21FAF"/>
    <w:rsid w:val="00A367E3"/>
    <w:rsid w:val="00A8503A"/>
    <w:rsid w:val="00A85DE1"/>
    <w:rsid w:val="00AA35D2"/>
    <w:rsid w:val="00AA6769"/>
    <w:rsid w:val="00AB56FF"/>
    <w:rsid w:val="00AD28D5"/>
    <w:rsid w:val="00AE0899"/>
    <w:rsid w:val="00AE1C34"/>
    <w:rsid w:val="00AE3CB5"/>
    <w:rsid w:val="00B01C4B"/>
    <w:rsid w:val="00B03F59"/>
    <w:rsid w:val="00B04F30"/>
    <w:rsid w:val="00B07E56"/>
    <w:rsid w:val="00B32067"/>
    <w:rsid w:val="00B36375"/>
    <w:rsid w:val="00B36938"/>
    <w:rsid w:val="00B45C22"/>
    <w:rsid w:val="00B465A1"/>
    <w:rsid w:val="00B52D9D"/>
    <w:rsid w:val="00B55A2C"/>
    <w:rsid w:val="00B56EA6"/>
    <w:rsid w:val="00B67DCC"/>
    <w:rsid w:val="00B86030"/>
    <w:rsid w:val="00B9148F"/>
    <w:rsid w:val="00B923EA"/>
    <w:rsid w:val="00BB10CA"/>
    <w:rsid w:val="00BC4232"/>
    <w:rsid w:val="00BD541A"/>
    <w:rsid w:val="00BE05E0"/>
    <w:rsid w:val="00BE22D4"/>
    <w:rsid w:val="00BF2B37"/>
    <w:rsid w:val="00BF3176"/>
    <w:rsid w:val="00BF606F"/>
    <w:rsid w:val="00C0429F"/>
    <w:rsid w:val="00C06477"/>
    <w:rsid w:val="00C070CB"/>
    <w:rsid w:val="00C14226"/>
    <w:rsid w:val="00C15128"/>
    <w:rsid w:val="00C17ACD"/>
    <w:rsid w:val="00C21698"/>
    <w:rsid w:val="00C24912"/>
    <w:rsid w:val="00C27B49"/>
    <w:rsid w:val="00C3208C"/>
    <w:rsid w:val="00C46BFB"/>
    <w:rsid w:val="00C616EA"/>
    <w:rsid w:val="00C65FFD"/>
    <w:rsid w:val="00C6797E"/>
    <w:rsid w:val="00C81633"/>
    <w:rsid w:val="00C851CA"/>
    <w:rsid w:val="00C95E74"/>
    <w:rsid w:val="00CA001B"/>
    <w:rsid w:val="00CA16F0"/>
    <w:rsid w:val="00CA27E0"/>
    <w:rsid w:val="00CA2E8E"/>
    <w:rsid w:val="00CA731A"/>
    <w:rsid w:val="00D13ED7"/>
    <w:rsid w:val="00D15D75"/>
    <w:rsid w:val="00D353E2"/>
    <w:rsid w:val="00D52A88"/>
    <w:rsid w:val="00D54F3D"/>
    <w:rsid w:val="00D568F5"/>
    <w:rsid w:val="00D571C6"/>
    <w:rsid w:val="00D63E00"/>
    <w:rsid w:val="00D66850"/>
    <w:rsid w:val="00D840D9"/>
    <w:rsid w:val="00D973F4"/>
    <w:rsid w:val="00DB0669"/>
    <w:rsid w:val="00DB6885"/>
    <w:rsid w:val="00DC1EB6"/>
    <w:rsid w:val="00DC7650"/>
    <w:rsid w:val="00E0186A"/>
    <w:rsid w:val="00E219A1"/>
    <w:rsid w:val="00E647C7"/>
    <w:rsid w:val="00E65CDC"/>
    <w:rsid w:val="00E72C79"/>
    <w:rsid w:val="00E75B54"/>
    <w:rsid w:val="00E75F8E"/>
    <w:rsid w:val="00E76FEC"/>
    <w:rsid w:val="00EA2384"/>
    <w:rsid w:val="00EA57B6"/>
    <w:rsid w:val="00EC5EE0"/>
    <w:rsid w:val="00EE12C2"/>
    <w:rsid w:val="00EF07FB"/>
    <w:rsid w:val="00EF5241"/>
    <w:rsid w:val="00F41B73"/>
    <w:rsid w:val="00F50BB1"/>
    <w:rsid w:val="00F50DDA"/>
    <w:rsid w:val="00F50E3F"/>
    <w:rsid w:val="00F5288B"/>
    <w:rsid w:val="00F53039"/>
    <w:rsid w:val="00F57358"/>
    <w:rsid w:val="00F751DD"/>
    <w:rsid w:val="00F76470"/>
    <w:rsid w:val="00F806FE"/>
    <w:rsid w:val="00F85AFA"/>
    <w:rsid w:val="00FA6F90"/>
    <w:rsid w:val="00FB3844"/>
    <w:rsid w:val="00FB531A"/>
    <w:rsid w:val="00FD4E6C"/>
    <w:rsid w:val="00FE107F"/>
    <w:rsid w:val="00FE6961"/>
    <w:rsid w:val="00FF4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A6384"/>
  <w15:chartTrackingRefBased/>
  <w15:docId w15:val="{2C6A6B1A-00F6-4CD0-ABAC-DBF91221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944"/>
  </w:style>
  <w:style w:type="paragraph" w:styleId="Heading1">
    <w:name w:val="heading 1"/>
    <w:basedOn w:val="Normal"/>
    <w:next w:val="Normal"/>
    <w:link w:val="Heading1Char"/>
    <w:uiPriority w:val="9"/>
    <w:qFormat/>
    <w:rsid w:val="00DB68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8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885"/>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DB68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8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8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8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8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8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8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8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8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8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8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885"/>
    <w:rPr>
      <w:rFonts w:eastAsiaTheme="majorEastAsia" w:cstheme="majorBidi"/>
      <w:color w:val="272727" w:themeColor="text1" w:themeTint="D8"/>
    </w:rPr>
  </w:style>
  <w:style w:type="paragraph" w:styleId="Title">
    <w:name w:val="Title"/>
    <w:basedOn w:val="Normal"/>
    <w:next w:val="Normal"/>
    <w:link w:val="TitleChar"/>
    <w:uiPriority w:val="10"/>
    <w:qFormat/>
    <w:rsid w:val="00DB6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885"/>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DB6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885"/>
    <w:pPr>
      <w:spacing w:before="160"/>
      <w:jc w:val="center"/>
    </w:pPr>
    <w:rPr>
      <w:i/>
      <w:iCs/>
      <w:color w:val="404040" w:themeColor="text1" w:themeTint="BF"/>
    </w:rPr>
  </w:style>
  <w:style w:type="character" w:customStyle="1" w:styleId="QuoteChar">
    <w:name w:val="Quote Char"/>
    <w:basedOn w:val="DefaultParagraphFont"/>
    <w:link w:val="Quote"/>
    <w:uiPriority w:val="29"/>
    <w:rsid w:val="00DB6885"/>
    <w:rPr>
      <w:i/>
      <w:iCs/>
      <w:color w:val="404040" w:themeColor="text1" w:themeTint="BF"/>
    </w:rPr>
  </w:style>
  <w:style w:type="paragraph" w:styleId="ListParagraph">
    <w:name w:val="List Paragraph"/>
    <w:basedOn w:val="Normal"/>
    <w:uiPriority w:val="34"/>
    <w:qFormat/>
    <w:rsid w:val="00DB6885"/>
    <w:pPr>
      <w:ind w:left="720"/>
      <w:contextualSpacing/>
    </w:pPr>
  </w:style>
  <w:style w:type="character" w:styleId="IntenseEmphasis">
    <w:name w:val="Intense Emphasis"/>
    <w:basedOn w:val="DefaultParagraphFont"/>
    <w:uiPriority w:val="21"/>
    <w:qFormat/>
    <w:rsid w:val="00DB6885"/>
    <w:rPr>
      <w:i/>
      <w:iCs/>
      <w:color w:val="0F4761" w:themeColor="accent1" w:themeShade="BF"/>
    </w:rPr>
  </w:style>
  <w:style w:type="paragraph" w:styleId="IntenseQuote">
    <w:name w:val="Intense Quote"/>
    <w:basedOn w:val="Normal"/>
    <w:next w:val="Normal"/>
    <w:link w:val="IntenseQuoteChar"/>
    <w:uiPriority w:val="30"/>
    <w:qFormat/>
    <w:rsid w:val="00DB68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885"/>
    <w:rPr>
      <w:i/>
      <w:iCs/>
      <w:color w:val="0F4761" w:themeColor="accent1" w:themeShade="BF"/>
    </w:rPr>
  </w:style>
  <w:style w:type="character" w:styleId="IntenseReference">
    <w:name w:val="Intense Reference"/>
    <w:basedOn w:val="DefaultParagraphFont"/>
    <w:uiPriority w:val="32"/>
    <w:qFormat/>
    <w:rsid w:val="00DB6885"/>
    <w:rPr>
      <w:b/>
      <w:bCs/>
      <w:smallCaps/>
      <w:color w:val="0F4761" w:themeColor="accent1" w:themeShade="BF"/>
      <w:spacing w:val="5"/>
    </w:rPr>
  </w:style>
  <w:style w:type="character" w:styleId="Hyperlink">
    <w:name w:val="Hyperlink"/>
    <w:basedOn w:val="DefaultParagraphFont"/>
    <w:uiPriority w:val="99"/>
    <w:unhideWhenUsed/>
    <w:rsid w:val="00DB6885"/>
    <w:rPr>
      <w:color w:val="467886" w:themeColor="hyperlink"/>
      <w:u w:val="single"/>
    </w:rPr>
  </w:style>
  <w:style w:type="paragraph" w:styleId="FootnoteText">
    <w:name w:val="footnote text"/>
    <w:basedOn w:val="Normal"/>
    <w:link w:val="FootnoteTextChar"/>
    <w:uiPriority w:val="99"/>
    <w:semiHidden/>
    <w:unhideWhenUsed/>
    <w:rsid w:val="00B01C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1C4B"/>
    <w:rPr>
      <w:sz w:val="20"/>
      <w:szCs w:val="20"/>
    </w:rPr>
  </w:style>
  <w:style w:type="character" w:styleId="FootnoteReference">
    <w:name w:val="footnote reference"/>
    <w:basedOn w:val="DefaultParagraphFont"/>
    <w:uiPriority w:val="99"/>
    <w:semiHidden/>
    <w:unhideWhenUsed/>
    <w:rsid w:val="00B01C4B"/>
    <w:rPr>
      <w:vertAlign w:val="superscript"/>
    </w:rPr>
  </w:style>
  <w:style w:type="character" w:styleId="UnresolvedMention">
    <w:name w:val="Unresolved Mention"/>
    <w:basedOn w:val="DefaultParagraphFont"/>
    <w:uiPriority w:val="99"/>
    <w:semiHidden/>
    <w:unhideWhenUsed/>
    <w:rsid w:val="00266944"/>
    <w:rPr>
      <w:color w:val="605E5C"/>
      <w:shd w:val="clear" w:color="auto" w:fill="E1DFDD"/>
    </w:rPr>
  </w:style>
  <w:style w:type="character" w:styleId="FollowedHyperlink">
    <w:name w:val="FollowedHyperlink"/>
    <w:basedOn w:val="DefaultParagraphFont"/>
    <w:uiPriority w:val="99"/>
    <w:semiHidden/>
    <w:unhideWhenUsed/>
    <w:rsid w:val="00E76FEC"/>
    <w:rPr>
      <w:color w:val="96607D" w:themeColor="followedHyperlink"/>
      <w:u w:val="single"/>
    </w:rPr>
  </w:style>
  <w:style w:type="paragraph" w:styleId="Revision">
    <w:name w:val="Revision"/>
    <w:hidden/>
    <w:uiPriority w:val="99"/>
    <w:semiHidden/>
    <w:rsid w:val="008B1686"/>
    <w:pPr>
      <w:spacing w:after="0" w:line="240" w:lineRule="auto"/>
    </w:pPr>
  </w:style>
  <w:style w:type="character" w:styleId="CommentReference">
    <w:name w:val="annotation reference"/>
    <w:basedOn w:val="DefaultParagraphFont"/>
    <w:uiPriority w:val="99"/>
    <w:semiHidden/>
    <w:unhideWhenUsed/>
    <w:rsid w:val="00EA2384"/>
    <w:rPr>
      <w:sz w:val="16"/>
      <w:szCs w:val="16"/>
    </w:rPr>
  </w:style>
  <w:style w:type="paragraph" w:styleId="CommentText">
    <w:name w:val="annotation text"/>
    <w:basedOn w:val="Normal"/>
    <w:link w:val="CommentTextChar"/>
    <w:uiPriority w:val="99"/>
    <w:unhideWhenUsed/>
    <w:rsid w:val="00EA2384"/>
    <w:pPr>
      <w:spacing w:line="240" w:lineRule="auto"/>
    </w:pPr>
    <w:rPr>
      <w:sz w:val="20"/>
      <w:szCs w:val="20"/>
    </w:rPr>
  </w:style>
  <w:style w:type="character" w:customStyle="1" w:styleId="CommentTextChar">
    <w:name w:val="Comment Text Char"/>
    <w:basedOn w:val="DefaultParagraphFont"/>
    <w:link w:val="CommentText"/>
    <w:uiPriority w:val="99"/>
    <w:rsid w:val="00EA2384"/>
    <w:rPr>
      <w:sz w:val="20"/>
      <w:szCs w:val="20"/>
    </w:rPr>
  </w:style>
  <w:style w:type="paragraph" w:styleId="CommentSubject">
    <w:name w:val="annotation subject"/>
    <w:basedOn w:val="CommentText"/>
    <w:next w:val="CommentText"/>
    <w:link w:val="CommentSubjectChar"/>
    <w:uiPriority w:val="99"/>
    <w:semiHidden/>
    <w:unhideWhenUsed/>
    <w:rsid w:val="00EA2384"/>
    <w:rPr>
      <w:b/>
      <w:bCs/>
    </w:rPr>
  </w:style>
  <w:style w:type="character" w:customStyle="1" w:styleId="CommentSubjectChar">
    <w:name w:val="Comment Subject Char"/>
    <w:basedOn w:val="CommentTextChar"/>
    <w:link w:val="CommentSubject"/>
    <w:uiPriority w:val="99"/>
    <w:semiHidden/>
    <w:rsid w:val="00EA2384"/>
    <w:rPr>
      <w:b/>
      <w:bCs/>
      <w:sz w:val="20"/>
      <w:szCs w:val="20"/>
    </w:rPr>
  </w:style>
  <w:style w:type="paragraph" w:styleId="Header">
    <w:name w:val="header"/>
    <w:basedOn w:val="Normal"/>
    <w:link w:val="HeaderChar"/>
    <w:uiPriority w:val="99"/>
    <w:unhideWhenUsed/>
    <w:rsid w:val="00343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942"/>
  </w:style>
  <w:style w:type="paragraph" w:styleId="Footer">
    <w:name w:val="footer"/>
    <w:basedOn w:val="Normal"/>
    <w:link w:val="FooterChar"/>
    <w:uiPriority w:val="99"/>
    <w:unhideWhenUsed/>
    <w:rsid w:val="00343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periorcourt.maricopa.gov/media/3bpnamwh/crpcr12fz.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uperiorcourt.maricopa.gov/media/3bpnamwh/crpcr12fz.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en@mscclaw.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eth@apfellawgroup.com" TargetMode="External"/><Relationship Id="rId4" Type="http://schemas.openxmlformats.org/officeDocument/2006/relationships/styles" Target="styles.xml"/><Relationship Id="rId9" Type="http://schemas.openxmlformats.org/officeDocument/2006/relationships/hyperlink" Target="mailto:grace.guisewite@gmail.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uperiorcourt.maricopa.gov/media/3bpnamwh/crpcr12fz.pdf" TargetMode="External"/><Relationship Id="rId1" Type="http://schemas.openxmlformats.org/officeDocument/2006/relationships/hyperlink" Target="https://superiorcourt.maricopa.gov/media/3bpnamwh/crpcr12fz.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IMANAGE!2016072.2</documentid>
  <senderid>KSMITH</senderid>
  <senderemail>KAREN@MSCCLAW.COM</senderemail>
  <lastmodified>2026-04-21T17:17:00.0000000-07:00</lastmodified>
  <database>IMANAGE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7ECE4-5DBE-48E9-838F-8E1247427966}">
  <ds:schemaRefs>
    <ds:schemaRef ds:uri="http://www.imanage.com/work/xmlschema"/>
  </ds:schemaRefs>
</ds:datastoreItem>
</file>

<file path=customXml/itemProps2.xml><?xml version="1.0" encoding="utf-8"?>
<ds:datastoreItem xmlns:ds="http://schemas.openxmlformats.org/officeDocument/2006/customXml" ds:itemID="{FA7AE41F-B2A5-4B42-B945-A66159F27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2774</Words>
  <Characters>15816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Guevara (OLA)</dc:creator>
  <cp:keywords/>
  <dc:description/>
  <cp:lastModifiedBy>Grace Guisewite (OLA)</cp:lastModifiedBy>
  <cp:revision>3</cp:revision>
  <dcterms:created xsi:type="dcterms:W3CDTF">2026-04-23T16:30:00Z</dcterms:created>
  <dcterms:modified xsi:type="dcterms:W3CDTF">2026-04-23T17:09:00Z</dcterms:modified>
</cp:coreProperties>
</file>