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C6AA" w14:textId="3C89AB9E" w:rsidR="00102DA5" w:rsidRDefault="00102DA5" w:rsidP="005F223A">
      <w:r>
        <w:t xml:space="preserve">April </w:t>
      </w:r>
      <w:r w:rsidR="00AB07E6">
        <w:t>15</w:t>
      </w:r>
      <w:r>
        <w:t>, 2026</w:t>
      </w:r>
    </w:p>
    <w:p w14:paraId="6444EF16" w14:textId="77777777" w:rsidR="00234DDD" w:rsidRDefault="00234DDD" w:rsidP="005F223A"/>
    <w:p w14:paraId="474E3BB4" w14:textId="3D1FA7F5" w:rsidR="00234DDD" w:rsidRDefault="00234DDD" w:rsidP="005F223A">
      <w:r>
        <w:tab/>
      </w:r>
      <w:r>
        <w:tab/>
      </w:r>
      <w:r>
        <w:tab/>
      </w:r>
      <w:r>
        <w:tab/>
      </w:r>
      <w:r>
        <w:tab/>
      </w:r>
      <w:r>
        <w:tab/>
      </w:r>
      <w:r>
        <w:tab/>
      </w:r>
      <w:r>
        <w:tab/>
      </w:r>
      <w:r>
        <w:tab/>
        <w:t>Mark</w:t>
      </w:r>
      <w:r w:rsidR="00AC69E0">
        <w:t xml:space="preserve"> A.</w:t>
      </w:r>
      <w:r>
        <w:t xml:space="preserve"> Casey</w:t>
      </w:r>
    </w:p>
    <w:p w14:paraId="45111B64" w14:textId="4133D5E5" w:rsidR="00234DDD" w:rsidRDefault="00234DDD" w:rsidP="005F223A">
      <w:r>
        <w:tab/>
      </w:r>
      <w:r>
        <w:tab/>
      </w:r>
      <w:r>
        <w:tab/>
      </w:r>
      <w:r>
        <w:tab/>
      </w:r>
      <w:r>
        <w:tab/>
      </w:r>
      <w:r>
        <w:tab/>
      </w:r>
      <w:r>
        <w:tab/>
      </w:r>
      <w:r>
        <w:tab/>
      </w:r>
      <w:r>
        <w:tab/>
        <w:t>Journalist</w:t>
      </w:r>
    </w:p>
    <w:p w14:paraId="59D11FBF" w14:textId="58C6648F" w:rsidR="00234DDD" w:rsidRDefault="00234DDD" w:rsidP="005F223A">
      <w:r>
        <w:tab/>
      </w:r>
      <w:r>
        <w:tab/>
      </w:r>
      <w:r>
        <w:tab/>
      </w:r>
      <w:r>
        <w:tab/>
      </w:r>
      <w:r>
        <w:tab/>
      </w:r>
      <w:r>
        <w:tab/>
      </w:r>
      <w:r>
        <w:tab/>
      </w:r>
      <w:r>
        <w:tab/>
      </w:r>
      <w:r>
        <w:tab/>
        <w:t>3258 E. Vogel Ave.</w:t>
      </w:r>
    </w:p>
    <w:p w14:paraId="576AA767" w14:textId="5B367A82" w:rsidR="00234DDD" w:rsidRDefault="00234DDD" w:rsidP="005F223A">
      <w:r>
        <w:tab/>
      </w:r>
      <w:r>
        <w:tab/>
      </w:r>
      <w:r>
        <w:tab/>
      </w:r>
      <w:r>
        <w:tab/>
      </w:r>
      <w:r>
        <w:tab/>
      </w:r>
      <w:r>
        <w:tab/>
      </w:r>
      <w:r>
        <w:tab/>
      </w:r>
      <w:r>
        <w:tab/>
      </w:r>
      <w:r>
        <w:tab/>
        <w:t>Phoenix, AZ  85028</w:t>
      </w:r>
    </w:p>
    <w:p w14:paraId="02B9F4B2" w14:textId="77777777" w:rsidR="00102DA5" w:rsidRDefault="00102DA5" w:rsidP="005F223A"/>
    <w:p w14:paraId="434F5563" w14:textId="4B3A1917" w:rsidR="00FB2403" w:rsidRPr="00FB2403" w:rsidRDefault="00FB2403" w:rsidP="00FB2403">
      <w:r w:rsidRPr="00FB2403">
        <w:t>Hon. John R. Lopez, IV</w:t>
      </w:r>
    </w:p>
    <w:p w14:paraId="558B9BE4" w14:textId="0EE1592E" w:rsidR="00FB2403" w:rsidRDefault="00FB2403" w:rsidP="00FB2403">
      <w:r w:rsidRPr="00FB2403">
        <w:t>Vice Chief Justice, Arizona Supreme Cour</w:t>
      </w:r>
      <w:r>
        <w:t>t</w:t>
      </w:r>
    </w:p>
    <w:p w14:paraId="2E08F0A3" w14:textId="77777777" w:rsidR="00FB2403" w:rsidRPr="00FB2403" w:rsidRDefault="00FB2403" w:rsidP="00FB2403">
      <w:pPr>
        <w:rPr>
          <w:sz w:val="11"/>
          <w:szCs w:val="11"/>
        </w:rPr>
      </w:pPr>
    </w:p>
    <w:p w14:paraId="53869C9C" w14:textId="63E7906F" w:rsidR="00FB2403" w:rsidRPr="00FB2403" w:rsidRDefault="00FB2403" w:rsidP="00FB2403">
      <w:r w:rsidRPr="00FB2403">
        <w:t>Hon. Kathryn H. King</w:t>
      </w:r>
    </w:p>
    <w:p w14:paraId="6E32EE13" w14:textId="77777777" w:rsidR="00FB2403" w:rsidRPr="00FB2403" w:rsidRDefault="00FB2403" w:rsidP="00FB2403">
      <w:r w:rsidRPr="00FB2403">
        <w:t>Justice, Arizona Supreme Court</w:t>
      </w:r>
    </w:p>
    <w:p w14:paraId="25F70F3F" w14:textId="32E45433" w:rsidR="00FB2403" w:rsidRPr="00FB2403" w:rsidRDefault="00FB2403" w:rsidP="005F223A">
      <w:pPr>
        <w:rPr>
          <w:sz w:val="10"/>
          <w:szCs w:val="10"/>
        </w:rPr>
      </w:pPr>
    </w:p>
    <w:p w14:paraId="215853FE" w14:textId="77777777" w:rsidR="00FB2403" w:rsidRDefault="00FB2403" w:rsidP="00FB2403">
      <w:r w:rsidRPr="00FB2403">
        <w:t>Task Force on Rules of the Supreme Court of Arizona</w:t>
      </w:r>
    </w:p>
    <w:p w14:paraId="1CF3228A" w14:textId="77777777" w:rsidR="00FB2403" w:rsidRDefault="00FB2403" w:rsidP="00FB2403">
      <w:r w:rsidRPr="00FB2403">
        <w:t xml:space="preserve">1501 W. Washington </w:t>
      </w:r>
    </w:p>
    <w:p w14:paraId="6DDB15F8" w14:textId="02FC1D0D" w:rsidR="00FB2403" w:rsidRPr="00FB2403" w:rsidRDefault="00FB2403" w:rsidP="00FB2403">
      <w:r w:rsidRPr="00FB2403">
        <w:t>Phoenix, AZ 85007</w:t>
      </w:r>
    </w:p>
    <w:p w14:paraId="249DEE9F" w14:textId="77777777" w:rsidR="00234DDD" w:rsidRDefault="00234DDD" w:rsidP="005F223A"/>
    <w:p w14:paraId="18DDF516" w14:textId="6D7C719D" w:rsidR="00873E87" w:rsidRDefault="00FB2403" w:rsidP="005F223A">
      <w:r>
        <w:t>Justice</w:t>
      </w:r>
      <w:r w:rsidR="001C5318">
        <w:t xml:space="preserve"> Lopez</w:t>
      </w:r>
      <w:r>
        <w:t>, Justice King</w:t>
      </w:r>
      <w:r w:rsidR="008013FF">
        <w:t>,</w:t>
      </w:r>
      <w:r>
        <w:t xml:space="preserve"> and </w:t>
      </w:r>
      <w:r w:rsidR="00FA3792">
        <w:t>Members of the Task Force</w:t>
      </w:r>
      <w:r>
        <w:t>:</w:t>
      </w:r>
    </w:p>
    <w:p w14:paraId="7D93BF42" w14:textId="77777777" w:rsidR="00FA3792" w:rsidRPr="00FB2403" w:rsidRDefault="00FA3792" w:rsidP="000E64B1">
      <w:pPr>
        <w:spacing w:line="276" w:lineRule="auto"/>
        <w:rPr>
          <w:sz w:val="13"/>
          <w:szCs w:val="13"/>
        </w:rPr>
      </w:pPr>
    </w:p>
    <w:p w14:paraId="78E1AA01" w14:textId="22F03A19" w:rsidR="00FB2403" w:rsidRDefault="00FA3792" w:rsidP="000E64B1">
      <w:pPr>
        <w:spacing w:line="276" w:lineRule="auto"/>
        <w:jc w:val="both"/>
      </w:pPr>
      <w:r>
        <w:t>My name is Mark Casey</w:t>
      </w:r>
      <w:r w:rsidR="00102DA5">
        <w:t>.</w:t>
      </w:r>
      <w:r w:rsidR="00FB2403">
        <w:t xml:space="preserve">  I served as both Vice President of News and Station Manager at 12 News/KPNX (1999-2016) in Phoenix and News Director at ABC15 in Phoenix (2018-2021).  I share my background only to contextualize my upcoming remarks regarding proposed changes to Rule 122 governing cameras in the courtroom in Arizona.</w:t>
      </w:r>
    </w:p>
    <w:p w14:paraId="38752015" w14:textId="77777777" w:rsidR="00FB2403" w:rsidRPr="00FB2403" w:rsidRDefault="00FB2403" w:rsidP="000E64B1">
      <w:pPr>
        <w:spacing w:line="276" w:lineRule="auto"/>
        <w:jc w:val="both"/>
        <w:rPr>
          <w:sz w:val="13"/>
          <w:szCs w:val="13"/>
        </w:rPr>
      </w:pPr>
    </w:p>
    <w:p w14:paraId="0D01B456" w14:textId="32E34DCE" w:rsidR="008013FF" w:rsidRDefault="00FA3792" w:rsidP="000E64B1">
      <w:pPr>
        <w:spacing w:line="276" w:lineRule="auto"/>
        <w:jc w:val="both"/>
      </w:pPr>
      <w:r>
        <w:t>I’ve been a working journalist since 1974</w:t>
      </w:r>
      <w:r w:rsidR="0018246E">
        <w:t>,</w:t>
      </w:r>
      <w:r>
        <w:t xml:space="preserve"> and</w:t>
      </w:r>
      <w:r w:rsidR="00BB008F">
        <w:t xml:space="preserve"> since 1980,</w:t>
      </w:r>
      <w:r>
        <w:t xml:space="preserve"> a participant in</w:t>
      </w:r>
      <w:r w:rsidR="00062471">
        <w:t xml:space="preserve"> creating cameras in courtroom policies and practices </w:t>
      </w:r>
      <w:r w:rsidR="00BB008F">
        <w:t>around the USA</w:t>
      </w:r>
      <w:r>
        <w:t xml:space="preserve">. </w:t>
      </w:r>
      <w:r w:rsidR="008013FF">
        <w:t>As an editor in Arizona, I’ve acted as Coordinator for Cameras in the Courtroom</w:t>
      </w:r>
      <w:r w:rsidR="00E07F77">
        <w:t>,</w:t>
      </w:r>
      <w:r w:rsidR="008013FF">
        <w:t xml:space="preserve"> working with court administration and journalists to cover proceedings under Rule 122. </w:t>
      </w:r>
      <w:r>
        <w:t xml:space="preserve">In </w:t>
      </w:r>
      <w:r w:rsidR="008013FF">
        <w:t>2012</w:t>
      </w:r>
      <w:r>
        <w:t xml:space="preserve">, I </w:t>
      </w:r>
      <w:r w:rsidR="00BB008F">
        <w:t xml:space="preserve">advised members of the </w:t>
      </w:r>
      <w:r w:rsidR="00BB008F" w:rsidRPr="00BB008F">
        <w:t xml:space="preserve">Committee On The Impact </w:t>
      </w:r>
      <w:r w:rsidR="00BB008F">
        <w:t>o</w:t>
      </w:r>
      <w:r w:rsidR="00BB008F" w:rsidRPr="00BB008F">
        <w:t xml:space="preserve">f Wireless, Mobile Technologies </w:t>
      </w:r>
      <w:r w:rsidR="00BB008F">
        <w:t>a</w:t>
      </w:r>
      <w:r w:rsidR="00BB008F" w:rsidRPr="00BB008F">
        <w:t>nd</w:t>
      </w:r>
      <w:r w:rsidR="00BB008F">
        <w:t xml:space="preserve"> </w:t>
      </w:r>
      <w:r w:rsidR="00BB008F" w:rsidRPr="00BB008F">
        <w:t>Social Media On Court Proceedings</w:t>
      </w:r>
      <w:r w:rsidR="008013FF">
        <w:t xml:space="preserve">. In 2014, </w:t>
      </w:r>
      <w:r w:rsidR="000E64B1">
        <w:t xml:space="preserve">I </w:t>
      </w:r>
      <w:r w:rsidR="00062471">
        <w:t>was part of a panel and presentation entitled “The Unblinking Eye – Cameras in the Courtroom on High Profile Cases” delivered at the Arizona State Bar Convention</w:t>
      </w:r>
      <w:r w:rsidR="008013FF">
        <w:t>.</w:t>
      </w:r>
    </w:p>
    <w:p w14:paraId="3F82F4A9" w14:textId="77777777" w:rsidR="008013FF" w:rsidRPr="008013FF" w:rsidRDefault="008013FF" w:rsidP="000E64B1">
      <w:pPr>
        <w:spacing w:line="276" w:lineRule="auto"/>
        <w:jc w:val="both"/>
        <w:rPr>
          <w:sz w:val="13"/>
          <w:szCs w:val="13"/>
        </w:rPr>
      </w:pPr>
    </w:p>
    <w:p w14:paraId="4E419593" w14:textId="79D0DEBB" w:rsidR="000E64B1" w:rsidRPr="008013FF" w:rsidRDefault="008013FF" w:rsidP="008013FF">
      <w:pPr>
        <w:spacing w:line="276" w:lineRule="auto"/>
        <w:jc w:val="center"/>
      </w:pPr>
      <w:r>
        <w:t>***</w:t>
      </w:r>
    </w:p>
    <w:p w14:paraId="7203B526" w14:textId="5B1BEBDF" w:rsidR="00102DA5" w:rsidRPr="00102DA5" w:rsidRDefault="008013FF" w:rsidP="007315A4">
      <w:pPr>
        <w:spacing w:line="276" w:lineRule="auto"/>
        <w:jc w:val="both"/>
        <w:rPr>
          <w:b/>
          <w:bCs/>
        </w:rPr>
      </w:pPr>
      <w:r>
        <w:rPr>
          <w:b/>
          <w:bCs/>
        </w:rPr>
        <w:t>Throughout this time</w:t>
      </w:r>
      <w:r w:rsidR="000E64B1" w:rsidRPr="00102DA5">
        <w:rPr>
          <w:b/>
          <w:bCs/>
        </w:rPr>
        <w:t xml:space="preserve">, largely due to the collaborative approach taken by Arizona </w:t>
      </w:r>
      <w:r w:rsidR="00062471">
        <w:rPr>
          <w:b/>
          <w:bCs/>
        </w:rPr>
        <w:t>journalists</w:t>
      </w:r>
      <w:r w:rsidR="000E64B1" w:rsidRPr="00102DA5">
        <w:rPr>
          <w:b/>
          <w:bCs/>
        </w:rPr>
        <w:t xml:space="preserve"> and Arizona </w:t>
      </w:r>
      <w:r w:rsidR="00742638">
        <w:rPr>
          <w:b/>
          <w:bCs/>
        </w:rPr>
        <w:t>c</w:t>
      </w:r>
      <w:r w:rsidR="000E64B1" w:rsidRPr="00102DA5">
        <w:rPr>
          <w:b/>
          <w:bCs/>
        </w:rPr>
        <w:t xml:space="preserve">ourts, cameras </w:t>
      </w:r>
      <w:r w:rsidR="002C36E4">
        <w:rPr>
          <w:b/>
          <w:bCs/>
        </w:rPr>
        <w:t xml:space="preserve">have been used </w:t>
      </w:r>
      <w:r w:rsidR="000E64B1" w:rsidRPr="00102DA5">
        <w:rPr>
          <w:b/>
          <w:bCs/>
        </w:rPr>
        <w:t xml:space="preserve">in courtrooms under Rule 122 without major disruptive incidents. </w:t>
      </w:r>
    </w:p>
    <w:p w14:paraId="002D6F2D" w14:textId="77777777" w:rsidR="00102DA5" w:rsidRPr="00102DA5" w:rsidRDefault="00102DA5" w:rsidP="007315A4">
      <w:pPr>
        <w:spacing w:line="276" w:lineRule="auto"/>
        <w:jc w:val="both"/>
        <w:rPr>
          <w:sz w:val="13"/>
          <w:szCs w:val="13"/>
        </w:rPr>
      </w:pPr>
    </w:p>
    <w:p w14:paraId="2F0AC3A5" w14:textId="42B43AA9" w:rsidR="00FB2403" w:rsidRDefault="000E64B1" w:rsidP="007315A4">
      <w:pPr>
        <w:spacing w:line="276" w:lineRule="auto"/>
        <w:jc w:val="both"/>
      </w:pPr>
      <w:r>
        <w:t>Thankfully</w:t>
      </w:r>
      <w:r w:rsidR="00742638">
        <w:t>,</w:t>
      </w:r>
      <w:r w:rsidR="008013FF">
        <w:t xml:space="preserve"> </w:t>
      </w:r>
      <w:r>
        <w:t>Arizona</w:t>
      </w:r>
      <w:r w:rsidR="008307BA">
        <w:t>’s</w:t>
      </w:r>
      <w:r>
        <w:t xml:space="preserve"> </w:t>
      </w:r>
      <w:r w:rsidR="008307BA">
        <w:t>courts</w:t>
      </w:r>
      <w:r>
        <w:t>, especially</w:t>
      </w:r>
      <w:r w:rsidR="008307BA">
        <w:t xml:space="preserve"> under</w:t>
      </w:r>
      <w:r>
        <w:t xml:space="preserve"> former Chief Justice Robert Brutinel, </w:t>
      </w:r>
      <w:r w:rsidR="00102DA5">
        <w:t>supported</w:t>
      </w:r>
      <w:r w:rsidR="00234DDD">
        <w:t xml:space="preserve"> access to courtrooms and courthouses by journalists.  As a result, </w:t>
      </w:r>
      <w:r w:rsidR="008013FF">
        <w:t>we</w:t>
      </w:r>
      <w:r w:rsidR="00DE4CAF">
        <w:t xml:space="preserve"> have operated </w:t>
      </w:r>
      <w:r w:rsidR="008013FF">
        <w:t xml:space="preserve">under the </w:t>
      </w:r>
      <w:r w:rsidR="00DE4CAF">
        <w:t xml:space="preserve">presumption </w:t>
      </w:r>
      <w:r w:rsidR="00A92DC4">
        <w:t>that</w:t>
      </w:r>
      <w:r w:rsidR="00DE4CAF">
        <w:t xml:space="preserve"> </w:t>
      </w:r>
      <w:r w:rsidR="008013FF">
        <w:t xml:space="preserve">courthouses and courtrooms </w:t>
      </w:r>
      <w:r w:rsidR="00A92DC4">
        <w:t>are</w:t>
      </w:r>
      <w:r w:rsidR="00DE4CAF">
        <w:t xml:space="preserve"> open to journalists</w:t>
      </w:r>
      <w:r w:rsidR="008013FF">
        <w:t xml:space="preserve"> and cameras</w:t>
      </w:r>
      <w:r w:rsidR="00FC3057">
        <w:t xml:space="preserve">. </w:t>
      </w:r>
      <w:r w:rsidR="00FB2403">
        <w:t>This has been advantageous to both parties.</w:t>
      </w:r>
    </w:p>
    <w:p w14:paraId="6AB9C491" w14:textId="77777777" w:rsidR="00FB2403" w:rsidRPr="00FB2403" w:rsidRDefault="00FB2403" w:rsidP="007315A4">
      <w:pPr>
        <w:spacing w:line="276" w:lineRule="auto"/>
        <w:jc w:val="both"/>
        <w:rPr>
          <w:sz w:val="13"/>
          <w:szCs w:val="13"/>
        </w:rPr>
      </w:pPr>
    </w:p>
    <w:p w14:paraId="4EF075C6" w14:textId="3E1F4A4F" w:rsidR="00FC3057" w:rsidRDefault="00FC3057" w:rsidP="007315A4">
      <w:pPr>
        <w:spacing w:line="276" w:lineRule="auto"/>
        <w:jc w:val="both"/>
      </w:pPr>
      <w:r>
        <w:t xml:space="preserve">Routinely, Arizona citizens have little interaction with the justice system. </w:t>
      </w:r>
      <w:r w:rsidR="0018246E">
        <w:t xml:space="preserve">Through the </w:t>
      </w:r>
      <w:r>
        <w:t>combined work of the courts and journalists</w:t>
      </w:r>
      <w:r w:rsidR="008013FF">
        <w:t xml:space="preserve"> applying Rule 122</w:t>
      </w:r>
      <w:r>
        <w:t xml:space="preserve">, </w:t>
      </w:r>
      <w:r w:rsidR="008013FF">
        <w:t>citizens</w:t>
      </w:r>
      <w:r>
        <w:t xml:space="preserve"> </w:t>
      </w:r>
      <w:r w:rsidR="00B8208B">
        <w:t>regularly</w:t>
      </w:r>
      <w:r w:rsidR="008013FF">
        <w:t xml:space="preserve"> and easily</w:t>
      </w:r>
      <w:r w:rsidR="00B8208B">
        <w:t xml:space="preserve"> look</w:t>
      </w:r>
      <w:r>
        <w:t xml:space="preserve"> </w:t>
      </w:r>
      <w:r w:rsidR="00102DA5">
        <w:t>inside courtrooms and courthouses</w:t>
      </w:r>
      <w:r>
        <w:t xml:space="preserve"> by watching the evening news or via their preferred digital and social channels.</w:t>
      </w:r>
      <w:r w:rsidR="000E64B1">
        <w:t xml:space="preserve"> </w:t>
      </w:r>
      <w:r w:rsidR="008013FF">
        <w:t xml:space="preserve">Due to </w:t>
      </w:r>
      <w:r>
        <w:t>this commitment to transparency by Arizona courts and Arizona journalists</w:t>
      </w:r>
      <w:r w:rsidR="007170B6">
        <w:t>,</w:t>
      </w:r>
      <w:r w:rsidR="008013FF">
        <w:t xml:space="preserve"> </w:t>
      </w:r>
      <w:r>
        <w:t>the people</w:t>
      </w:r>
      <w:r w:rsidR="00B8208B">
        <w:t xml:space="preserve"> see</w:t>
      </w:r>
      <w:r>
        <w:t xml:space="preserve"> an accessible, fair, and professionally operated justice system. </w:t>
      </w:r>
    </w:p>
    <w:p w14:paraId="5A6E1718" w14:textId="77777777" w:rsidR="00234DDD" w:rsidRPr="00234DDD" w:rsidRDefault="00234DDD" w:rsidP="007315A4">
      <w:pPr>
        <w:spacing w:line="276" w:lineRule="auto"/>
        <w:jc w:val="both"/>
        <w:rPr>
          <w:sz w:val="13"/>
          <w:szCs w:val="13"/>
        </w:rPr>
      </w:pPr>
    </w:p>
    <w:p w14:paraId="3EBEA9FD" w14:textId="51729E27" w:rsidR="00001716" w:rsidRDefault="008013FF" w:rsidP="000E64B1">
      <w:pPr>
        <w:spacing w:line="276" w:lineRule="auto"/>
        <w:jc w:val="both"/>
      </w:pPr>
      <w:r>
        <w:lastRenderedPageBreak/>
        <w:t>Our</w:t>
      </w:r>
      <w:r w:rsidR="00FC3057">
        <w:t xml:space="preserve"> </w:t>
      </w:r>
      <w:r w:rsidR="00001716">
        <w:t>relationship</w:t>
      </w:r>
      <w:r w:rsidR="00FC3057">
        <w:t xml:space="preserve"> </w:t>
      </w:r>
      <w:r w:rsidR="00234DDD">
        <w:t>wasn’t and isn’t perfect.  However, w</w:t>
      </w:r>
      <w:r w:rsidR="000E64B1">
        <w:t xml:space="preserve">henever complications </w:t>
      </w:r>
      <w:r w:rsidR="00F21F07">
        <w:t>have arisen</w:t>
      </w:r>
      <w:r w:rsidR="008307BA">
        <w:t>,</w:t>
      </w:r>
      <w:r w:rsidR="000E64B1">
        <w:t xml:space="preserve"> our collaboration resulted in</w:t>
      </w:r>
      <w:r w:rsidR="008307BA">
        <w:t xml:space="preserve"> low</w:t>
      </w:r>
      <w:r w:rsidR="00F21F07">
        <w:t>-</w:t>
      </w:r>
      <w:r w:rsidR="008307BA">
        <w:t>drama</w:t>
      </w:r>
      <w:r w:rsidR="000E64B1">
        <w:t xml:space="preserve"> operational solutions</w:t>
      </w:r>
      <w:r w:rsidR="008307BA">
        <w:t xml:space="preserve">. </w:t>
      </w:r>
      <w:r>
        <w:t>R</w:t>
      </w:r>
      <w:r w:rsidR="008307BA">
        <w:t>epair</w:t>
      </w:r>
      <w:r>
        <w:t>s</w:t>
      </w:r>
      <w:r w:rsidR="008307BA">
        <w:t xml:space="preserve"> </w:t>
      </w:r>
      <w:r w:rsidR="000E64B1">
        <w:t xml:space="preserve">were </w:t>
      </w:r>
      <w:r w:rsidR="00FC3057">
        <w:t>achieved</w:t>
      </w:r>
      <w:r>
        <w:t xml:space="preserve"> because the </w:t>
      </w:r>
      <w:r w:rsidR="000E64B1">
        <w:t>judiciary’s patience an</w:t>
      </w:r>
      <w:r w:rsidR="008307BA">
        <w:t>d</w:t>
      </w:r>
      <w:r w:rsidR="000E64B1">
        <w:t xml:space="preserve"> willingness to listen </w:t>
      </w:r>
      <w:r w:rsidR="001C5318">
        <w:t xml:space="preserve">was </w:t>
      </w:r>
      <w:r w:rsidR="00FC3057">
        <w:t xml:space="preserve">paired </w:t>
      </w:r>
      <w:r w:rsidR="000E64B1">
        <w:t>with</w:t>
      </w:r>
      <w:r w:rsidR="008307BA">
        <w:t xml:space="preserve"> </w:t>
      </w:r>
      <w:r w:rsidR="007F4881">
        <w:t xml:space="preserve">strong </w:t>
      </w:r>
      <w:r w:rsidR="008307BA">
        <w:t xml:space="preserve">self-policing by editors and news directors.  </w:t>
      </w:r>
      <w:r w:rsidR="00001716">
        <w:t>Now</w:t>
      </w:r>
      <w:r w:rsidR="00102DA5">
        <w:t>,</w:t>
      </w:r>
      <w:r w:rsidR="008307BA" w:rsidRPr="008307BA">
        <w:t xml:space="preserve"> as I read </w:t>
      </w:r>
      <w:r w:rsidR="000E64B1" w:rsidRPr="008307BA">
        <w:t xml:space="preserve"> through the Task Force’s</w:t>
      </w:r>
      <w:r w:rsidR="0018246E">
        <w:t xml:space="preserve"> amended drafts of Rule 122 and </w:t>
      </w:r>
      <w:r w:rsidR="0018246E" w:rsidRPr="0018246E">
        <w:t>Rule 122.1</w:t>
      </w:r>
      <w:r w:rsidR="000E64B1" w:rsidRPr="008307BA">
        <w:t xml:space="preserve">, </w:t>
      </w:r>
      <w:r w:rsidR="008307BA" w:rsidRPr="008307BA">
        <w:t>it feels</w:t>
      </w:r>
      <w:r w:rsidR="00001716">
        <w:t xml:space="preserve"> as if</w:t>
      </w:r>
      <w:r w:rsidR="008307BA" w:rsidRPr="008307BA">
        <w:t xml:space="preserve"> something has been lost in </w:t>
      </w:r>
      <w:r w:rsidR="0018246E">
        <w:t>our</w:t>
      </w:r>
      <w:r w:rsidR="008307BA" w:rsidRPr="008307BA">
        <w:t xml:space="preserve"> relationship.</w:t>
      </w:r>
      <w:r w:rsidR="00001716">
        <w:t xml:space="preserve"> </w:t>
      </w:r>
    </w:p>
    <w:p w14:paraId="22CAA203" w14:textId="77777777" w:rsidR="00001716" w:rsidRPr="00001716" w:rsidRDefault="00001716" w:rsidP="000E64B1">
      <w:pPr>
        <w:spacing w:line="276" w:lineRule="auto"/>
        <w:jc w:val="both"/>
        <w:rPr>
          <w:sz w:val="13"/>
          <w:szCs w:val="13"/>
        </w:rPr>
      </w:pPr>
    </w:p>
    <w:p w14:paraId="450B9B9D" w14:textId="6CF7A5B4" w:rsidR="00915489" w:rsidRDefault="007759D5" w:rsidP="000E64B1">
      <w:pPr>
        <w:spacing w:line="276" w:lineRule="auto"/>
        <w:jc w:val="both"/>
      </w:pPr>
      <w:r>
        <w:t>Apparently, t</w:t>
      </w:r>
      <w:r w:rsidR="00001716">
        <w:t>he Task Force seeks to exert more control over what they don’t overtly describe as a threat</w:t>
      </w:r>
      <w:r w:rsidR="001C5318">
        <w:t>.</w:t>
      </w:r>
      <w:r>
        <w:t xml:space="preserve"> </w:t>
      </w:r>
      <w:r w:rsidR="001C5318">
        <w:t>Still,</w:t>
      </w:r>
      <w:r>
        <w:t xml:space="preserve"> it appears they see one, especially when </w:t>
      </w:r>
      <w:r w:rsidR="00001716">
        <w:t>suggesting Rule</w:t>
      </w:r>
      <w:r>
        <w:t>-</w:t>
      </w:r>
      <w:r w:rsidR="00001716">
        <w:t xml:space="preserve">offending journalists could </w:t>
      </w:r>
      <w:r>
        <w:t xml:space="preserve">face </w:t>
      </w:r>
      <w:r w:rsidR="00001716">
        <w:t>criminal prosecution and sanctions</w:t>
      </w:r>
      <w:r>
        <w:t>.</w:t>
      </w:r>
      <w:r w:rsidR="00001716">
        <w:t xml:space="preserve"> </w:t>
      </w:r>
      <w:r>
        <w:t>I</w:t>
      </w:r>
      <w:r w:rsidR="00001716">
        <w:t>t’s clear</w:t>
      </w:r>
      <w:r>
        <w:t xml:space="preserve"> journalists</w:t>
      </w:r>
      <w:r w:rsidR="00B8208B">
        <w:t xml:space="preserve"> deploying </w:t>
      </w:r>
      <w:r w:rsidR="001C5318">
        <w:t xml:space="preserve">leading edge </w:t>
      </w:r>
      <w:r w:rsidR="00B8208B">
        <w:t>smart devices</w:t>
      </w:r>
      <w:r>
        <w:t xml:space="preserve"> are no longer</w:t>
      </w:r>
      <w:r w:rsidR="00001716">
        <w:t xml:space="preserve"> </w:t>
      </w:r>
      <w:r>
        <w:t>viewed</w:t>
      </w:r>
      <w:r w:rsidR="00001716">
        <w:t xml:space="preserve"> </w:t>
      </w:r>
      <w:r w:rsidR="001C5318">
        <w:t xml:space="preserve">by the Task Force </w:t>
      </w:r>
      <w:r w:rsidR="00001716">
        <w:t xml:space="preserve">as partners in furthering open courts. </w:t>
      </w:r>
    </w:p>
    <w:p w14:paraId="4C673C92" w14:textId="77777777" w:rsidR="00915489" w:rsidRPr="00915489" w:rsidRDefault="00915489" w:rsidP="000E64B1">
      <w:pPr>
        <w:spacing w:line="276" w:lineRule="auto"/>
        <w:jc w:val="both"/>
        <w:rPr>
          <w:sz w:val="13"/>
          <w:szCs w:val="13"/>
        </w:rPr>
      </w:pPr>
    </w:p>
    <w:p w14:paraId="7C02943F" w14:textId="590F3A49" w:rsidR="008307BA" w:rsidRPr="00915489" w:rsidRDefault="00001716" w:rsidP="000E64B1">
      <w:pPr>
        <w:spacing w:line="276" w:lineRule="auto"/>
        <w:jc w:val="both"/>
        <w:rPr>
          <w:b/>
          <w:bCs/>
        </w:rPr>
      </w:pPr>
      <w:r>
        <w:rPr>
          <w:b/>
          <w:bCs/>
        </w:rPr>
        <w:t>I’m unaware of journalists running roughshod over Rule 122</w:t>
      </w:r>
      <w:r w:rsidR="007759D5">
        <w:rPr>
          <w:b/>
          <w:bCs/>
        </w:rPr>
        <w:t xml:space="preserve">, so </w:t>
      </w:r>
      <w:r w:rsidR="008307BA" w:rsidRPr="00915489">
        <w:rPr>
          <w:b/>
          <w:bCs/>
        </w:rPr>
        <w:t xml:space="preserve">this </w:t>
      </w:r>
      <w:r w:rsidR="00062429">
        <w:rPr>
          <w:b/>
          <w:bCs/>
        </w:rPr>
        <w:t>appears</w:t>
      </w:r>
      <w:r w:rsidR="007759D5">
        <w:rPr>
          <w:b/>
          <w:bCs/>
        </w:rPr>
        <w:t xml:space="preserve"> </w:t>
      </w:r>
      <w:r>
        <w:rPr>
          <w:b/>
          <w:bCs/>
        </w:rPr>
        <w:t xml:space="preserve">to be a </w:t>
      </w:r>
      <w:r w:rsidR="008307BA" w:rsidRPr="00915489">
        <w:rPr>
          <w:b/>
          <w:bCs/>
        </w:rPr>
        <w:t>flawed</w:t>
      </w:r>
      <w:r w:rsidR="000E64B1" w:rsidRPr="00915489">
        <w:rPr>
          <w:b/>
          <w:bCs/>
        </w:rPr>
        <w:t xml:space="preserve"> solution in search of a proble</w:t>
      </w:r>
      <w:r w:rsidR="008013FF">
        <w:rPr>
          <w:b/>
          <w:bCs/>
        </w:rPr>
        <w:t>m</w:t>
      </w:r>
      <w:r w:rsidR="008307BA" w:rsidRPr="00915489">
        <w:rPr>
          <w:b/>
          <w:bCs/>
        </w:rPr>
        <w:t xml:space="preserve"> driven by overreaction to </w:t>
      </w:r>
      <w:r w:rsidR="0018246E" w:rsidRPr="00915489">
        <w:rPr>
          <w:b/>
          <w:bCs/>
        </w:rPr>
        <w:t xml:space="preserve">a) </w:t>
      </w:r>
      <w:r>
        <w:rPr>
          <w:b/>
          <w:bCs/>
        </w:rPr>
        <w:t xml:space="preserve">rapidly evolving </w:t>
      </w:r>
      <w:r w:rsidR="0018246E" w:rsidRPr="00915489">
        <w:rPr>
          <w:b/>
          <w:bCs/>
        </w:rPr>
        <w:t>technology changes</w:t>
      </w:r>
      <w:r w:rsidR="00915489">
        <w:rPr>
          <w:b/>
          <w:bCs/>
        </w:rPr>
        <w:t>,</w:t>
      </w:r>
      <w:r w:rsidR="0018246E" w:rsidRPr="00915489">
        <w:rPr>
          <w:b/>
          <w:bCs/>
        </w:rPr>
        <w:t xml:space="preserve"> b) the </w:t>
      </w:r>
      <w:r w:rsidR="007F4881" w:rsidRPr="00915489">
        <w:rPr>
          <w:b/>
          <w:bCs/>
        </w:rPr>
        <w:t>growing prominence</w:t>
      </w:r>
      <w:r w:rsidR="0018246E" w:rsidRPr="00915489">
        <w:rPr>
          <w:b/>
          <w:bCs/>
        </w:rPr>
        <w:t xml:space="preserve"> of content/creator/citizen journalists </w:t>
      </w:r>
      <w:r w:rsidR="00915489">
        <w:rPr>
          <w:b/>
          <w:bCs/>
        </w:rPr>
        <w:t xml:space="preserve">and c) the low approval ratings </w:t>
      </w:r>
      <w:r w:rsidRPr="00915489">
        <w:rPr>
          <w:b/>
          <w:bCs/>
        </w:rPr>
        <w:t>traditional/legacy journalists</w:t>
      </w:r>
      <w:r w:rsidR="00915489">
        <w:rPr>
          <w:b/>
          <w:bCs/>
        </w:rPr>
        <w:t xml:space="preserve"> share with the legal profession. </w:t>
      </w:r>
    </w:p>
    <w:p w14:paraId="248ACD41" w14:textId="77777777" w:rsidR="002F1559" w:rsidRDefault="002F1559" w:rsidP="000E64B1">
      <w:pPr>
        <w:spacing w:line="276" w:lineRule="auto"/>
        <w:jc w:val="both"/>
        <w:rPr>
          <w:sz w:val="13"/>
          <w:szCs w:val="13"/>
        </w:rPr>
      </w:pPr>
    </w:p>
    <w:p w14:paraId="6764E297" w14:textId="17B8087E" w:rsidR="002F1559" w:rsidRPr="002F1559" w:rsidRDefault="00915489" w:rsidP="000E64B1">
      <w:pPr>
        <w:spacing w:line="276" w:lineRule="auto"/>
        <w:jc w:val="both"/>
      </w:pPr>
      <w:r>
        <w:t>Th</w:t>
      </w:r>
      <w:r w:rsidR="008013FF">
        <w:t>e Task Force’s concern</w:t>
      </w:r>
      <w:r>
        <w:t xml:space="preserve"> isn’t a new or emerging issue. </w:t>
      </w:r>
      <w:r w:rsidR="008013FF">
        <w:t>Worries</w:t>
      </w:r>
      <w:r w:rsidR="002F1559">
        <w:t xml:space="preserve"> over the conduct of journalists inside the courtroom</w:t>
      </w:r>
      <w:r w:rsidR="007759D5">
        <w:t xml:space="preserve"> have been present for decades (Sam Shep</w:t>
      </w:r>
      <w:r w:rsidR="00A2186D">
        <w:t>p</w:t>
      </w:r>
      <w:r w:rsidR="007759D5">
        <w:t>ard, O.J. Simpson</w:t>
      </w:r>
      <w:r w:rsidR="00EA5503">
        <w:t>,</w:t>
      </w:r>
      <w:r w:rsidR="007759D5">
        <w:t xml:space="preserve"> etc.). Journalists and specifically </w:t>
      </w:r>
      <w:r w:rsidR="00A2186D">
        <w:t xml:space="preserve">their </w:t>
      </w:r>
      <w:r w:rsidR="007759D5">
        <w:t>cameras have been targeted as</w:t>
      </w:r>
      <w:r w:rsidR="00B8208B">
        <w:t xml:space="preserve"> unwelcome</w:t>
      </w:r>
      <w:r w:rsidR="007759D5">
        <w:t xml:space="preserve"> </w:t>
      </w:r>
      <w:r w:rsidR="002F1559">
        <w:t xml:space="preserve">incentives for </w:t>
      </w:r>
      <w:r w:rsidR="007759D5">
        <w:t xml:space="preserve">performative </w:t>
      </w:r>
      <w:r w:rsidR="002F1559">
        <w:t>prosecutors, defense attorneys, defendants, witnesses, the gallery, and even judges</w:t>
      </w:r>
      <w:r w:rsidR="007759D5">
        <w:t>.</w:t>
      </w:r>
      <w:r w:rsidR="002F1559">
        <w:t xml:space="preserve"> The current </w:t>
      </w:r>
      <w:r w:rsidR="00542EFA">
        <w:t xml:space="preserve">alleged </w:t>
      </w:r>
      <w:r w:rsidR="00076856">
        <w:t>disrupter</w:t>
      </w:r>
      <w:r w:rsidR="002F1559">
        <w:t xml:space="preserve"> is the content/creator/citizen</w:t>
      </w:r>
      <w:r w:rsidR="007759D5">
        <w:t xml:space="preserve"> </w:t>
      </w:r>
      <w:r w:rsidR="002F1559">
        <w:t>journalist</w:t>
      </w:r>
      <w:r w:rsidR="00B8208B">
        <w:t xml:space="preserve"> with a smart device.</w:t>
      </w:r>
      <w:r w:rsidR="002F1559">
        <w:t xml:space="preserve"> Fortunately, </w:t>
      </w:r>
      <w:r w:rsidR="00076856">
        <w:t xml:space="preserve">the aforementioned collaboration by Arizona’s courts and journalists has produced </w:t>
      </w:r>
      <w:r w:rsidR="002F1559">
        <w:t>a</w:t>
      </w:r>
      <w:r w:rsidR="00076856">
        <w:t xml:space="preserve"> </w:t>
      </w:r>
      <w:r w:rsidR="002F1559">
        <w:t>system equipped to meet th</w:t>
      </w:r>
      <w:r w:rsidR="00B8208B">
        <w:t>is</w:t>
      </w:r>
      <w:r w:rsidR="002F1559">
        <w:t xml:space="preserve"> moment without the wholesale changes proposed by the Task Force.</w:t>
      </w:r>
    </w:p>
    <w:p w14:paraId="28B42764" w14:textId="77777777" w:rsidR="007F4881" w:rsidRPr="007F4881" w:rsidRDefault="007F4881" w:rsidP="000E64B1">
      <w:pPr>
        <w:spacing w:line="276" w:lineRule="auto"/>
        <w:jc w:val="both"/>
        <w:rPr>
          <w:sz w:val="13"/>
          <w:szCs w:val="13"/>
        </w:rPr>
      </w:pPr>
    </w:p>
    <w:p w14:paraId="74FF0B33" w14:textId="4685E34D" w:rsidR="002F1559" w:rsidRDefault="002F1559" w:rsidP="000E64B1">
      <w:pPr>
        <w:spacing w:line="276" w:lineRule="auto"/>
        <w:jc w:val="both"/>
      </w:pPr>
      <w:r>
        <w:t>Here is a rundown of problem areas the Task Force has presented:</w:t>
      </w:r>
    </w:p>
    <w:p w14:paraId="59B8AE2C" w14:textId="77777777" w:rsidR="002F1559" w:rsidRPr="002F1559" w:rsidRDefault="002F1559" w:rsidP="000E64B1">
      <w:pPr>
        <w:spacing w:line="276" w:lineRule="auto"/>
        <w:jc w:val="both"/>
        <w:rPr>
          <w:sz w:val="13"/>
          <w:szCs w:val="13"/>
        </w:rPr>
      </w:pPr>
    </w:p>
    <w:p w14:paraId="46686EB3" w14:textId="7814725A" w:rsidR="0018246E" w:rsidRPr="002F1559" w:rsidRDefault="00C410BE" w:rsidP="002F1559">
      <w:pPr>
        <w:pStyle w:val="ListParagraph"/>
        <w:numPr>
          <w:ilvl w:val="0"/>
          <w:numId w:val="15"/>
        </w:numPr>
        <w:spacing w:line="276" w:lineRule="auto"/>
        <w:jc w:val="both"/>
        <w:rPr>
          <w:b/>
          <w:bCs/>
          <w:i/>
          <w:iCs/>
        </w:rPr>
      </w:pPr>
      <w:r>
        <w:rPr>
          <w:b/>
          <w:bCs/>
          <w:i/>
          <w:iCs/>
        </w:rPr>
        <w:t xml:space="preserve">Cameras and Journalists </w:t>
      </w:r>
      <w:r w:rsidR="007F4881" w:rsidRPr="002F1559">
        <w:rPr>
          <w:b/>
          <w:bCs/>
          <w:i/>
          <w:iCs/>
        </w:rPr>
        <w:t xml:space="preserve">Inside the </w:t>
      </w:r>
      <w:r w:rsidR="00102DA5" w:rsidRPr="002F1559">
        <w:rPr>
          <w:b/>
          <w:bCs/>
          <w:i/>
          <w:iCs/>
        </w:rPr>
        <w:t xml:space="preserve">Physical </w:t>
      </w:r>
      <w:r w:rsidR="007F4881" w:rsidRPr="002F1559">
        <w:rPr>
          <w:b/>
          <w:bCs/>
          <w:i/>
          <w:iCs/>
        </w:rPr>
        <w:t>Courtroom</w:t>
      </w:r>
      <w:r w:rsidR="00102DA5" w:rsidRPr="002F1559">
        <w:rPr>
          <w:b/>
          <w:bCs/>
          <w:i/>
          <w:iCs/>
        </w:rPr>
        <w:t xml:space="preserve"> Proceeding or a Virtual Proceeding</w:t>
      </w:r>
    </w:p>
    <w:p w14:paraId="6DA4AAE0" w14:textId="425126F0" w:rsidR="000A026C" w:rsidRDefault="002F1559" w:rsidP="000A026C">
      <w:pPr>
        <w:pStyle w:val="ListParagraph"/>
        <w:numPr>
          <w:ilvl w:val="0"/>
          <w:numId w:val="12"/>
        </w:numPr>
        <w:spacing w:line="276" w:lineRule="auto"/>
        <w:jc w:val="both"/>
      </w:pPr>
      <w:r>
        <w:rPr>
          <w:b/>
          <w:bCs/>
        </w:rPr>
        <w:t xml:space="preserve">Labeling a camera a “recording device” doesn’t change its fundamental purpose. So, why do so? </w:t>
      </w:r>
      <w:r w:rsidR="0018246E" w:rsidRPr="0018246E">
        <w:rPr>
          <w:b/>
          <w:bCs/>
        </w:rPr>
        <w:t>Inside the courtroom, a camera is a camera is a camera</w:t>
      </w:r>
      <w:r w:rsidR="0018246E">
        <w:t xml:space="preserve">. It can be a video camera or </w:t>
      </w:r>
      <w:r w:rsidR="000A026C">
        <w:t>single lens reflex camera (</w:t>
      </w:r>
      <w:r w:rsidR="0018246E">
        <w:t>SLR</w:t>
      </w:r>
      <w:r w:rsidR="000A026C">
        <w:t>)</w:t>
      </w:r>
      <w:r w:rsidR="0018246E">
        <w:t xml:space="preserve"> operated by a traditional/legacy photojournalist</w:t>
      </w:r>
      <w:r w:rsidR="008013FF">
        <w:t xml:space="preserve">. It can be </w:t>
      </w:r>
      <w:r w:rsidR="0018246E">
        <w:t>a smart phone deployed by content/creator/citizen journalists.  The fact that a smart phone fits in your palm and the video camera</w:t>
      </w:r>
      <w:r w:rsidR="000A026C">
        <w:t xml:space="preserve"> and</w:t>
      </w:r>
      <w:r w:rsidR="0018246E">
        <w:t xml:space="preserve"> SLR do</w:t>
      </w:r>
      <w:r w:rsidR="000A026C">
        <w:t xml:space="preserve"> no</w:t>
      </w:r>
      <w:r w:rsidR="0018246E">
        <w:t>t is irrelevant. Both capture video</w:t>
      </w:r>
      <w:r w:rsidR="007F4881">
        <w:t>/still</w:t>
      </w:r>
      <w:r w:rsidR="0018246E">
        <w:t xml:space="preserve"> images and are capable of transmitting those </w:t>
      </w:r>
      <w:r w:rsidR="007F4881">
        <w:t>video/</w:t>
      </w:r>
      <w:r w:rsidR="0018246E">
        <w:t xml:space="preserve">images in real time. The processes and limitations </w:t>
      </w:r>
      <w:r w:rsidR="000A026C">
        <w:t xml:space="preserve">of the existing Rule 122 are more than adequate in regulating how </w:t>
      </w:r>
      <w:r w:rsidR="007759D5">
        <w:t xml:space="preserve">journalists use </w:t>
      </w:r>
      <w:r w:rsidR="000A026C">
        <w:t>the</w:t>
      </w:r>
      <w:r>
        <w:t>ir device</w:t>
      </w:r>
      <w:r w:rsidR="00B8208B">
        <w:t>s</w:t>
      </w:r>
      <w:r>
        <w:t xml:space="preserve"> of choice</w:t>
      </w:r>
      <w:r w:rsidR="000A026C">
        <w:t>.</w:t>
      </w:r>
      <w:r w:rsidR="008013FF">
        <w:t xml:space="preserve"> Applied properly and collaboratively, </w:t>
      </w:r>
      <w:r w:rsidR="00C410BE">
        <w:t>the current Rule 122 will remain relevant even as photographic capabilities are added to other devices. Meta’s eyeglasses come to mind.</w:t>
      </w:r>
    </w:p>
    <w:p w14:paraId="4A9FE897" w14:textId="41266391" w:rsidR="000A026C" w:rsidRDefault="007315A4" w:rsidP="000A026C">
      <w:pPr>
        <w:pStyle w:val="ListParagraph"/>
        <w:numPr>
          <w:ilvl w:val="0"/>
          <w:numId w:val="12"/>
        </w:numPr>
        <w:spacing w:line="276" w:lineRule="auto"/>
        <w:jc w:val="both"/>
      </w:pPr>
      <w:r w:rsidRPr="000A026C">
        <w:rPr>
          <w:b/>
          <w:bCs/>
        </w:rPr>
        <w:t>A journalist is a journalist</w:t>
      </w:r>
      <w:r w:rsidR="007F4881">
        <w:rPr>
          <w:b/>
          <w:bCs/>
        </w:rPr>
        <w:t xml:space="preserve"> is a journalist</w:t>
      </w:r>
      <w:r w:rsidRPr="000A026C">
        <w:rPr>
          <w:b/>
          <w:bCs/>
        </w:rPr>
        <w:t xml:space="preserve"> whether part of a traditional or legacy news organization or a content creator/influencer/</w:t>
      </w:r>
      <w:r w:rsidR="000A026C">
        <w:rPr>
          <w:b/>
          <w:bCs/>
        </w:rPr>
        <w:t xml:space="preserve">citizen journalist.  </w:t>
      </w:r>
      <w:r w:rsidR="000A026C">
        <w:t>The current Rule 122 sets the standards of conduct a journalist must follow to gather content and report from inside a courtroom.</w:t>
      </w:r>
      <w:r w:rsidR="00542EFA">
        <w:t xml:space="preserve"> </w:t>
      </w:r>
      <w:r w:rsidR="000A026C">
        <w:t>The standard doesn’t change if the journalist is publishing on Substack/YouTube/Instagram</w:t>
      </w:r>
      <w:r w:rsidR="00542EFA">
        <w:t>/Twitter/Truth Social</w:t>
      </w:r>
      <w:r w:rsidR="000A026C">
        <w:t xml:space="preserve"> or on 12 News at 6PM or in </w:t>
      </w:r>
      <w:r w:rsidR="000A026C" w:rsidRPr="00B8208B">
        <w:rPr>
          <w:u w:val="single"/>
        </w:rPr>
        <w:t>The Arizona Republic</w:t>
      </w:r>
      <w:r w:rsidR="000A026C">
        <w:t xml:space="preserve">/azcentral.com. </w:t>
      </w:r>
      <w:r w:rsidR="00514B45">
        <w:t xml:space="preserve">Under the current Rule 122, </w:t>
      </w:r>
      <w:r w:rsidR="00514B45" w:rsidRPr="00514B45">
        <w:rPr>
          <w:b/>
          <w:bCs/>
          <w:u w:val="single"/>
        </w:rPr>
        <w:t>a</w:t>
      </w:r>
      <w:r w:rsidR="000A026C" w:rsidRPr="00514B45">
        <w:rPr>
          <w:b/>
          <w:bCs/>
          <w:u w:val="single"/>
        </w:rPr>
        <w:t>ll</w:t>
      </w:r>
      <w:r w:rsidR="000A026C" w:rsidRPr="00514B45">
        <w:rPr>
          <w:b/>
          <w:bCs/>
        </w:rPr>
        <w:t xml:space="preserve"> </w:t>
      </w:r>
      <w:r w:rsidR="000A026C">
        <w:t xml:space="preserve">journalists must conduct themselves in a </w:t>
      </w:r>
      <w:r w:rsidR="000A026C">
        <w:lastRenderedPageBreak/>
        <w:t>manner that maintains courtroom/courthouse decorum; doesn’t violate security policies;</w:t>
      </w:r>
      <w:r w:rsidR="007F4881">
        <w:t xml:space="preserve"> follows the judge’s instructions; </w:t>
      </w:r>
      <w:r w:rsidR="00514B45">
        <w:t>respects the dignity of the proceeding.</w:t>
      </w:r>
    </w:p>
    <w:p w14:paraId="758305EB" w14:textId="45C24C23" w:rsidR="00542EFA" w:rsidRDefault="00102DA5" w:rsidP="000A026C">
      <w:pPr>
        <w:pStyle w:val="ListParagraph"/>
        <w:numPr>
          <w:ilvl w:val="0"/>
          <w:numId w:val="12"/>
        </w:numPr>
        <w:spacing w:line="276" w:lineRule="auto"/>
        <w:jc w:val="both"/>
      </w:pPr>
      <w:r>
        <w:rPr>
          <w:b/>
          <w:bCs/>
        </w:rPr>
        <w:t xml:space="preserve">The </w:t>
      </w:r>
      <w:r w:rsidR="007759D5">
        <w:rPr>
          <w:b/>
          <w:bCs/>
        </w:rPr>
        <w:t xml:space="preserve">proposed </w:t>
      </w:r>
      <w:r>
        <w:rPr>
          <w:b/>
          <w:bCs/>
        </w:rPr>
        <w:t xml:space="preserve">penalties for rules violations are extreme.  </w:t>
      </w:r>
      <w:r w:rsidR="00542EFA">
        <w:t>The Task Force is taking a mallet to a fly when a hard conversation will get the same result</w:t>
      </w:r>
      <w:r w:rsidR="00076856">
        <w:t xml:space="preserve"> without insect goop </w:t>
      </w:r>
      <w:r w:rsidR="00B8208B">
        <w:t xml:space="preserve">splattered </w:t>
      </w:r>
      <w:r w:rsidR="00076856">
        <w:t>on the wall.</w:t>
      </w:r>
    </w:p>
    <w:p w14:paraId="57F4C2CE" w14:textId="18F1A66E" w:rsidR="00542EFA" w:rsidRDefault="00542EFA" w:rsidP="00076856">
      <w:pPr>
        <w:pStyle w:val="ListParagraph"/>
        <w:spacing w:line="276" w:lineRule="auto"/>
        <w:ind w:left="1440"/>
        <w:jc w:val="both"/>
      </w:pPr>
      <w:r>
        <w:rPr>
          <w:b/>
          <w:bCs/>
        </w:rPr>
        <w:t>“</w:t>
      </w:r>
      <w:r w:rsidRPr="00542EFA">
        <w:rPr>
          <w:b/>
          <w:bCs/>
        </w:rPr>
        <w:t>Rule 122. Use of Recording Devices</w:t>
      </w:r>
      <w:r>
        <w:rPr>
          <w:b/>
          <w:bCs/>
        </w:rPr>
        <w:t xml:space="preserve"> – (h) </w:t>
      </w:r>
      <w:r w:rsidRPr="00542EFA">
        <w:rPr>
          <w:b/>
          <w:bCs/>
        </w:rPr>
        <w:t xml:space="preserve">Unauthorized Use of a Recording Device. </w:t>
      </w:r>
      <w:r w:rsidRPr="00542EFA">
        <w:t>Except as this rule permits, a person who uses a recording device in the courthouse or in a virtual proceeding without prior approval is in violation of this rule and is subject to sanctions, including contempt of court or criminal charges.</w:t>
      </w:r>
      <w:r>
        <w:t>”</w:t>
      </w:r>
    </w:p>
    <w:p w14:paraId="500046D7" w14:textId="77777777" w:rsidR="00542EFA" w:rsidRPr="00542EFA" w:rsidRDefault="00542EFA" w:rsidP="00542EFA">
      <w:pPr>
        <w:pStyle w:val="ListParagraph"/>
        <w:spacing w:line="276" w:lineRule="auto"/>
        <w:jc w:val="both"/>
        <w:rPr>
          <w:sz w:val="13"/>
          <w:szCs w:val="13"/>
        </w:rPr>
      </w:pPr>
    </w:p>
    <w:p w14:paraId="3E87099F" w14:textId="7AA235B3" w:rsidR="00542EFA" w:rsidRPr="00542EFA" w:rsidRDefault="00915489" w:rsidP="007759D5">
      <w:pPr>
        <w:pStyle w:val="ListParagraph"/>
        <w:spacing w:line="276" w:lineRule="auto"/>
        <w:jc w:val="both"/>
      </w:pPr>
      <w:r>
        <w:t xml:space="preserve">In addressing </w:t>
      </w:r>
      <w:r w:rsidR="007759D5">
        <w:t>a violation</w:t>
      </w:r>
      <w:r>
        <w:t>, s</w:t>
      </w:r>
      <w:r w:rsidR="00542EFA">
        <w:t xml:space="preserve">houldn’t there be a </w:t>
      </w:r>
      <w:r w:rsidR="00C410BE">
        <w:t>solution somewhere</w:t>
      </w:r>
      <w:r w:rsidR="00542EFA">
        <w:t xml:space="preserve"> between </w:t>
      </w:r>
      <w:r>
        <w:t>locking</w:t>
      </w:r>
      <w:r w:rsidR="00B8208B">
        <w:t xml:space="preserve"> up</w:t>
      </w:r>
      <w:r>
        <w:t xml:space="preserve"> the journalist and a “now don’t do that” pat on the head?  Th</w:t>
      </w:r>
      <w:r w:rsidR="00C410BE">
        <w:t xml:space="preserve">e proposed </w:t>
      </w:r>
      <w:r>
        <w:t xml:space="preserve"> approach is extremely combative and temperamentally disdainful of the journalist. It  puts the journalist, who under the current Rule 122 has a right to be inside the proceeding, on notice of hell to pay for violation. It ignores </w:t>
      </w:r>
      <w:r w:rsidR="007759D5">
        <w:t>successful</w:t>
      </w:r>
      <w:r>
        <w:t xml:space="preserve"> past approaches of dealing with these situations through</w:t>
      </w:r>
      <w:r w:rsidR="00C410BE">
        <w:t xml:space="preserve"> admonitions,</w:t>
      </w:r>
      <w:r>
        <w:t xml:space="preserve"> warnings, and </w:t>
      </w:r>
      <w:r w:rsidR="00B8208B">
        <w:t>effective</w:t>
      </w:r>
      <w:r>
        <w:t xml:space="preserve"> self-policing by journalists.</w:t>
      </w:r>
    </w:p>
    <w:p w14:paraId="2B501D49" w14:textId="6550F9CC" w:rsidR="002F1559" w:rsidRPr="00915489" w:rsidRDefault="00102DA5" w:rsidP="00915489">
      <w:pPr>
        <w:pStyle w:val="ListParagraph"/>
        <w:spacing w:line="276" w:lineRule="auto"/>
        <w:jc w:val="both"/>
        <w:rPr>
          <w:sz w:val="13"/>
          <w:szCs w:val="13"/>
        </w:rPr>
      </w:pPr>
      <w:r>
        <w:rPr>
          <w:b/>
          <w:bCs/>
        </w:rPr>
        <w:t xml:space="preserve"> </w:t>
      </w:r>
    </w:p>
    <w:p w14:paraId="4D1EB46C" w14:textId="7CC75638" w:rsidR="00514B45" w:rsidRPr="002F1559" w:rsidRDefault="00C410BE" w:rsidP="002F1559">
      <w:pPr>
        <w:pStyle w:val="ListParagraph"/>
        <w:numPr>
          <w:ilvl w:val="0"/>
          <w:numId w:val="15"/>
        </w:numPr>
        <w:rPr>
          <w:b/>
          <w:bCs/>
          <w:i/>
          <w:iCs/>
        </w:rPr>
      </w:pPr>
      <w:r>
        <w:rPr>
          <w:b/>
          <w:bCs/>
          <w:i/>
          <w:iCs/>
        </w:rPr>
        <w:t xml:space="preserve">Cameras and Journalists </w:t>
      </w:r>
      <w:r w:rsidR="00FE4A87" w:rsidRPr="002F1559">
        <w:rPr>
          <w:b/>
          <w:bCs/>
          <w:i/>
          <w:iCs/>
        </w:rPr>
        <w:t>Outside the Courtroom and Inside the Courthous</w:t>
      </w:r>
      <w:r w:rsidR="00514B45" w:rsidRPr="002F1559">
        <w:rPr>
          <w:b/>
          <w:bCs/>
          <w:i/>
          <w:iCs/>
        </w:rPr>
        <w:t>e</w:t>
      </w:r>
    </w:p>
    <w:p w14:paraId="1DBD1E6C" w14:textId="01C2B0A2" w:rsidR="001F4659" w:rsidRPr="00B159D8" w:rsidRDefault="001F4659" w:rsidP="00B159D8">
      <w:pPr>
        <w:pStyle w:val="ListParagraph"/>
        <w:numPr>
          <w:ilvl w:val="0"/>
          <w:numId w:val="13"/>
        </w:numPr>
        <w:spacing w:line="276" w:lineRule="auto"/>
        <w:jc w:val="both"/>
      </w:pPr>
      <w:r w:rsidRPr="00B159D8">
        <w:rPr>
          <w:b/>
          <w:bCs/>
        </w:rPr>
        <w:t>As written, the Task Force’s approach for regulating recording devices is extremely problematic because it simply isn’t practical</w:t>
      </w:r>
      <w:r>
        <w:t>:</w:t>
      </w:r>
    </w:p>
    <w:p w14:paraId="659943D3" w14:textId="77777777" w:rsidR="001F4659" w:rsidRPr="00B159D8" w:rsidRDefault="001F4659" w:rsidP="001F4659">
      <w:pPr>
        <w:pStyle w:val="ListParagraph"/>
        <w:spacing w:line="276" w:lineRule="auto"/>
        <w:rPr>
          <w:i/>
          <w:iCs/>
          <w:sz w:val="11"/>
          <w:szCs w:val="11"/>
        </w:rPr>
      </w:pPr>
    </w:p>
    <w:p w14:paraId="21207069" w14:textId="3DF152DF" w:rsidR="001F4659" w:rsidRDefault="001F4659" w:rsidP="00915489">
      <w:pPr>
        <w:pStyle w:val="ListParagraph"/>
        <w:spacing w:line="276" w:lineRule="auto"/>
        <w:ind w:left="1440"/>
        <w:jc w:val="both"/>
      </w:pPr>
      <w:r>
        <w:rPr>
          <w:b/>
          <w:bCs/>
          <w:i/>
          <w:iCs/>
        </w:rPr>
        <w:t>“</w:t>
      </w:r>
      <w:r w:rsidRPr="001F4659">
        <w:rPr>
          <w:b/>
          <w:bCs/>
          <w:i/>
          <w:iCs/>
        </w:rPr>
        <w:t xml:space="preserve">Generally. </w:t>
      </w:r>
      <w:r w:rsidRPr="001F4659">
        <w:t>Use of a recording device in areas of the courthouse other than the courtroom must be approved by the presiding judge or the presiding judge’s designee, or as otherwise provided by local administrative order.</w:t>
      </w:r>
      <w:r>
        <w:t>”</w:t>
      </w:r>
    </w:p>
    <w:p w14:paraId="39EBDEBA" w14:textId="77777777" w:rsidR="00B159D8" w:rsidRPr="00B159D8" w:rsidRDefault="00B159D8" w:rsidP="00915489">
      <w:pPr>
        <w:pStyle w:val="ListParagraph"/>
        <w:spacing w:line="276" w:lineRule="auto"/>
        <w:ind w:left="1440"/>
        <w:jc w:val="both"/>
        <w:rPr>
          <w:sz w:val="11"/>
          <w:szCs w:val="11"/>
        </w:rPr>
      </w:pPr>
    </w:p>
    <w:p w14:paraId="1DFE1387" w14:textId="041894D1" w:rsidR="00B159D8" w:rsidRPr="00B159D8" w:rsidRDefault="00B159D8" w:rsidP="00915489">
      <w:pPr>
        <w:spacing w:line="276" w:lineRule="auto"/>
        <w:ind w:left="1440"/>
        <w:jc w:val="both"/>
        <w:rPr>
          <w:b/>
          <w:bCs/>
          <w:i/>
          <w:iCs/>
        </w:rPr>
      </w:pPr>
      <w:r w:rsidRPr="00B159D8">
        <w:rPr>
          <w:b/>
          <w:bCs/>
          <w:i/>
          <w:iCs/>
        </w:rPr>
        <w:t>“Limitation</w:t>
      </w:r>
      <w:r>
        <w:rPr>
          <w:b/>
          <w:bCs/>
          <w:i/>
          <w:iCs/>
        </w:rPr>
        <w:t xml:space="preserve">s. </w:t>
      </w:r>
      <w:r w:rsidRPr="00B159D8">
        <w:t>…A judge’s permission to use a recording device in the courtroom does not authorize use of the device in other areas of the courthouse. Judges, clerks, court administration, or court security are authorized to limit or terminate activity that is disruptive to court operations or that compromises courthouse security.”</w:t>
      </w:r>
    </w:p>
    <w:p w14:paraId="691380CE" w14:textId="77777777" w:rsidR="00B159D8" w:rsidRPr="00B159D8" w:rsidRDefault="00B159D8" w:rsidP="001F4659">
      <w:pPr>
        <w:pStyle w:val="ListParagraph"/>
        <w:spacing w:line="276" w:lineRule="auto"/>
        <w:jc w:val="both"/>
        <w:rPr>
          <w:b/>
          <w:bCs/>
          <w:sz w:val="11"/>
          <w:szCs w:val="11"/>
        </w:rPr>
      </w:pPr>
    </w:p>
    <w:p w14:paraId="53CF9DB3" w14:textId="6C23F250" w:rsidR="00B8208B" w:rsidRDefault="001F4659" w:rsidP="00B159D8">
      <w:pPr>
        <w:pStyle w:val="ListParagraph"/>
        <w:spacing w:line="276" w:lineRule="auto"/>
        <w:jc w:val="both"/>
      </w:pPr>
      <w:r>
        <w:t xml:space="preserve">Does this mean a </w:t>
      </w:r>
      <w:r w:rsidR="00B159D8">
        <w:t>journalist</w:t>
      </w:r>
      <w:r>
        <w:t xml:space="preserve"> with a smart phone can’t enter the courthouse to meet with or interview a subject</w:t>
      </w:r>
      <w:r w:rsidR="00B159D8">
        <w:t xml:space="preserve"> in a non-courtroom space</w:t>
      </w:r>
      <w:r>
        <w:t xml:space="preserve"> without consent of the presiding judge? Does this mean a </w:t>
      </w:r>
      <w:r w:rsidR="00915489">
        <w:t xml:space="preserve">journalist </w:t>
      </w:r>
      <w:r>
        <w:t xml:space="preserve">who </w:t>
      </w:r>
      <w:r w:rsidR="00E73FAD">
        <w:t xml:space="preserve">wants to </w:t>
      </w:r>
      <w:r>
        <w:t xml:space="preserve">use a smart phone to </w:t>
      </w:r>
      <w:r w:rsidR="00B159D8">
        <w:t>photograph or scan</w:t>
      </w:r>
      <w:r>
        <w:t xml:space="preserve"> a document in an administrative or clerical office </w:t>
      </w:r>
      <w:r w:rsidR="00B159D8">
        <w:t xml:space="preserve">can’t do so without consent of the presiding judge?  </w:t>
      </w:r>
      <w:r>
        <w:t xml:space="preserve">If so, </w:t>
      </w:r>
      <w:r w:rsidR="00B159D8">
        <w:t>how does the journalist seek permission? Is there a form to fill out? Is there an open review process?  Is there an appeal process if rejected?  D</w:t>
      </w:r>
      <w:r>
        <w:t xml:space="preserve">oes the presiding judge have the time </w:t>
      </w:r>
      <w:r w:rsidR="00B159D8">
        <w:t xml:space="preserve">or even the incentive </w:t>
      </w:r>
      <w:r>
        <w:t xml:space="preserve">to </w:t>
      </w:r>
      <w:r w:rsidR="00B159D8">
        <w:t xml:space="preserve">handle this administrative task? </w:t>
      </w:r>
      <w:r w:rsidR="00B8208B">
        <w:t>Will the definition of “</w:t>
      </w:r>
      <w:r w:rsidR="00B8208B" w:rsidRPr="00B159D8">
        <w:t>disruptive to court operations or that compromises courthouse security</w:t>
      </w:r>
      <w:r w:rsidR="00B8208B">
        <w:t xml:space="preserve">” vary from person to person?   </w:t>
      </w:r>
    </w:p>
    <w:p w14:paraId="647BD875" w14:textId="5753AFC8" w:rsidR="00514B45" w:rsidRDefault="00B159D8" w:rsidP="00B159D8">
      <w:pPr>
        <w:pStyle w:val="ListParagraph"/>
        <w:spacing w:line="276" w:lineRule="auto"/>
        <w:jc w:val="both"/>
      </w:pPr>
      <w:r>
        <w:t xml:space="preserve">Again, </w:t>
      </w:r>
      <w:r w:rsidR="00E73FAD">
        <w:t xml:space="preserve">this is </w:t>
      </w:r>
      <w:r>
        <w:t>not practical. Further, it’s onerous to the point of appearing to purposely limit news gathering access by journalists.</w:t>
      </w:r>
    </w:p>
    <w:p w14:paraId="7F7637C5" w14:textId="77777777" w:rsidR="00B159D8" w:rsidRPr="00B159D8" w:rsidRDefault="00B159D8" w:rsidP="00B159D8">
      <w:pPr>
        <w:pStyle w:val="ListParagraph"/>
        <w:spacing w:line="276" w:lineRule="auto"/>
        <w:jc w:val="both"/>
        <w:rPr>
          <w:sz w:val="13"/>
          <w:szCs w:val="13"/>
        </w:rPr>
      </w:pPr>
    </w:p>
    <w:p w14:paraId="67C188E3" w14:textId="635E9C9A" w:rsidR="003975AB" w:rsidRDefault="003975AB" w:rsidP="003975AB">
      <w:pPr>
        <w:pStyle w:val="ListParagraph"/>
        <w:numPr>
          <w:ilvl w:val="0"/>
          <w:numId w:val="13"/>
        </w:numPr>
        <w:spacing w:line="276" w:lineRule="auto"/>
        <w:jc w:val="both"/>
      </w:pPr>
      <w:r>
        <w:rPr>
          <w:b/>
          <w:bCs/>
        </w:rPr>
        <w:t xml:space="preserve">These proposed rules further disincentivize coverage in areas outside the courtroom.   </w:t>
      </w:r>
      <w:r w:rsidRPr="003975AB">
        <w:t xml:space="preserve">New section </w:t>
      </w:r>
      <w:r w:rsidRPr="003975AB">
        <w:rPr>
          <w:i/>
          <w:iCs/>
        </w:rPr>
        <w:t>Rule 122(l) [new]: “Use of a Recording Device Outside of a Courtroom.”</w:t>
      </w:r>
      <w:r w:rsidRPr="003975AB">
        <w:t xml:space="preserve"> </w:t>
      </w:r>
      <w:r w:rsidR="00C410BE">
        <w:t>i</w:t>
      </w:r>
      <w:r w:rsidRPr="003975AB">
        <w:t>s problematic and should be totally reworked</w:t>
      </w:r>
      <w:r w:rsidR="00C410BE">
        <w:t xml:space="preserve"> d</w:t>
      </w:r>
      <w:r w:rsidRPr="003975AB">
        <w:t>ue to th</w:t>
      </w:r>
      <w:r>
        <w:t>is</w:t>
      </w:r>
      <w:r w:rsidRPr="003975AB">
        <w:t xml:space="preserve"> language</w:t>
      </w:r>
      <w:r w:rsidR="00950307">
        <w:t>:</w:t>
      </w:r>
      <w:r w:rsidRPr="003975AB">
        <w:t xml:space="preserve"> </w:t>
      </w:r>
    </w:p>
    <w:p w14:paraId="42ED134C" w14:textId="77777777" w:rsidR="003975AB" w:rsidRPr="003975AB" w:rsidRDefault="003975AB" w:rsidP="003975AB">
      <w:pPr>
        <w:pStyle w:val="ListParagraph"/>
        <w:spacing w:line="276" w:lineRule="auto"/>
        <w:jc w:val="both"/>
        <w:rPr>
          <w:b/>
          <w:bCs/>
          <w:sz w:val="11"/>
          <w:szCs w:val="11"/>
        </w:rPr>
      </w:pPr>
    </w:p>
    <w:p w14:paraId="6F544E29" w14:textId="5AA9B4A7" w:rsidR="003975AB" w:rsidRPr="003975AB" w:rsidRDefault="003975AB" w:rsidP="003975AB">
      <w:pPr>
        <w:pStyle w:val="ListParagraph"/>
        <w:spacing w:line="276" w:lineRule="auto"/>
        <w:ind w:left="1440"/>
        <w:jc w:val="both"/>
      </w:pPr>
      <w:r w:rsidRPr="003975AB">
        <w:lastRenderedPageBreak/>
        <w:t xml:space="preserve">“New section </w:t>
      </w:r>
      <w:r w:rsidR="00076856">
        <w:t>I</w:t>
      </w:r>
      <w:r w:rsidR="00FB2403">
        <w:t xml:space="preserve"> - </w:t>
      </w:r>
      <w:r w:rsidRPr="003975AB">
        <w:t xml:space="preserve"> would allow use of a portable electronic device in a courthouse, outside of a courtroom, “subject to the authority of judges, clerks, court administration, or court security to limit or terminate activity that is disruptive to court operations or that compromises courthouse security.”</w:t>
      </w:r>
    </w:p>
    <w:p w14:paraId="104762AC" w14:textId="0602C55F" w:rsidR="003975AB" w:rsidRPr="003975AB" w:rsidRDefault="003975AB" w:rsidP="003975AB">
      <w:pPr>
        <w:spacing w:line="276" w:lineRule="auto"/>
        <w:ind w:left="720"/>
        <w:jc w:val="both"/>
      </w:pPr>
      <w:r>
        <w:t xml:space="preserve">What would be the basis of “the authority?” On any given day, if “judges, clerks, court administration, or court security” </w:t>
      </w:r>
      <w:r w:rsidR="00C410BE">
        <w:t xml:space="preserve">simply </w:t>
      </w:r>
      <w:r>
        <w:t>don’t want to be bothered by journalistic activity</w:t>
      </w:r>
      <w:r w:rsidR="00542EFA">
        <w:t>,</w:t>
      </w:r>
      <w:r>
        <w:t xml:space="preserve"> they can shut it down? Or, if “judges, clerks, court administration, or court security” are intolerant </w:t>
      </w:r>
      <w:r w:rsidR="00542EFA">
        <w:t>of</w:t>
      </w:r>
      <w:r>
        <w:t xml:space="preserve"> journalism and feel journalists are “fake news” merchants, can</w:t>
      </w:r>
      <w:r w:rsidR="00542EFA">
        <w:t xml:space="preserve"> they</w:t>
      </w:r>
      <w:r>
        <w:t xml:space="preserve"> shut them down?  Without explanation?  Without an appeal process?</w:t>
      </w:r>
    </w:p>
    <w:p w14:paraId="2F33BFDD" w14:textId="77777777" w:rsidR="003975AB" w:rsidRPr="00076856" w:rsidRDefault="003975AB" w:rsidP="003975AB">
      <w:pPr>
        <w:spacing w:line="276" w:lineRule="auto"/>
        <w:jc w:val="both"/>
        <w:rPr>
          <w:sz w:val="13"/>
          <w:szCs w:val="13"/>
        </w:rPr>
      </w:pPr>
    </w:p>
    <w:p w14:paraId="08812EF1" w14:textId="5EA8D912" w:rsidR="00076856" w:rsidRDefault="00076856" w:rsidP="00076856">
      <w:pPr>
        <w:spacing w:line="276" w:lineRule="auto"/>
        <w:jc w:val="center"/>
        <w:rPr>
          <w:sz w:val="13"/>
          <w:szCs w:val="13"/>
        </w:rPr>
      </w:pPr>
      <w:r>
        <w:t>***</w:t>
      </w:r>
    </w:p>
    <w:p w14:paraId="5264291C" w14:textId="3A13CAA5" w:rsidR="00FD47F5" w:rsidRDefault="00FD47F5" w:rsidP="00FD47F5">
      <w:pPr>
        <w:spacing w:line="276" w:lineRule="auto"/>
        <w:jc w:val="both"/>
      </w:pPr>
      <w:r>
        <w:t xml:space="preserve">So, </w:t>
      </w:r>
      <w:r w:rsidR="00950307">
        <w:t>one</w:t>
      </w:r>
      <w:r>
        <w:t xml:space="preserve"> may say in response, “What are we to do about </w:t>
      </w:r>
      <w:r w:rsidRPr="00FD47F5">
        <w:t>content/creator/citizen journalists</w:t>
      </w:r>
      <w:r>
        <w:t xml:space="preserve"> not bound by the professional standards of journalists in traditional/legacy media?”</w:t>
      </w:r>
    </w:p>
    <w:p w14:paraId="1F82FC11" w14:textId="77777777" w:rsidR="00FD47F5" w:rsidRPr="00FD47F5" w:rsidRDefault="00FD47F5" w:rsidP="00FD47F5">
      <w:pPr>
        <w:spacing w:line="276" w:lineRule="auto"/>
        <w:jc w:val="both"/>
        <w:rPr>
          <w:sz w:val="13"/>
          <w:szCs w:val="13"/>
        </w:rPr>
      </w:pPr>
    </w:p>
    <w:p w14:paraId="59A6D0F2" w14:textId="2451DEDB" w:rsidR="00566BF0" w:rsidRDefault="00A2186D" w:rsidP="00FD47F5">
      <w:pPr>
        <w:spacing w:line="276" w:lineRule="auto"/>
        <w:jc w:val="both"/>
      </w:pPr>
      <w:r>
        <w:t xml:space="preserve">The answer: Hold everyone to </w:t>
      </w:r>
      <w:r w:rsidRPr="00A2186D">
        <w:rPr>
          <w:b/>
          <w:bCs/>
          <w:u w:val="single"/>
        </w:rPr>
        <w:t>THE STANDARD</w:t>
      </w:r>
      <w:r>
        <w:t xml:space="preserve"> of</w:t>
      </w:r>
      <w:r w:rsidR="00FD47F5">
        <w:t xml:space="preserve"> current Rule 122. </w:t>
      </w:r>
      <w:r w:rsidR="00FF35B5">
        <w:t xml:space="preserve">Courts can </w:t>
      </w:r>
      <w:r w:rsidR="00FD47F5">
        <w:t xml:space="preserve">prepare </w:t>
      </w:r>
      <w:r w:rsidR="00C410BE" w:rsidRPr="00FD47F5">
        <w:t>content/creator/citizen journalists</w:t>
      </w:r>
      <w:r w:rsidR="00C410BE">
        <w:t xml:space="preserve"> </w:t>
      </w:r>
      <w:r w:rsidR="00FD47F5">
        <w:t xml:space="preserve">by educating, explaining and enforcing THE STANDARD. </w:t>
      </w:r>
      <w:r>
        <w:t xml:space="preserve">They comply or they’re denied access.  End of story.  </w:t>
      </w:r>
    </w:p>
    <w:p w14:paraId="05BB2A0B" w14:textId="77777777" w:rsidR="00566BF0" w:rsidRPr="00566BF0" w:rsidRDefault="00566BF0" w:rsidP="00FD47F5">
      <w:pPr>
        <w:spacing w:line="276" w:lineRule="auto"/>
        <w:jc w:val="both"/>
        <w:rPr>
          <w:sz w:val="13"/>
          <w:szCs w:val="13"/>
        </w:rPr>
      </w:pPr>
    </w:p>
    <w:p w14:paraId="20AA0FEF" w14:textId="79CDB93A" w:rsidR="00566BF0" w:rsidRDefault="00FD47F5" w:rsidP="00FD47F5">
      <w:pPr>
        <w:spacing w:line="276" w:lineRule="auto"/>
        <w:jc w:val="both"/>
      </w:pPr>
      <w:r>
        <w:t>Perhaps, in high-profile cases where</w:t>
      </w:r>
      <w:r w:rsidR="00566BF0">
        <w:t xml:space="preserve"> large numbers of both traditional and non-traditional journalists are expected, the court can initiate a simple credentialing process like this one utilized by Maricopa County government – only it would include the essence of Rule 122.  The credential informs the journalist of The Standard and binds them to it.</w:t>
      </w:r>
    </w:p>
    <w:p w14:paraId="7F7400B8" w14:textId="6447DC88" w:rsidR="00566BF0" w:rsidRDefault="00AC69E0" w:rsidP="00FD47F5">
      <w:pPr>
        <w:spacing w:line="276" w:lineRule="auto"/>
        <w:jc w:val="both"/>
      </w:pPr>
      <w:r>
        <w:rPr>
          <w:noProof/>
        </w:rPr>
        <w:drawing>
          <wp:anchor distT="0" distB="0" distL="114300" distR="114300" simplePos="0" relativeHeight="251660288" behindDoc="0" locked="0" layoutInCell="1" allowOverlap="1" wp14:anchorId="2382E1D4" wp14:editId="68B28170">
            <wp:simplePos x="0" y="0"/>
            <wp:positionH relativeFrom="column">
              <wp:posOffset>-29845</wp:posOffset>
            </wp:positionH>
            <wp:positionV relativeFrom="page">
              <wp:posOffset>5046980</wp:posOffset>
            </wp:positionV>
            <wp:extent cx="2596515" cy="3756660"/>
            <wp:effectExtent l="0" t="0" r="0" b="0"/>
            <wp:wrapSquare wrapText="bothSides"/>
            <wp:docPr id="1702118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11827" name="Picture 170211827"/>
                    <pic:cNvPicPr/>
                  </pic:nvPicPr>
                  <pic:blipFill>
                    <a:blip r:embed="rId7"/>
                    <a:stretch>
                      <a:fillRect/>
                    </a:stretch>
                  </pic:blipFill>
                  <pic:spPr>
                    <a:xfrm>
                      <a:off x="0" y="0"/>
                      <a:ext cx="2596515" cy="3756660"/>
                    </a:xfrm>
                    <a:prstGeom prst="rect">
                      <a:avLst/>
                    </a:prstGeom>
                  </pic:spPr>
                </pic:pic>
              </a:graphicData>
            </a:graphic>
            <wp14:sizeRelH relativeFrom="page">
              <wp14:pctWidth>0</wp14:pctWidth>
            </wp14:sizeRelH>
            <wp14:sizeRelV relativeFrom="page">
              <wp14:pctHeight>0</wp14:pctHeight>
            </wp14:sizeRelV>
          </wp:anchor>
        </w:drawing>
      </w:r>
    </w:p>
    <w:p w14:paraId="32DA9A51" w14:textId="01A0A48A" w:rsidR="00566BF0" w:rsidRDefault="00AC69E0" w:rsidP="00FD47F5">
      <w:pPr>
        <w:spacing w:line="276" w:lineRule="auto"/>
        <w:jc w:val="both"/>
      </w:pPr>
      <w:r>
        <w:rPr>
          <w:noProof/>
        </w:rPr>
        <w:drawing>
          <wp:anchor distT="0" distB="0" distL="114300" distR="114300" simplePos="0" relativeHeight="251661312" behindDoc="0" locked="0" layoutInCell="1" allowOverlap="1" wp14:anchorId="2FD6194F" wp14:editId="0F508DDB">
            <wp:simplePos x="0" y="0"/>
            <wp:positionH relativeFrom="column">
              <wp:posOffset>2669540</wp:posOffset>
            </wp:positionH>
            <wp:positionV relativeFrom="page">
              <wp:posOffset>5354320</wp:posOffset>
            </wp:positionV>
            <wp:extent cx="2567305" cy="2962275"/>
            <wp:effectExtent l="0" t="0" r="0" b="0"/>
            <wp:wrapSquare wrapText="bothSides"/>
            <wp:docPr id="523037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37153" name="Picture 523037153"/>
                    <pic:cNvPicPr/>
                  </pic:nvPicPr>
                  <pic:blipFill>
                    <a:blip r:embed="rId8"/>
                    <a:stretch>
                      <a:fillRect/>
                    </a:stretch>
                  </pic:blipFill>
                  <pic:spPr>
                    <a:xfrm>
                      <a:off x="0" y="0"/>
                      <a:ext cx="2567305" cy="2962275"/>
                    </a:xfrm>
                    <a:prstGeom prst="rect">
                      <a:avLst/>
                    </a:prstGeom>
                  </pic:spPr>
                </pic:pic>
              </a:graphicData>
            </a:graphic>
            <wp14:sizeRelH relativeFrom="page">
              <wp14:pctWidth>0</wp14:pctWidth>
            </wp14:sizeRelH>
            <wp14:sizeRelV relativeFrom="page">
              <wp14:pctHeight>0</wp14:pctHeight>
            </wp14:sizeRelV>
          </wp:anchor>
        </w:drawing>
      </w:r>
    </w:p>
    <w:p w14:paraId="1478A4AC" w14:textId="17ADCD10" w:rsidR="00566BF0" w:rsidRDefault="00566BF0" w:rsidP="00FD47F5">
      <w:pPr>
        <w:spacing w:line="276" w:lineRule="auto"/>
        <w:jc w:val="both"/>
      </w:pPr>
    </w:p>
    <w:p w14:paraId="4416FE25" w14:textId="77777777" w:rsidR="00C410BE" w:rsidRDefault="00566BF0" w:rsidP="001C5318">
      <w:pPr>
        <w:spacing w:line="276" w:lineRule="auto"/>
        <w:jc w:val="both"/>
      </w:pPr>
      <w:r>
        <w:t xml:space="preserve"> </w:t>
      </w:r>
    </w:p>
    <w:p w14:paraId="1EB38B2F" w14:textId="77777777" w:rsidR="00C410BE" w:rsidRDefault="00C410BE" w:rsidP="001C5318">
      <w:pPr>
        <w:spacing w:line="276" w:lineRule="auto"/>
        <w:jc w:val="both"/>
      </w:pPr>
    </w:p>
    <w:p w14:paraId="3D0ABC8B" w14:textId="77777777" w:rsidR="00C410BE" w:rsidRDefault="00C410BE" w:rsidP="001C5318">
      <w:pPr>
        <w:spacing w:line="276" w:lineRule="auto"/>
        <w:jc w:val="both"/>
      </w:pPr>
    </w:p>
    <w:p w14:paraId="11A90658" w14:textId="77777777" w:rsidR="00C410BE" w:rsidRDefault="00C410BE" w:rsidP="001C5318">
      <w:pPr>
        <w:spacing w:line="276" w:lineRule="auto"/>
        <w:jc w:val="both"/>
      </w:pPr>
    </w:p>
    <w:p w14:paraId="6CE22E01" w14:textId="77777777" w:rsidR="00C410BE" w:rsidRDefault="00C410BE" w:rsidP="001C5318">
      <w:pPr>
        <w:spacing w:line="276" w:lineRule="auto"/>
        <w:jc w:val="both"/>
      </w:pPr>
    </w:p>
    <w:p w14:paraId="2DC05C5C" w14:textId="77777777" w:rsidR="00C410BE" w:rsidRDefault="00C410BE" w:rsidP="001C5318">
      <w:pPr>
        <w:spacing w:line="276" w:lineRule="auto"/>
        <w:jc w:val="both"/>
      </w:pPr>
    </w:p>
    <w:p w14:paraId="77FF1C25" w14:textId="77777777" w:rsidR="00C410BE" w:rsidRDefault="00C410BE" w:rsidP="001C5318">
      <w:pPr>
        <w:spacing w:line="276" w:lineRule="auto"/>
        <w:jc w:val="both"/>
      </w:pPr>
    </w:p>
    <w:p w14:paraId="217D8925" w14:textId="77777777" w:rsidR="00C410BE" w:rsidRDefault="00C410BE" w:rsidP="001C5318">
      <w:pPr>
        <w:spacing w:line="276" w:lineRule="auto"/>
        <w:jc w:val="both"/>
      </w:pPr>
    </w:p>
    <w:p w14:paraId="5A9413AF" w14:textId="77777777" w:rsidR="00C410BE" w:rsidRDefault="00C410BE" w:rsidP="001C5318">
      <w:pPr>
        <w:spacing w:line="276" w:lineRule="auto"/>
        <w:jc w:val="both"/>
      </w:pPr>
    </w:p>
    <w:p w14:paraId="633C5CBD" w14:textId="77777777" w:rsidR="00C410BE" w:rsidRDefault="00C410BE" w:rsidP="001C5318">
      <w:pPr>
        <w:spacing w:line="276" w:lineRule="auto"/>
        <w:jc w:val="both"/>
      </w:pPr>
    </w:p>
    <w:p w14:paraId="34C7AE58" w14:textId="77777777" w:rsidR="00C410BE" w:rsidRDefault="00C410BE" w:rsidP="001C5318">
      <w:pPr>
        <w:spacing w:line="276" w:lineRule="auto"/>
        <w:jc w:val="both"/>
      </w:pPr>
    </w:p>
    <w:p w14:paraId="7E320582" w14:textId="77777777" w:rsidR="00C410BE" w:rsidRDefault="00C410BE" w:rsidP="001C5318">
      <w:pPr>
        <w:spacing w:line="276" w:lineRule="auto"/>
        <w:jc w:val="both"/>
      </w:pPr>
    </w:p>
    <w:p w14:paraId="04290079" w14:textId="77777777" w:rsidR="00C410BE" w:rsidRDefault="00C410BE" w:rsidP="001C5318">
      <w:pPr>
        <w:spacing w:line="276" w:lineRule="auto"/>
        <w:jc w:val="both"/>
      </w:pPr>
    </w:p>
    <w:p w14:paraId="128FEFF5" w14:textId="77777777" w:rsidR="00C410BE" w:rsidRDefault="00C410BE" w:rsidP="001C5318">
      <w:pPr>
        <w:spacing w:line="276" w:lineRule="auto"/>
        <w:jc w:val="both"/>
      </w:pPr>
    </w:p>
    <w:p w14:paraId="781C56AC" w14:textId="77777777" w:rsidR="00C410BE" w:rsidRDefault="00C410BE" w:rsidP="001C5318">
      <w:pPr>
        <w:spacing w:line="276" w:lineRule="auto"/>
        <w:jc w:val="both"/>
      </w:pPr>
    </w:p>
    <w:p w14:paraId="1DAC4245" w14:textId="77777777" w:rsidR="00C410BE" w:rsidRDefault="00C410BE" w:rsidP="001C5318">
      <w:pPr>
        <w:spacing w:line="276" w:lineRule="auto"/>
        <w:jc w:val="both"/>
      </w:pPr>
    </w:p>
    <w:p w14:paraId="57CC5919" w14:textId="77777777" w:rsidR="00C410BE" w:rsidRDefault="00C410BE" w:rsidP="001C5318">
      <w:pPr>
        <w:spacing w:line="276" w:lineRule="auto"/>
        <w:jc w:val="both"/>
      </w:pPr>
    </w:p>
    <w:p w14:paraId="1BA08064" w14:textId="77777777" w:rsidR="00C410BE" w:rsidRDefault="00C410BE" w:rsidP="001C5318">
      <w:pPr>
        <w:spacing w:line="276" w:lineRule="auto"/>
        <w:jc w:val="both"/>
      </w:pPr>
    </w:p>
    <w:p w14:paraId="2E6BBA3E" w14:textId="77777777" w:rsidR="00C410BE" w:rsidRDefault="001C5318" w:rsidP="001C5318">
      <w:pPr>
        <w:spacing w:line="276" w:lineRule="auto"/>
        <w:jc w:val="both"/>
      </w:pPr>
      <w:r>
        <w:t xml:space="preserve">In </w:t>
      </w:r>
      <w:r w:rsidR="00C410BE">
        <w:t>closing</w:t>
      </w:r>
      <w:r>
        <w:t>, since 1980 I have sent reporters and photojournalists into courthouses and courtrooms to cover proceedings, pick up documents, meet with judges and attorneys, etc.  Always, I’ve directed them to respect the law, treat judges as the highest authority</w:t>
      </w:r>
      <w:r w:rsidRPr="00234DDD">
        <w:t xml:space="preserve"> </w:t>
      </w:r>
      <w:r>
        <w:t xml:space="preserve">in the courtroom; to make certain their actions do not violate an individual’s legal rights to fair proceedings. My colleagues and competitors do the same.  </w:t>
      </w:r>
    </w:p>
    <w:p w14:paraId="7917C57A" w14:textId="77777777" w:rsidR="00C410BE" w:rsidRPr="00C410BE" w:rsidRDefault="00C410BE" w:rsidP="001C5318">
      <w:pPr>
        <w:spacing w:line="276" w:lineRule="auto"/>
        <w:jc w:val="both"/>
        <w:rPr>
          <w:sz w:val="13"/>
          <w:szCs w:val="13"/>
        </w:rPr>
      </w:pPr>
    </w:p>
    <w:p w14:paraId="338F75C7" w14:textId="75D4A055" w:rsidR="001C5318" w:rsidRDefault="001C5318" w:rsidP="001C5318">
      <w:pPr>
        <w:spacing w:line="276" w:lineRule="auto"/>
        <w:jc w:val="both"/>
      </w:pPr>
      <w:r>
        <w:t>Whenever a problem occurs, we act quickly and in collaboration with the court system to find a solution. The approach has worked extremely well for nearly 50 years. It can still function well even as technology and journalism evolve.</w:t>
      </w:r>
    </w:p>
    <w:p w14:paraId="21A621BF" w14:textId="5579F8E9" w:rsidR="001C5318" w:rsidRPr="00076856" w:rsidRDefault="001C5318" w:rsidP="001C5318">
      <w:pPr>
        <w:spacing w:line="276" w:lineRule="auto"/>
        <w:jc w:val="both"/>
        <w:rPr>
          <w:sz w:val="13"/>
          <w:szCs w:val="13"/>
        </w:rPr>
      </w:pPr>
    </w:p>
    <w:p w14:paraId="7D6956AD" w14:textId="05332B91" w:rsidR="001C5318" w:rsidRDefault="001C5318" w:rsidP="001C5318">
      <w:pPr>
        <w:spacing w:line="276" w:lineRule="auto"/>
        <w:jc w:val="both"/>
        <w:rPr>
          <w:b/>
          <w:bCs/>
          <w:u w:val="single"/>
        </w:rPr>
      </w:pPr>
      <w:r>
        <w:t xml:space="preserve">I strongly urge the Task Force to consider scrapping the latest recommendations for updating Rule 122 </w:t>
      </w:r>
      <w:r w:rsidR="00C410BE">
        <w:t xml:space="preserve">and instead </w:t>
      </w:r>
      <w:r>
        <w:t>stay with the current Rule.  Rule 122 ain’t broke.</w:t>
      </w:r>
      <w:r w:rsidR="00A2186D">
        <w:t xml:space="preserve"> </w:t>
      </w:r>
      <w:r>
        <w:t>Don’t fix it.</w:t>
      </w:r>
      <w:r w:rsidR="00A2186D">
        <w:t xml:space="preserve">  It’s </w:t>
      </w:r>
      <w:r w:rsidR="00A2186D" w:rsidRPr="00A2186D">
        <w:rPr>
          <w:b/>
          <w:bCs/>
          <w:u w:val="single"/>
        </w:rPr>
        <w:t>THE STANDARD</w:t>
      </w:r>
      <w:r w:rsidR="00A2186D">
        <w:rPr>
          <w:b/>
          <w:bCs/>
          <w:u w:val="single"/>
        </w:rPr>
        <w:t>.</w:t>
      </w:r>
    </w:p>
    <w:p w14:paraId="44B6BA24" w14:textId="6E910324" w:rsidR="00A2186D" w:rsidRDefault="00A2186D" w:rsidP="001C5318">
      <w:pPr>
        <w:spacing w:line="276" w:lineRule="auto"/>
        <w:jc w:val="both"/>
        <w:rPr>
          <w:b/>
          <w:bCs/>
          <w:u w:val="single"/>
        </w:rPr>
      </w:pPr>
    </w:p>
    <w:p w14:paraId="38E8E688" w14:textId="53772AAA" w:rsidR="00A2186D" w:rsidRDefault="00A2186D" w:rsidP="001C5318">
      <w:pPr>
        <w:spacing w:line="276" w:lineRule="auto"/>
        <w:jc w:val="both"/>
      </w:pPr>
      <w:r>
        <w:t>Submitted With Respect,</w:t>
      </w:r>
    </w:p>
    <w:p w14:paraId="4556D48C" w14:textId="3F0D704E" w:rsidR="00A2186D" w:rsidRDefault="00A2186D" w:rsidP="001C5318">
      <w:pPr>
        <w:spacing w:line="276" w:lineRule="auto"/>
        <w:jc w:val="both"/>
      </w:pPr>
    </w:p>
    <w:p w14:paraId="0EC72DCD" w14:textId="1BF09EFE" w:rsidR="00502AA9" w:rsidRDefault="00A2186D" w:rsidP="008013FF">
      <w:pPr>
        <w:spacing w:line="276" w:lineRule="auto"/>
        <w:jc w:val="both"/>
      </w:pPr>
      <w:r>
        <w:t>Mark A. Casey</w:t>
      </w:r>
    </w:p>
    <w:p w14:paraId="323BFD8E" w14:textId="5A3A0E49" w:rsidR="008013FF" w:rsidRDefault="008013FF" w:rsidP="008013FF">
      <w:pPr>
        <w:spacing w:line="276" w:lineRule="auto"/>
        <w:jc w:val="both"/>
        <w:rPr>
          <w:b/>
          <w:bCs/>
        </w:rPr>
      </w:pPr>
      <w:r>
        <w:t>Journalist</w:t>
      </w:r>
    </w:p>
    <w:p w14:paraId="0F2840D4" w14:textId="718A9512" w:rsidR="00544D11" w:rsidRDefault="00544D11" w:rsidP="00DE52FD">
      <w:pPr>
        <w:spacing w:line="276" w:lineRule="auto"/>
      </w:pPr>
    </w:p>
    <w:sectPr w:rsidR="00544D1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D9EB" w14:textId="77777777" w:rsidR="00751EF8" w:rsidRDefault="00751EF8" w:rsidP="00CC097D">
      <w:r>
        <w:separator/>
      </w:r>
    </w:p>
  </w:endnote>
  <w:endnote w:type="continuationSeparator" w:id="0">
    <w:p w14:paraId="3128606A" w14:textId="77777777" w:rsidR="00751EF8" w:rsidRDefault="00751EF8"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Body)">
    <w:altName w:val="Calibri"/>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ED3E" w14:textId="77777777" w:rsidR="009A3841" w:rsidRDefault="009A3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88E6" w14:textId="3F83CEFE" w:rsidR="00C410BE" w:rsidRPr="00246431" w:rsidRDefault="00246431">
    <w:pPr>
      <w:pStyle w:val="Footer"/>
      <w:tabs>
        <w:tab w:val="clear" w:pos="4680"/>
        <w:tab w:val="clear" w:pos="9360"/>
      </w:tabs>
      <w:jc w:val="center"/>
      <w:rPr>
        <w:caps/>
        <w:color w:val="000000" w:themeColor="text1"/>
        <w:sz w:val="16"/>
        <w:szCs w:val="16"/>
      </w:rPr>
    </w:pPr>
    <w:r w:rsidRPr="00246431">
      <w:rPr>
        <w:color w:val="000000" w:themeColor="text1"/>
        <w:sz w:val="16"/>
        <w:szCs w:val="16"/>
      </w:rPr>
      <w:t>Casey Letter RE Rule 122</w:t>
    </w:r>
  </w:p>
  <w:p w14:paraId="3458CE35" w14:textId="176AA385" w:rsidR="00C410BE" w:rsidRPr="00246431" w:rsidRDefault="00246431">
    <w:pPr>
      <w:pStyle w:val="Footer"/>
      <w:tabs>
        <w:tab w:val="clear" w:pos="4680"/>
        <w:tab w:val="clear" w:pos="9360"/>
      </w:tabs>
      <w:jc w:val="center"/>
      <w:rPr>
        <w:caps/>
        <w:color w:val="000000" w:themeColor="text1"/>
        <w:sz w:val="16"/>
        <w:szCs w:val="16"/>
      </w:rPr>
    </w:pPr>
    <w:r w:rsidRPr="00246431">
      <w:rPr>
        <w:color w:val="000000" w:themeColor="text1"/>
        <w:sz w:val="16"/>
        <w:szCs w:val="16"/>
      </w:rPr>
      <w:t>April 2026</w:t>
    </w:r>
  </w:p>
  <w:p w14:paraId="1C3F1398" w14:textId="09C0B626" w:rsidR="00C410BE" w:rsidRPr="00246431" w:rsidRDefault="00C410BE">
    <w:pPr>
      <w:pStyle w:val="Footer"/>
      <w:tabs>
        <w:tab w:val="clear" w:pos="4680"/>
        <w:tab w:val="clear" w:pos="9360"/>
      </w:tabs>
      <w:jc w:val="center"/>
      <w:rPr>
        <w:caps/>
        <w:noProof/>
        <w:color w:val="000000" w:themeColor="text1"/>
        <w:sz w:val="16"/>
        <w:szCs w:val="16"/>
      </w:rPr>
    </w:pPr>
    <w:r w:rsidRPr="00246431">
      <w:rPr>
        <w:caps/>
        <w:color w:val="000000" w:themeColor="text1"/>
        <w:sz w:val="16"/>
        <w:szCs w:val="16"/>
      </w:rPr>
      <w:fldChar w:fldCharType="begin"/>
    </w:r>
    <w:r w:rsidRPr="00246431">
      <w:rPr>
        <w:caps/>
        <w:color w:val="000000" w:themeColor="text1"/>
        <w:sz w:val="16"/>
        <w:szCs w:val="16"/>
      </w:rPr>
      <w:instrText xml:space="preserve"> PAGE   \* MERGEFORMAT </w:instrText>
    </w:r>
    <w:r w:rsidRPr="00246431">
      <w:rPr>
        <w:caps/>
        <w:color w:val="000000" w:themeColor="text1"/>
        <w:sz w:val="16"/>
        <w:szCs w:val="16"/>
      </w:rPr>
      <w:fldChar w:fldCharType="separate"/>
    </w:r>
    <w:r w:rsidRPr="00246431">
      <w:rPr>
        <w:caps/>
        <w:noProof/>
        <w:color w:val="000000" w:themeColor="text1"/>
        <w:sz w:val="16"/>
        <w:szCs w:val="16"/>
      </w:rPr>
      <w:t>2</w:t>
    </w:r>
    <w:r w:rsidRPr="00246431">
      <w:rPr>
        <w:caps/>
        <w:noProof/>
        <w:color w:val="000000" w:themeColor="text1"/>
        <w:sz w:val="16"/>
        <w:szCs w:val="16"/>
      </w:rPr>
      <w:fldChar w:fldCharType="end"/>
    </w:r>
  </w:p>
  <w:p w14:paraId="2D97DBBD" w14:textId="77777777" w:rsidR="00C410BE" w:rsidRDefault="00C41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534D" w14:textId="77777777" w:rsidR="009A3841" w:rsidRDefault="009A3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0121" w14:textId="77777777" w:rsidR="00751EF8" w:rsidRDefault="00751EF8" w:rsidP="00CC097D">
      <w:r>
        <w:separator/>
      </w:r>
    </w:p>
  </w:footnote>
  <w:footnote w:type="continuationSeparator" w:id="0">
    <w:p w14:paraId="5D5B7BEA" w14:textId="77777777" w:rsidR="00751EF8" w:rsidRDefault="00751EF8" w:rsidP="00CC0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0245" w14:textId="77777777" w:rsidR="009A3841" w:rsidRDefault="009A3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9809" w14:textId="77777777" w:rsidR="009A3841" w:rsidRDefault="009A3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8503" w14:textId="77777777" w:rsidR="009A3841" w:rsidRDefault="009A3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444"/>
    <w:multiLevelType w:val="hybridMultilevel"/>
    <w:tmpl w:val="46849A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E165B6"/>
    <w:multiLevelType w:val="hybridMultilevel"/>
    <w:tmpl w:val="191A690E"/>
    <w:lvl w:ilvl="0" w:tplc="8A960C3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D5B65"/>
    <w:multiLevelType w:val="hybridMultilevel"/>
    <w:tmpl w:val="8834A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66060"/>
    <w:multiLevelType w:val="hybridMultilevel"/>
    <w:tmpl w:val="103E8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F466C"/>
    <w:multiLevelType w:val="hybridMultilevel"/>
    <w:tmpl w:val="CBD2CD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CA28A0"/>
    <w:multiLevelType w:val="hybridMultilevel"/>
    <w:tmpl w:val="930E03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663ED"/>
    <w:multiLevelType w:val="hybridMultilevel"/>
    <w:tmpl w:val="DAB05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63A7A"/>
    <w:multiLevelType w:val="hybridMultilevel"/>
    <w:tmpl w:val="36B41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C368D"/>
    <w:multiLevelType w:val="hybridMultilevel"/>
    <w:tmpl w:val="ECCA8D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EF719D"/>
    <w:multiLevelType w:val="hybridMultilevel"/>
    <w:tmpl w:val="CA54B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32178D"/>
    <w:multiLevelType w:val="hybridMultilevel"/>
    <w:tmpl w:val="C8AE7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2B1278"/>
    <w:multiLevelType w:val="hybridMultilevel"/>
    <w:tmpl w:val="52528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873DB5"/>
    <w:multiLevelType w:val="hybridMultilevel"/>
    <w:tmpl w:val="03702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C05CEF"/>
    <w:multiLevelType w:val="hybridMultilevel"/>
    <w:tmpl w:val="F030DFDC"/>
    <w:lvl w:ilvl="0" w:tplc="823A6426">
      <w:start w:val="1"/>
      <w:numFmt w:val="decimal"/>
      <w:lvlText w:val="(%1)"/>
      <w:lvlJc w:val="left"/>
      <w:pPr>
        <w:ind w:left="1080" w:hanging="360"/>
      </w:pPr>
      <w:rPr>
        <w:rFonts w:eastAsia="Times New Roman" w:hint="default"/>
        <w:b/>
        <w:bCs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617A28"/>
    <w:multiLevelType w:val="hybridMultilevel"/>
    <w:tmpl w:val="5DDAF01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A1C54D7"/>
    <w:multiLevelType w:val="hybridMultilevel"/>
    <w:tmpl w:val="4718C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370908">
    <w:abstractNumId w:val="10"/>
  </w:num>
  <w:num w:numId="2" w16cid:durableId="696583763">
    <w:abstractNumId w:val="9"/>
  </w:num>
  <w:num w:numId="3" w16cid:durableId="945425065">
    <w:abstractNumId w:val="7"/>
  </w:num>
  <w:num w:numId="4" w16cid:durableId="1847668530">
    <w:abstractNumId w:val="8"/>
  </w:num>
  <w:num w:numId="5" w16cid:durableId="678234555">
    <w:abstractNumId w:val="0"/>
  </w:num>
  <w:num w:numId="6" w16cid:durableId="773551362">
    <w:abstractNumId w:val="3"/>
  </w:num>
  <w:num w:numId="7" w16cid:durableId="378365193">
    <w:abstractNumId w:val="2"/>
  </w:num>
  <w:num w:numId="8" w16cid:durableId="1622616370">
    <w:abstractNumId w:val="5"/>
  </w:num>
  <w:num w:numId="9" w16cid:durableId="1944264116">
    <w:abstractNumId w:val="11"/>
  </w:num>
  <w:num w:numId="10" w16cid:durableId="1444111680">
    <w:abstractNumId w:val="15"/>
  </w:num>
  <w:num w:numId="11" w16cid:durableId="1841045353">
    <w:abstractNumId w:val="4"/>
  </w:num>
  <w:num w:numId="12" w16cid:durableId="147862740">
    <w:abstractNumId w:val="12"/>
  </w:num>
  <w:num w:numId="13" w16cid:durableId="938176767">
    <w:abstractNumId w:val="6"/>
  </w:num>
  <w:num w:numId="14" w16cid:durableId="1690327618">
    <w:abstractNumId w:val="13"/>
  </w:num>
  <w:num w:numId="15" w16cid:durableId="1805924635">
    <w:abstractNumId w:val="14"/>
  </w:num>
  <w:num w:numId="16" w16cid:durableId="751246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False"/>
    <w:docVar w:name="DocIDType" w:val="AllPages"/>
  </w:docVars>
  <w:rsids>
    <w:rsidRoot w:val="00DE52FD"/>
    <w:rsid w:val="00001716"/>
    <w:rsid w:val="00030E03"/>
    <w:rsid w:val="00034A19"/>
    <w:rsid w:val="00057675"/>
    <w:rsid w:val="00062429"/>
    <w:rsid w:val="00062471"/>
    <w:rsid w:val="00063E17"/>
    <w:rsid w:val="00076046"/>
    <w:rsid w:val="00076856"/>
    <w:rsid w:val="000A026C"/>
    <w:rsid w:val="000B4890"/>
    <w:rsid w:val="000E64B1"/>
    <w:rsid w:val="00102DA5"/>
    <w:rsid w:val="00180C65"/>
    <w:rsid w:val="0018246E"/>
    <w:rsid w:val="00185B74"/>
    <w:rsid w:val="001A7CAE"/>
    <w:rsid w:val="001C5318"/>
    <w:rsid w:val="001D548D"/>
    <w:rsid w:val="001E6796"/>
    <w:rsid w:val="001F4659"/>
    <w:rsid w:val="00214E5F"/>
    <w:rsid w:val="00234DDD"/>
    <w:rsid w:val="00246431"/>
    <w:rsid w:val="002A719B"/>
    <w:rsid w:val="002B3636"/>
    <w:rsid w:val="002C1791"/>
    <w:rsid w:val="002C36E4"/>
    <w:rsid w:val="002C5FFE"/>
    <w:rsid w:val="002D562B"/>
    <w:rsid w:val="002F1559"/>
    <w:rsid w:val="00374D0A"/>
    <w:rsid w:val="00380F75"/>
    <w:rsid w:val="003975AB"/>
    <w:rsid w:val="003A3EC5"/>
    <w:rsid w:val="003F19FC"/>
    <w:rsid w:val="003F662A"/>
    <w:rsid w:val="00401188"/>
    <w:rsid w:val="00414829"/>
    <w:rsid w:val="00426F01"/>
    <w:rsid w:val="004354F5"/>
    <w:rsid w:val="00463B62"/>
    <w:rsid w:val="004C207F"/>
    <w:rsid w:val="004D1043"/>
    <w:rsid w:val="00502AA9"/>
    <w:rsid w:val="00514B45"/>
    <w:rsid w:val="00535881"/>
    <w:rsid w:val="00542EFA"/>
    <w:rsid w:val="00544D11"/>
    <w:rsid w:val="00553199"/>
    <w:rsid w:val="00566BF0"/>
    <w:rsid w:val="00577D70"/>
    <w:rsid w:val="005A4399"/>
    <w:rsid w:val="005B778B"/>
    <w:rsid w:val="005D4678"/>
    <w:rsid w:val="005F223A"/>
    <w:rsid w:val="005F7B30"/>
    <w:rsid w:val="006040DF"/>
    <w:rsid w:val="006457BB"/>
    <w:rsid w:val="00647752"/>
    <w:rsid w:val="00652667"/>
    <w:rsid w:val="006A0243"/>
    <w:rsid w:val="006C60E7"/>
    <w:rsid w:val="006E0304"/>
    <w:rsid w:val="007170B6"/>
    <w:rsid w:val="00721A78"/>
    <w:rsid w:val="00723268"/>
    <w:rsid w:val="007315A4"/>
    <w:rsid w:val="00740075"/>
    <w:rsid w:val="00742638"/>
    <w:rsid w:val="00751EF8"/>
    <w:rsid w:val="00757FC9"/>
    <w:rsid w:val="007759D5"/>
    <w:rsid w:val="007D5077"/>
    <w:rsid w:val="007F004C"/>
    <w:rsid w:val="007F4881"/>
    <w:rsid w:val="008013FF"/>
    <w:rsid w:val="0080654B"/>
    <w:rsid w:val="00816578"/>
    <w:rsid w:val="008307BA"/>
    <w:rsid w:val="008524E2"/>
    <w:rsid w:val="00864592"/>
    <w:rsid w:val="0087287B"/>
    <w:rsid w:val="00873E87"/>
    <w:rsid w:val="00885305"/>
    <w:rsid w:val="008B3BF3"/>
    <w:rsid w:val="00915489"/>
    <w:rsid w:val="00920698"/>
    <w:rsid w:val="0093411D"/>
    <w:rsid w:val="00950307"/>
    <w:rsid w:val="009A3841"/>
    <w:rsid w:val="009A512E"/>
    <w:rsid w:val="009B11FB"/>
    <w:rsid w:val="00A2186D"/>
    <w:rsid w:val="00A64468"/>
    <w:rsid w:val="00A92DC4"/>
    <w:rsid w:val="00AB07E6"/>
    <w:rsid w:val="00AC230E"/>
    <w:rsid w:val="00AC69E0"/>
    <w:rsid w:val="00B159D8"/>
    <w:rsid w:val="00B16A32"/>
    <w:rsid w:val="00B33B63"/>
    <w:rsid w:val="00B410AD"/>
    <w:rsid w:val="00B605B6"/>
    <w:rsid w:val="00B73F4B"/>
    <w:rsid w:val="00B8208B"/>
    <w:rsid w:val="00BB008F"/>
    <w:rsid w:val="00BD2252"/>
    <w:rsid w:val="00BF2E5D"/>
    <w:rsid w:val="00BF3AD8"/>
    <w:rsid w:val="00C25A85"/>
    <w:rsid w:val="00C410BE"/>
    <w:rsid w:val="00C62541"/>
    <w:rsid w:val="00C63A31"/>
    <w:rsid w:val="00C8071D"/>
    <w:rsid w:val="00CB44CA"/>
    <w:rsid w:val="00CC0920"/>
    <w:rsid w:val="00CC097D"/>
    <w:rsid w:val="00D0164B"/>
    <w:rsid w:val="00D01F20"/>
    <w:rsid w:val="00D70B73"/>
    <w:rsid w:val="00D81414"/>
    <w:rsid w:val="00D95DB3"/>
    <w:rsid w:val="00DD52AE"/>
    <w:rsid w:val="00DE4CAF"/>
    <w:rsid w:val="00DE52FD"/>
    <w:rsid w:val="00E07F77"/>
    <w:rsid w:val="00E73FAD"/>
    <w:rsid w:val="00EA5503"/>
    <w:rsid w:val="00ED29D7"/>
    <w:rsid w:val="00ED79AB"/>
    <w:rsid w:val="00F0387A"/>
    <w:rsid w:val="00F21F07"/>
    <w:rsid w:val="00F37373"/>
    <w:rsid w:val="00F80C51"/>
    <w:rsid w:val="00FA3792"/>
    <w:rsid w:val="00FB2403"/>
    <w:rsid w:val="00FC3057"/>
    <w:rsid w:val="00FD47F5"/>
    <w:rsid w:val="00FE4A87"/>
    <w:rsid w:val="00FF3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A446E"/>
  <w15:chartTrackingRefBased/>
  <w15:docId w15:val="{8339AAA2-27B6-F34E-8BA6-B71C83A8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Body)"/>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2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2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2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2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2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2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2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2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2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2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2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2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2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2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2FD"/>
    <w:rPr>
      <w:rFonts w:eastAsiaTheme="majorEastAsia" w:cstheme="majorBidi"/>
      <w:color w:val="272727" w:themeColor="text1" w:themeTint="D8"/>
    </w:rPr>
  </w:style>
  <w:style w:type="paragraph" w:styleId="Title">
    <w:name w:val="Title"/>
    <w:basedOn w:val="Normal"/>
    <w:next w:val="Normal"/>
    <w:link w:val="TitleChar"/>
    <w:uiPriority w:val="10"/>
    <w:qFormat/>
    <w:rsid w:val="00DE52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2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2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52FD"/>
    <w:rPr>
      <w:i/>
      <w:iCs/>
      <w:color w:val="404040" w:themeColor="text1" w:themeTint="BF"/>
    </w:rPr>
  </w:style>
  <w:style w:type="paragraph" w:styleId="ListParagraph">
    <w:name w:val="List Paragraph"/>
    <w:basedOn w:val="Normal"/>
    <w:uiPriority w:val="34"/>
    <w:qFormat/>
    <w:rsid w:val="00DE52FD"/>
    <w:pPr>
      <w:ind w:left="720"/>
      <w:contextualSpacing/>
    </w:pPr>
  </w:style>
  <w:style w:type="character" w:styleId="IntenseEmphasis">
    <w:name w:val="Intense Emphasis"/>
    <w:basedOn w:val="DefaultParagraphFont"/>
    <w:uiPriority w:val="21"/>
    <w:qFormat/>
    <w:rsid w:val="00DE52FD"/>
    <w:rPr>
      <w:i/>
      <w:iCs/>
      <w:color w:val="2F5496" w:themeColor="accent1" w:themeShade="BF"/>
    </w:rPr>
  </w:style>
  <w:style w:type="paragraph" w:styleId="IntenseQuote">
    <w:name w:val="Intense Quote"/>
    <w:basedOn w:val="Normal"/>
    <w:next w:val="Normal"/>
    <w:link w:val="IntenseQuoteChar"/>
    <w:uiPriority w:val="30"/>
    <w:qFormat/>
    <w:rsid w:val="00DE5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2FD"/>
    <w:rPr>
      <w:i/>
      <w:iCs/>
      <w:color w:val="2F5496" w:themeColor="accent1" w:themeShade="BF"/>
    </w:rPr>
  </w:style>
  <w:style w:type="character" w:styleId="IntenseReference">
    <w:name w:val="Intense Reference"/>
    <w:basedOn w:val="DefaultParagraphFont"/>
    <w:uiPriority w:val="32"/>
    <w:qFormat/>
    <w:rsid w:val="00DE52FD"/>
    <w:rPr>
      <w:b/>
      <w:bCs/>
      <w:smallCaps/>
      <w:color w:val="2F5496" w:themeColor="accent1" w:themeShade="BF"/>
      <w:spacing w:val="5"/>
    </w:rPr>
  </w:style>
  <w:style w:type="character" w:styleId="Hyperlink">
    <w:name w:val="Hyperlink"/>
    <w:basedOn w:val="DefaultParagraphFont"/>
    <w:uiPriority w:val="99"/>
    <w:unhideWhenUsed/>
    <w:rsid w:val="00ED29D7"/>
    <w:rPr>
      <w:color w:val="0563C1" w:themeColor="hyperlink"/>
      <w:u w:val="single"/>
    </w:rPr>
  </w:style>
  <w:style w:type="character" w:styleId="UnresolvedMention">
    <w:name w:val="Unresolved Mention"/>
    <w:basedOn w:val="DefaultParagraphFont"/>
    <w:uiPriority w:val="99"/>
    <w:semiHidden/>
    <w:unhideWhenUsed/>
    <w:rsid w:val="00ED29D7"/>
    <w:rPr>
      <w:color w:val="605E5C"/>
      <w:shd w:val="clear" w:color="auto" w:fill="E1DFDD"/>
    </w:rPr>
  </w:style>
  <w:style w:type="paragraph" w:styleId="FootnoteText">
    <w:name w:val="footnote text"/>
    <w:basedOn w:val="Normal"/>
    <w:link w:val="FootnoteTextChar"/>
    <w:uiPriority w:val="99"/>
    <w:unhideWhenUsed/>
    <w:rsid w:val="00CC097D"/>
    <w:pPr>
      <w:contextualSpacing/>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C097D"/>
    <w:rPr>
      <w:rFonts w:ascii="Times New Roman" w:eastAsia="Calibri" w:hAnsi="Times New Roman" w:cs="Times New Roman"/>
      <w:sz w:val="20"/>
      <w:szCs w:val="20"/>
    </w:rPr>
  </w:style>
  <w:style w:type="character" w:styleId="FootnoteReference">
    <w:name w:val="footnote reference"/>
    <w:uiPriority w:val="99"/>
    <w:semiHidden/>
    <w:unhideWhenUsed/>
    <w:rsid w:val="00CC097D"/>
    <w:rPr>
      <w:vertAlign w:val="superscript"/>
    </w:rPr>
  </w:style>
  <w:style w:type="paragraph" w:styleId="Header">
    <w:name w:val="header"/>
    <w:basedOn w:val="Normal"/>
    <w:link w:val="HeaderChar"/>
    <w:uiPriority w:val="99"/>
    <w:unhideWhenUsed/>
    <w:rsid w:val="00C410BE"/>
    <w:pPr>
      <w:tabs>
        <w:tab w:val="center" w:pos="4680"/>
        <w:tab w:val="right" w:pos="9360"/>
      </w:tabs>
    </w:pPr>
  </w:style>
  <w:style w:type="character" w:customStyle="1" w:styleId="HeaderChar">
    <w:name w:val="Header Char"/>
    <w:basedOn w:val="DefaultParagraphFont"/>
    <w:link w:val="Header"/>
    <w:uiPriority w:val="99"/>
    <w:rsid w:val="00C410BE"/>
  </w:style>
  <w:style w:type="paragraph" w:styleId="Footer">
    <w:name w:val="footer"/>
    <w:basedOn w:val="Normal"/>
    <w:link w:val="FooterChar"/>
    <w:uiPriority w:val="99"/>
    <w:unhideWhenUsed/>
    <w:rsid w:val="00C410BE"/>
    <w:pPr>
      <w:tabs>
        <w:tab w:val="center" w:pos="4680"/>
        <w:tab w:val="right" w:pos="9360"/>
      </w:tabs>
    </w:pPr>
  </w:style>
  <w:style w:type="character" w:customStyle="1" w:styleId="FooterChar">
    <w:name w:val="Footer Char"/>
    <w:basedOn w:val="DefaultParagraphFont"/>
    <w:link w:val="Footer"/>
    <w:uiPriority w:val="99"/>
    <w:rsid w:val="00C410BE"/>
  </w:style>
  <w:style w:type="paragraph" w:styleId="Revision">
    <w:name w:val="Revision"/>
    <w:hidden/>
    <w:uiPriority w:val="99"/>
    <w:semiHidden/>
    <w:rsid w:val="00380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1711</Words>
  <Characters>9351</Characters>
  <Application>Microsoft Office Word</Application>
  <DocSecurity>0</DocSecurity>
  <Lines>192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Casey</cp:lastModifiedBy>
  <cp:revision>3</cp:revision>
  <cp:lastPrinted>2026-04-15T20:24:00Z</cp:lastPrinted>
  <dcterms:created xsi:type="dcterms:W3CDTF">2026-04-15T20:24:00Z</dcterms:created>
  <dcterms:modified xsi:type="dcterms:W3CDTF">2026-04-15T20:24:00Z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4904-1412-0097</vt:lpwstr>
  </property>
</Properties>
</file>