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A257" w14:textId="77777777" w:rsidR="007A6DB3" w:rsidRDefault="00800BCA" w:rsidP="0046614D">
      <w:pPr>
        <w:spacing w:line="240" w:lineRule="auto"/>
        <w:rPr>
          <w:rFonts w:ascii="Times New Roman" w:hAnsi="Times New Roman"/>
          <w:sz w:val="28"/>
          <w:szCs w:val="28"/>
        </w:rPr>
      </w:pPr>
      <w:r>
        <w:rPr>
          <w:rFonts w:ascii="Times New Roman" w:hAnsi="Times New Roman"/>
          <w:sz w:val="28"/>
          <w:szCs w:val="28"/>
        </w:rPr>
        <w:t>Hon. Andrew J. Becke</w:t>
      </w:r>
    </w:p>
    <w:p w14:paraId="0091ACBD" w14:textId="77777777" w:rsidR="00A07F69" w:rsidRPr="00E419FB" w:rsidRDefault="00A07F69" w:rsidP="0046614D">
      <w:pPr>
        <w:spacing w:line="240" w:lineRule="auto"/>
        <w:rPr>
          <w:rFonts w:ascii="Times New Roman" w:hAnsi="Times New Roman"/>
          <w:sz w:val="28"/>
          <w:szCs w:val="28"/>
        </w:rPr>
      </w:pPr>
      <w:r>
        <w:rPr>
          <w:rFonts w:ascii="Times New Roman" w:hAnsi="Times New Roman"/>
          <w:sz w:val="28"/>
          <w:szCs w:val="28"/>
        </w:rPr>
        <w:t>AZ State Bar # 025362</w:t>
      </w:r>
    </w:p>
    <w:p w14:paraId="6F9C8CEC" w14:textId="77777777" w:rsidR="007A6DB3" w:rsidRPr="00E419FB" w:rsidRDefault="00800BCA" w:rsidP="0046614D">
      <w:pPr>
        <w:spacing w:line="240" w:lineRule="auto"/>
        <w:rPr>
          <w:rFonts w:ascii="Times New Roman" w:hAnsi="Times New Roman"/>
          <w:sz w:val="28"/>
          <w:szCs w:val="28"/>
        </w:rPr>
      </w:pPr>
      <w:r>
        <w:rPr>
          <w:rFonts w:ascii="Times New Roman" w:hAnsi="Times New Roman"/>
          <w:sz w:val="28"/>
          <w:szCs w:val="28"/>
        </w:rPr>
        <w:t>Vice-</w:t>
      </w:r>
      <w:r w:rsidR="00A1167A" w:rsidRPr="00E419FB">
        <w:rPr>
          <w:rFonts w:ascii="Times New Roman" w:hAnsi="Times New Roman"/>
          <w:sz w:val="28"/>
          <w:szCs w:val="28"/>
        </w:rPr>
        <w:t>Chair</w:t>
      </w:r>
      <w:r w:rsidR="008A01C2" w:rsidRPr="00E419FB">
        <w:rPr>
          <w:rFonts w:ascii="Times New Roman" w:hAnsi="Times New Roman"/>
          <w:sz w:val="28"/>
          <w:szCs w:val="28"/>
        </w:rPr>
        <w:t>, Committee on Character and Fitness</w:t>
      </w:r>
    </w:p>
    <w:p w14:paraId="63D737C3" w14:textId="77777777" w:rsidR="007A6DB3" w:rsidRPr="00E419FB" w:rsidRDefault="008A01C2" w:rsidP="0046614D">
      <w:pPr>
        <w:spacing w:line="240" w:lineRule="auto"/>
        <w:rPr>
          <w:rFonts w:ascii="Times New Roman" w:hAnsi="Times New Roman"/>
          <w:sz w:val="28"/>
          <w:szCs w:val="28"/>
        </w:rPr>
      </w:pPr>
      <w:r w:rsidRPr="00E419FB">
        <w:rPr>
          <w:rFonts w:ascii="Times New Roman" w:hAnsi="Times New Roman"/>
          <w:sz w:val="28"/>
          <w:szCs w:val="28"/>
        </w:rPr>
        <w:t>Supreme Court, State of Arizona</w:t>
      </w:r>
    </w:p>
    <w:p w14:paraId="52832D26" w14:textId="77777777" w:rsidR="007A6DB3" w:rsidRPr="00E419FB" w:rsidRDefault="008A01C2" w:rsidP="0046614D">
      <w:pPr>
        <w:spacing w:line="240" w:lineRule="auto"/>
        <w:rPr>
          <w:rFonts w:ascii="Times New Roman" w:hAnsi="Times New Roman"/>
          <w:sz w:val="28"/>
          <w:szCs w:val="28"/>
        </w:rPr>
      </w:pPr>
      <w:r w:rsidRPr="00E419FB">
        <w:rPr>
          <w:rFonts w:ascii="Times New Roman" w:hAnsi="Times New Roman"/>
          <w:sz w:val="28"/>
          <w:szCs w:val="28"/>
        </w:rPr>
        <w:t>1501 W. Washington, Suite 104</w:t>
      </w:r>
    </w:p>
    <w:p w14:paraId="0D67E792" w14:textId="77777777" w:rsidR="007A6DB3" w:rsidRPr="00E419FB" w:rsidRDefault="008A01C2" w:rsidP="0046614D">
      <w:pPr>
        <w:spacing w:line="240" w:lineRule="auto"/>
        <w:rPr>
          <w:rFonts w:ascii="Times New Roman" w:hAnsi="Times New Roman"/>
          <w:sz w:val="28"/>
          <w:szCs w:val="28"/>
        </w:rPr>
      </w:pPr>
      <w:r w:rsidRPr="00E419FB">
        <w:rPr>
          <w:rFonts w:ascii="Times New Roman" w:hAnsi="Times New Roman"/>
          <w:sz w:val="28"/>
          <w:szCs w:val="28"/>
        </w:rPr>
        <w:t>Phoenix, AZ 85007</w:t>
      </w:r>
    </w:p>
    <w:p w14:paraId="662B7A91" w14:textId="77777777" w:rsidR="007A6DB3" w:rsidRDefault="007A6DB3" w:rsidP="0046614D">
      <w:pPr>
        <w:pStyle w:val="AttorneyName"/>
        <w:spacing w:line="240" w:lineRule="auto"/>
        <w:jc w:val="center"/>
        <w:rPr>
          <w:rFonts w:ascii="Arial" w:hAnsi="Arial" w:cs="Arial"/>
          <w:sz w:val="26"/>
          <w:szCs w:val="26"/>
        </w:rPr>
      </w:pPr>
    </w:p>
    <w:p w14:paraId="2D0A0529" w14:textId="77777777" w:rsidR="007A6DB3" w:rsidRDefault="008A01C2" w:rsidP="0046614D">
      <w:pPr>
        <w:pStyle w:val="AttorneyName"/>
        <w:spacing w:line="240" w:lineRule="auto"/>
        <w:jc w:val="center"/>
        <w:rPr>
          <w:rFonts w:ascii="Times New Roman" w:hAnsi="Times New Roman"/>
          <w:sz w:val="26"/>
          <w:szCs w:val="26"/>
        </w:rPr>
      </w:pPr>
      <w:r>
        <w:rPr>
          <w:rFonts w:ascii="Times New Roman" w:hAnsi="Times New Roman"/>
          <w:sz w:val="26"/>
          <w:szCs w:val="26"/>
        </w:rPr>
        <w:t>BEFORE THE COMMITTEE ON CHARACTER AND FITNESS</w:t>
      </w:r>
    </w:p>
    <w:p w14:paraId="7474D2BA" w14:textId="77777777" w:rsidR="007A6DB3" w:rsidRDefault="007A6DB3" w:rsidP="0046614D">
      <w:pPr>
        <w:pStyle w:val="AttorneyName"/>
        <w:spacing w:line="240" w:lineRule="auto"/>
        <w:jc w:val="center"/>
        <w:rPr>
          <w:rFonts w:ascii="Times New Roman" w:hAnsi="Times New Roman"/>
          <w:sz w:val="26"/>
          <w:szCs w:val="26"/>
        </w:rPr>
      </w:pPr>
    </w:p>
    <w:p w14:paraId="40C52BCC" w14:textId="77777777" w:rsidR="007A6DB3" w:rsidRDefault="008A01C2" w:rsidP="0046614D">
      <w:pPr>
        <w:pStyle w:val="AttorneyName"/>
        <w:spacing w:line="240" w:lineRule="auto"/>
        <w:jc w:val="center"/>
        <w:rPr>
          <w:rFonts w:ascii="Times New Roman" w:hAnsi="Times New Roman"/>
          <w:sz w:val="26"/>
          <w:szCs w:val="26"/>
        </w:rPr>
      </w:pPr>
      <w:r>
        <w:rPr>
          <w:rFonts w:ascii="Times New Roman" w:hAnsi="Times New Roman"/>
          <w:sz w:val="26"/>
          <w:szCs w:val="26"/>
        </w:rPr>
        <w:t>OF THE SUPREME COURT OF ARIZONA</w:t>
      </w:r>
    </w:p>
    <w:p w14:paraId="672DFF42" w14:textId="77777777" w:rsidR="00BA793D" w:rsidRDefault="00BA793D" w:rsidP="0046614D">
      <w:pPr>
        <w:pStyle w:val="AttorneyName"/>
        <w:spacing w:line="240" w:lineRule="auto"/>
        <w:jc w:val="center"/>
        <w:rPr>
          <w:rFonts w:ascii="Times New Roman" w:hAnsi="Times New Roman"/>
          <w:sz w:val="26"/>
          <w:szCs w:val="26"/>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D5247C" w14:paraId="1760BD0F" w14:textId="77777777" w:rsidTr="00455DE2">
        <w:trPr>
          <w:trHeight w:val="1788"/>
        </w:trPr>
        <w:tc>
          <w:tcPr>
            <w:tcW w:w="4542" w:type="dxa"/>
            <w:tcBorders>
              <w:top w:val="nil"/>
              <w:left w:val="nil"/>
              <w:bottom w:val="single" w:sz="4" w:space="0" w:color="auto"/>
              <w:right w:val="nil"/>
            </w:tcBorders>
          </w:tcPr>
          <w:p w14:paraId="6AA6721F" w14:textId="77777777" w:rsidR="007A6DB3" w:rsidRDefault="008A01C2" w:rsidP="0046614D">
            <w:pPr>
              <w:spacing w:line="240" w:lineRule="auto"/>
              <w:rPr>
                <w:rFonts w:ascii="Times New Roman" w:hAnsi="Times New Roman"/>
                <w:sz w:val="26"/>
                <w:szCs w:val="26"/>
              </w:rPr>
            </w:pPr>
            <w:r>
              <w:rPr>
                <w:rFonts w:ascii="Times New Roman" w:hAnsi="Times New Roman"/>
                <w:sz w:val="26"/>
                <w:szCs w:val="26"/>
              </w:rPr>
              <w:t>In the Matter of:</w:t>
            </w:r>
          </w:p>
          <w:p w14:paraId="0E7505BA" w14:textId="77777777" w:rsidR="007A6DB3" w:rsidRDefault="007A6DB3" w:rsidP="0046614D">
            <w:pPr>
              <w:spacing w:line="240" w:lineRule="auto"/>
              <w:ind w:firstLine="720"/>
              <w:rPr>
                <w:rFonts w:ascii="Times New Roman" w:hAnsi="Times New Roman"/>
                <w:sz w:val="26"/>
                <w:szCs w:val="26"/>
              </w:rPr>
            </w:pPr>
          </w:p>
          <w:p w14:paraId="3A696AB7" w14:textId="77777777" w:rsidR="00C2467E" w:rsidRDefault="00C2467E" w:rsidP="0046614D">
            <w:pPr>
              <w:spacing w:line="240" w:lineRule="auto"/>
              <w:ind w:firstLine="720"/>
              <w:rPr>
                <w:rFonts w:ascii="Times New Roman" w:hAnsi="Times New Roman"/>
                <w:sz w:val="26"/>
                <w:szCs w:val="26"/>
              </w:rPr>
            </w:pPr>
          </w:p>
          <w:p w14:paraId="792FC685" w14:textId="77777777" w:rsidR="007747FC" w:rsidRDefault="007747FC" w:rsidP="0046614D">
            <w:pPr>
              <w:spacing w:line="240" w:lineRule="auto"/>
              <w:ind w:firstLine="270"/>
              <w:rPr>
                <w:rFonts w:ascii="Times New Roman" w:hAnsi="Times New Roman"/>
                <w:caps/>
                <w:sz w:val="26"/>
                <w:szCs w:val="26"/>
              </w:rPr>
            </w:pPr>
            <w:r>
              <w:rPr>
                <w:rFonts w:ascii="Times New Roman" w:hAnsi="Times New Roman"/>
                <w:caps/>
                <w:sz w:val="26"/>
                <w:szCs w:val="26"/>
              </w:rPr>
              <w:t>PETITION TO AMEND SUPREME</w:t>
            </w:r>
          </w:p>
          <w:p w14:paraId="38DFC691" w14:textId="77777777" w:rsidR="007A6DB3" w:rsidRDefault="007747FC" w:rsidP="0046614D">
            <w:pPr>
              <w:spacing w:line="240" w:lineRule="auto"/>
              <w:ind w:firstLine="270"/>
              <w:rPr>
                <w:rFonts w:ascii="Times New Roman" w:hAnsi="Times New Roman"/>
                <w:caps/>
                <w:sz w:val="26"/>
                <w:szCs w:val="26"/>
              </w:rPr>
            </w:pPr>
            <w:r>
              <w:rPr>
                <w:rFonts w:ascii="Times New Roman" w:hAnsi="Times New Roman"/>
                <w:caps/>
                <w:sz w:val="26"/>
                <w:szCs w:val="26"/>
              </w:rPr>
              <w:t>court rule 34(</w:t>
            </w:r>
            <w:r w:rsidR="00800BCA">
              <w:rPr>
                <w:rFonts w:ascii="Times New Roman" w:hAnsi="Times New Roman"/>
                <w:sz w:val="26"/>
                <w:szCs w:val="26"/>
              </w:rPr>
              <w:t>e</w:t>
            </w:r>
            <w:r>
              <w:rPr>
                <w:rFonts w:ascii="Times New Roman" w:hAnsi="Times New Roman"/>
                <w:caps/>
                <w:sz w:val="26"/>
                <w:szCs w:val="26"/>
              </w:rPr>
              <w:t>)</w:t>
            </w:r>
            <w:r w:rsidR="00187E8E">
              <w:rPr>
                <w:rFonts w:ascii="Times New Roman" w:hAnsi="Times New Roman"/>
                <w:caps/>
                <w:sz w:val="26"/>
                <w:szCs w:val="26"/>
              </w:rPr>
              <w:t xml:space="preserve"> </w:t>
            </w:r>
          </w:p>
          <w:p w14:paraId="7BD17207" w14:textId="77777777" w:rsidR="007A6DB3" w:rsidRDefault="007A6DB3" w:rsidP="0046614D">
            <w:pPr>
              <w:spacing w:line="240" w:lineRule="auto"/>
              <w:ind w:firstLine="720"/>
              <w:rPr>
                <w:rFonts w:ascii="Times New Roman" w:hAnsi="Times New Roman"/>
                <w:sz w:val="26"/>
                <w:szCs w:val="26"/>
              </w:rPr>
            </w:pPr>
          </w:p>
          <w:p w14:paraId="2D107014" w14:textId="77777777" w:rsidR="00C2467E" w:rsidRDefault="00C2467E" w:rsidP="0046614D">
            <w:pPr>
              <w:spacing w:line="240" w:lineRule="auto"/>
              <w:ind w:firstLine="720"/>
              <w:rPr>
                <w:rFonts w:ascii="Times New Roman" w:hAnsi="Times New Roman"/>
                <w:sz w:val="26"/>
                <w:szCs w:val="26"/>
              </w:rPr>
            </w:pPr>
          </w:p>
          <w:p w14:paraId="6AA87AB7" w14:textId="77777777" w:rsidR="007A6DB3" w:rsidRDefault="007A6DB3" w:rsidP="007747FC">
            <w:pPr>
              <w:spacing w:line="240" w:lineRule="auto"/>
              <w:rPr>
                <w:rFonts w:ascii="Times New Roman" w:hAnsi="Times New Roman"/>
                <w:sz w:val="26"/>
                <w:szCs w:val="26"/>
              </w:rPr>
            </w:pPr>
          </w:p>
        </w:tc>
        <w:tc>
          <w:tcPr>
            <w:tcW w:w="276" w:type="dxa"/>
          </w:tcPr>
          <w:p w14:paraId="5C78BB4F"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1EB6B711"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6299DA32"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435493E5"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1EBA88F7"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75253E39"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30D11063"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5F6E6D38" w14:textId="77777777" w:rsidR="007A6DB3"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p w14:paraId="2A60F395" w14:textId="77777777" w:rsidR="00C2467E" w:rsidRDefault="008A01C2" w:rsidP="0046614D">
            <w:pPr>
              <w:pStyle w:val="SingleSpacing"/>
              <w:spacing w:line="240" w:lineRule="auto"/>
              <w:rPr>
                <w:rFonts w:ascii="Times New Roman" w:hAnsi="Times New Roman"/>
                <w:sz w:val="26"/>
                <w:szCs w:val="26"/>
              </w:rPr>
            </w:pPr>
            <w:r>
              <w:rPr>
                <w:rFonts w:ascii="Times New Roman" w:hAnsi="Times New Roman"/>
                <w:sz w:val="26"/>
                <w:szCs w:val="26"/>
              </w:rPr>
              <w:t>)</w:t>
            </w:r>
          </w:p>
        </w:tc>
        <w:tc>
          <w:tcPr>
            <w:tcW w:w="4542" w:type="dxa"/>
          </w:tcPr>
          <w:p w14:paraId="646D66BB" w14:textId="77777777" w:rsidR="00664BAA" w:rsidRDefault="007747FC" w:rsidP="0046614D">
            <w:pPr>
              <w:pStyle w:val="SingleSpacing"/>
              <w:spacing w:line="240" w:lineRule="auto"/>
              <w:ind w:left="222"/>
              <w:rPr>
                <w:rFonts w:ascii="Times New Roman" w:hAnsi="Times New Roman"/>
                <w:sz w:val="26"/>
                <w:szCs w:val="26"/>
              </w:rPr>
            </w:pPr>
            <w:r>
              <w:rPr>
                <w:rFonts w:ascii="Times New Roman" w:hAnsi="Times New Roman"/>
                <w:sz w:val="26"/>
                <w:szCs w:val="26"/>
              </w:rPr>
              <w:t>R</w:t>
            </w:r>
            <w:r w:rsidR="0021192E" w:rsidRPr="0021192E">
              <w:rPr>
                <w:rFonts w:ascii="Times New Roman" w:hAnsi="Times New Roman"/>
                <w:sz w:val="26"/>
                <w:szCs w:val="26"/>
              </w:rPr>
              <w:t>-</w:t>
            </w:r>
            <w:r w:rsidR="00800BCA">
              <w:rPr>
                <w:rFonts w:ascii="Times New Roman" w:hAnsi="Times New Roman"/>
                <w:sz w:val="26"/>
                <w:szCs w:val="26"/>
              </w:rPr>
              <w:t>26-0006</w:t>
            </w:r>
          </w:p>
          <w:p w14:paraId="540AF856" w14:textId="77777777" w:rsidR="00C2467E" w:rsidRDefault="00C2467E" w:rsidP="0046614D">
            <w:pPr>
              <w:pStyle w:val="SingleSpacing"/>
              <w:spacing w:line="240" w:lineRule="auto"/>
              <w:ind w:left="222"/>
              <w:rPr>
                <w:rFonts w:ascii="Times New Roman" w:hAnsi="Times New Roman"/>
                <w:sz w:val="26"/>
                <w:szCs w:val="26"/>
              </w:rPr>
            </w:pPr>
          </w:p>
          <w:p w14:paraId="43E5E45E" w14:textId="77777777" w:rsidR="00117BC5" w:rsidRDefault="00187E8E" w:rsidP="0046614D">
            <w:pPr>
              <w:spacing w:line="240" w:lineRule="auto"/>
              <w:ind w:left="187"/>
              <w:rPr>
                <w:rFonts w:ascii="Times New Roman" w:hAnsi="Times New Roman"/>
                <w:b/>
                <w:sz w:val="26"/>
                <w:szCs w:val="26"/>
              </w:rPr>
            </w:pPr>
            <w:r w:rsidRPr="00187E8E">
              <w:rPr>
                <w:rFonts w:ascii="Times New Roman" w:hAnsi="Times New Roman"/>
                <w:b/>
                <w:sz w:val="26"/>
                <w:szCs w:val="26"/>
              </w:rPr>
              <w:t>RESPON</w:t>
            </w:r>
            <w:r w:rsidR="00CA1E89">
              <w:rPr>
                <w:rFonts w:ascii="Times New Roman" w:hAnsi="Times New Roman"/>
                <w:b/>
                <w:sz w:val="26"/>
                <w:szCs w:val="26"/>
              </w:rPr>
              <w:t>S</w:t>
            </w:r>
            <w:r w:rsidRPr="00187E8E">
              <w:rPr>
                <w:rFonts w:ascii="Times New Roman" w:hAnsi="Times New Roman"/>
                <w:b/>
                <w:sz w:val="26"/>
                <w:szCs w:val="26"/>
              </w:rPr>
              <w:t xml:space="preserve">E TO </w:t>
            </w:r>
            <w:r w:rsidR="008A01C2">
              <w:rPr>
                <w:rFonts w:ascii="Times New Roman" w:hAnsi="Times New Roman"/>
                <w:b/>
                <w:sz w:val="26"/>
                <w:szCs w:val="26"/>
              </w:rPr>
              <w:t xml:space="preserve">PETITION </w:t>
            </w:r>
            <w:r w:rsidR="007747FC">
              <w:rPr>
                <w:rFonts w:ascii="Times New Roman" w:hAnsi="Times New Roman"/>
                <w:b/>
                <w:sz w:val="26"/>
                <w:szCs w:val="26"/>
              </w:rPr>
              <w:t>TO AMEND RULE 34(</w:t>
            </w:r>
            <w:r w:rsidR="00800BCA">
              <w:rPr>
                <w:rFonts w:ascii="Times New Roman" w:hAnsi="Times New Roman"/>
                <w:b/>
                <w:sz w:val="26"/>
                <w:szCs w:val="26"/>
              </w:rPr>
              <w:t>e</w:t>
            </w:r>
            <w:r w:rsidR="007747FC">
              <w:rPr>
                <w:rFonts w:ascii="Times New Roman" w:hAnsi="Times New Roman"/>
                <w:b/>
                <w:sz w:val="26"/>
                <w:szCs w:val="26"/>
              </w:rPr>
              <w:t>), RULES OF THE SUPREME COURT</w:t>
            </w:r>
            <w:r w:rsidR="008A01C2">
              <w:rPr>
                <w:rFonts w:ascii="Times New Roman" w:hAnsi="Times New Roman"/>
                <w:b/>
                <w:sz w:val="26"/>
                <w:szCs w:val="26"/>
              </w:rPr>
              <w:t xml:space="preserve"> </w:t>
            </w:r>
          </w:p>
          <w:p w14:paraId="6576BDEB" w14:textId="77777777" w:rsidR="007A6DB3" w:rsidRDefault="007A6DB3" w:rsidP="007747FC">
            <w:pPr>
              <w:spacing w:line="240" w:lineRule="auto"/>
              <w:ind w:left="187"/>
              <w:rPr>
                <w:rFonts w:ascii="Times New Roman" w:hAnsi="Times New Roman"/>
                <w:sz w:val="26"/>
                <w:szCs w:val="26"/>
              </w:rPr>
            </w:pPr>
          </w:p>
        </w:tc>
      </w:tr>
    </w:tbl>
    <w:p w14:paraId="7541B65F" w14:textId="77777777" w:rsidR="00A56C8F" w:rsidRDefault="00A56C8F" w:rsidP="00A56C8F">
      <w:pPr>
        <w:pStyle w:val="BodyText"/>
        <w:spacing w:after="0"/>
        <w:contextualSpacing/>
        <w:rPr>
          <w:sz w:val="28"/>
          <w:szCs w:val="28"/>
        </w:rPr>
      </w:pPr>
    </w:p>
    <w:p w14:paraId="74FE571D" w14:textId="0B13BCA1" w:rsidR="005674D8" w:rsidRDefault="007747FC" w:rsidP="00A56C8F">
      <w:pPr>
        <w:pStyle w:val="BodyText"/>
        <w:spacing w:after="0" w:line="480" w:lineRule="auto"/>
        <w:contextualSpacing/>
        <w:rPr>
          <w:sz w:val="28"/>
          <w:szCs w:val="28"/>
        </w:rPr>
      </w:pPr>
      <w:r>
        <w:rPr>
          <w:sz w:val="28"/>
          <w:szCs w:val="28"/>
        </w:rPr>
        <w:tab/>
      </w:r>
      <w:r w:rsidR="008A01C2" w:rsidRPr="00CE4C9F">
        <w:rPr>
          <w:sz w:val="28"/>
          <w:szCs w:val="28"/>
        </w:rPr>
        <w:t>The Arizona Supreme Court Committee on Character and Fitness (</w:t>
      </w:r>
      <w:r w:rsidR="004F5A19">
        <w:rPr>
          <w:sz w:val="28"/>
          <w:szCs w:val="28"/>
        </w:rPr>
        <w:t>“</w:t>
      </w:r>
      <w:r w:rsidR="008A01C2" w:rsidRPr="00CE4C9F">
        <w:rPr>
          <w:sz w:val="28"/>
          <w:szCs w:val="28"/>
        </w:rPr>
        <w:t>Committee</w:t>
      </w:r>
      <w:r w:rsidR="004F5A19">
        <w:rPr>
          <w:sz w:val="28"/>
          <w:szCs w:val="28"/>
        </w:rPr>
        <w:t>”</w:t>
      </w:r>
      <w:r w:rsidR="008A01C2" w:rsidRPr="00CE4C9F">
        <w:rPr>
          <w:sz w:val="28"/>
          <w:szCs w:val="28"/>
        </w:rPr>
        <w:t xml:space="preserve">) responds to the Petition </w:t>
      </w:r>
      <w:r>
        <w:rPr>
          <w:sz w:val="28"/>
          <w:szCs w:val="28"/>
        </w:rPr>
        <w:t xml:space="preserve">to Amend </w:t>
      </w:r>
      <w:hyperlink r:id="rId11" w:history="1">
        <w:r w:rsidRPr="00BF45C8">
          <w:rPr>
            <w:rStyle w:val="Hyperlink"/>
            <w:sz w:val="28"/>
            <w:szCs w:val="28"/>
          </w:rPr>
          <w:t>Rule 34(</w:t>
        </w:r>
        <w:r w:rsidR="00800BCA" w:rsidRPr="00BF45C8">
          <w:rPr>
            <w:rStyle w:val="Hyperlink"/>
            <w:sz w:val="28"/>
            <w:szCs w:val="28"/>
          </w:rPr>
          <w:t>e</w:t>
        </w:r>
        <w:r w:rsidRPr="00BF45C8">
          <w:rPr>
            <w:rStyle w:val="Hyperlink"/>
            <w:sz w:val="28"/>
            <w:szCs w:val="28"/>
          </w:rPr>
          <w:t>)</w:t>
        </w:r>
      </w:hyperlink>
      <w:r>
        <w:rPr>
          <w:sz w:val="28"/>
          <w:szCs w:val="28"/>
        </w:rPr>
        <w:t xml:space="preserve">, Rules of the Supreme Court </w:t>
      </w:r>
      <w:r w:rsidR="008A01C2" w:rsidRPr="00CE4C9F">
        <w:rPr>
          <w:sz w:val="28"/>
          <w:szCs w:val="28"/>
        </w:rPr>
        <w:t>(</w:t>
      </w:r>
      <w:r w:rsidR="004F5A19">
        <w:rPr>
          <w:sz w:val="28"/>
          <w:szCs w:val="28"/>
        </w:rPr>
        <w:t>“</w:t>
      </w:r>
      <w:r w:rsidR="008A01C2" w:rsidRPr="00CE4C9F">
        <w:rPr>
          <w:sz w:val="28"/>
          <w:szCs w:val="28"/>
        </w:rPr>
        <w:t>Petition</w:t>
      </w:r>
      <w:r w:rsidR="004F5A19">
        <w:rPr>
          <w:sz w:val="28"/>
          <w:szCs w:val="28"/>
        </w:rPr>
        <w:t>”</w:t>
      </w:r>
      <w:r w:rsidR="008A01C2" w:rsidRPr="00CE4C9F">
        <w:rPr>
          <w:sz w:val="28"/>
          <w:szCs w:val="28"/>
        </w:rPr>
        <w:t xml:space="preserve">) filed by </w:t>
      </w:r>
      <w:r>
        <w:rPr>
          <w:sz w:val="28"/>
          <w:szCs w:val="28"/>
        </w:rPr>
        <w:t>Jonathan Riches, Timothy Sandefur, and Adam Shelton, individually and on behalf of the Goldwater Institute</w:t>
      </w:r>
      <w:r w:rsidR="00825BD6">
        <w:rPr>
          <w:sz w:val="28"/>
          <w:szCs w:val="28"/>
        </w:rPr>
        <w:t xml:space="preserve"> </w:t>
      </w:r>
      <w:r w:rsidR="008A01C2" w:rsidRPr="00CE4C9F">
        <w:rPr>
          <w:sz w:val="28"/>
          <w:szCs w:val="28"/>
        </w:rPr>
        <w:t>(</w:t>
      </w:r>
      <w:r w:rsidR="004F5A19">
        <w:rPr>
          <w:sz w:val="28"/>
          <w:szCs w:val="28"/>
        </w:rPr>
        <w:t>“</w:t>
      </w:r>
      <w:r w:rsidR="00D2650D">
        <w:rPr>
          <w:sz w:val="28"/>
          <w:szCs w:val="28"/>
        </w:rPr>
        <w:t>Petitioners</w:t>
      </w:r>
      <w:r w:rsidR="004F5A19">
        <w:rPr>
          <w:sz w:val="28"/>
          <w:szCs w:val="28"/>
        </w:rPr>
        <w:t>”</w:t>
      </w:r>
      <w:r w:rsidR="008A01C2" w:rsidRPr="00CE4C9F">
        <w:rPr>
          <w:sz w:val="28"/>
          <w:szCs w:val="28"/>
        </w:rPr>
        <w:t>)</w:t>
      </w:r>
      <w:r w:rsidR="00825BD6">
        <w:rPr>
          <w:sz w:val="28"/>
          <w:szCs w:val="28"/>
        </w:rPr>
        <w:t xml:space="preserve">. </w:t>
      </w:r>
      <w:r w:rsidR="00604E53">
        <w:rPr>
          <w:sz w:val="28"/>
          <w:szCs w:val="28"/>
        </w:rPr>
        <w:t>Petitioners seek to amend</w:t>
      </w:r>
      <w:r w:rsidR="00791A3C">
        <w:rPr>
          <w:sz w:val="28"/>
          <w:szCs w:val="28"/>
        </w:rPr>
        <w:t xml:space="preserve"> </w:t>
      </w:r>
      <w:hyperlink r:id="rId12" w:history="1">
        <w:r w:rsidR="00CC03FE" w:rsidRPr="00BF45C8">
          <w:rPr>
            <w:rStyle w:val="Hyperlink"/>
            <w:sz w:val="28"/>
            <w:szCs w:val="28"/>
          </w:rPr>
          <w:t>R</w:t>
        </w:r>
        <w:r w:rsidR="00791A3C" w:rsidRPr="00BF45C8">
          <w:rPr>
            <w:rStyle w:val="Hyperlink"/>
            <w:sz w:val="28"/>
            <w:szCs w:val="28"/>
          </w:rPr>
          <w:t>ule 34(</w:t>
        </w:r>
        <w:r w:rsidR="00800BCA" w:rsidRPr="00BF45C8">
          <w:rPr>
            <w:rStyle w:val="Hyperlink"/>
            <w:sz w:val="28"/>
            <w:szCs w:val="28"/>
          </w:rPr>
          <w:t>e</w:t>
        </w:r>
        <w:r w:rsidR="00791A3C" w:rsidRPr="00BF45C8">
          <w:rPr>
            <w:rStyle w:val="Hyperlink"/>
            <w:sz w:val="28"/>
            <w:szCs w:val="28"/>
          </w:rPr>
          <w:t>)</w:t>
        </w:r>
      </w:hyperlink>
      <w:r w:rsidR="00791A3C">
        <w:rPr>
          <w:sz w:val="28"/>
          <w:szCs w:val="28"/>
        </w:rPr>
        <w:t xml:space="preserve"> </w:t>
      </w:r>
      <w:r w:rsidR="002B6DA7" w:rsidRPr="002B6DA7">
        <w:rPr>
          <w:sz w:val="28"/>
          <w:szCs w:val="28"/>
        </w:rPr>
        <w:t>of the Rules of the Supreme Court of Arizona</w:t>
      </w:r>
      <w:r w:rsidR="00604E53">
        <w:rPr>
          <w:sz w:val="28"/>
          <w:szCs w:val="28"/>
        </w:rPr>
        <w:t>, which governs the methods of admission for attorneys who are licensed in other states to practice law in Arizona</w:t>
      </w:r>
      <w:r w:rsidR="00791A3C">
        <w:rPr>
          <w:sz w:val="28"/>
          <w:szCs w:val="28"/>
        </w:rPr>
        <w:t xml:space="preserve">. </w:t>
      </w:r>
      <w:r w:rsidR="00604E53">
        <w:rPr>
          <w:sz w:val="28"/>
          <w:szCs w:val="28"/>
        </w:rPr>
        <w:t>(Petition at 1)</w:t>
      </w:r>
      <w:r w:rsidR="00800BCA">
        <w:rPr>
          <w:sz w:val="28"/>
          <w:szCs w:val="28"/>
        </w:rPr>
        <w:t>.</w:t>
      </w:r>
      <w:r w:rsidR="002B6DA7" w:rsidRPr="002B6DA7">
        <w:rPr>
          <w:sz w:val="28"/>
          <w:szCs w:val="28"/>
        </w:rPr>
        <w:t xml:space="preserve"> </w:t>
      </w:r>
    </w:p>
    <w:p w14:paraId="5C60F66F" w14:textId="77777777" w:rsidR="004E1056" w:rsidRDefault="00604E53" w:rsidP="005674D8">
      <w:pPr>
        <w:pStyle w:val="BodyText"/>
        <w:numPr>
          <w:ilvl w:val="0"/>
          <w:numId w:val="10"/>
        </w:numPr>
        <w:spacing w:after="0" w:line="480" w:lineRule="auto"/>
        <w:contextualSpacing/>
        <w:rPr>
          <w:b/>
          <w:bCs/>
          <w:sz w:val="28"/>
          <w:szCs w:val="28"/>
        </w:rPr>
      </w:pPr>
      <w:r>
        <w:rPr>
          <w:b/>
          <w:bCs/>
          <w:sz w:val="28"/>
          <w:szCs w:val="28"/>
        </w:rPr>
        <w:t>Proposed Amendments</w:t>
      </w:r>
    </w:p>
    <w:p w14:paraId="0EDAE6C1" w14:textId="77777777" w:rsidR="00EE6D00" w:rsidRDefault="00604E53" w:rsidP="00604E53">
      <w:pPr>
        <w:pStyle w:val="BodyText"/>
        <w:spacing w:after="0" w:line="480" w:lineRule="auto"/>
        <w:ind w:firstLine="720"/>
        <w:contextualSpacing/>
        <w:rPr>
          <w:sz w:val="28"/>
          <w:szCs w:val="28"/>
        </w:rPr>
      </w:pPr>
      <w:r>
        <w:rPr>
          <w:sz w:val="28"/>
          <w:szCs w:val="28"/>
        </w:rPr>
        <w:t>T</w:t>
      </w:r>
      <w:r w:rsidR="00D5247C">
        <w:rPr>
          <w:sz w:val="28"/>
          <w:szCs w:val="28"/>
        </w:rPr>
        <w:t>he Petition</w:t>
      </w:r>
      <w:r>
        <w:rPr>
          <w:sz w:val="28"/>
          <w:szCs w:val="28"/>
        </w:rPr>
        <w:t xml:space="preserve"> proposes four amendments that aim to broaden the applicability of admission by motion</w:t>
      </w:r>
      <w:r w:rsidR="00631CE8">
        <w:rPr>
          <w:sz w:val="28"/>
          <w:szCs w:val="28"/>
        </w:rPr>
        <w:t xml:space="preserve"> (“AOM”)</w:t>
      </w:r>
      <w:r>
        <w:rPr>
          <w:sz w:val="28"/>
          <w:szCs w:val="28"/>
        </w:rPr>
        <w:t xml:space="preserve">. </w:t>
      </w:r>
      <w:r w:rsidR="00D5247C">
        <w:rPr>
          <w:sz w:val="28"/>
          <w:szCs w:val="28"/>
        </w:rPr>
        <w:t xml:space="preserve">(Petition at </w:t>
      </w:r>
      <w:r w:rsidR="00800BCA">
        <w:rPr>
          <w:sz w:val="28"/>
          <w:szCs w:val="28"/>
        </w:rPr>
        <w:t>2</w:t>
      </w:r>
      <w:r w:rsidR="00D5247C">
        <w:rPr>
          <w:sz w:val="28"/>
          <w:szCs w:val="28"/>
        </w:rPr>
        <w:t>)</w:t>
      </w:r>
      <w:r w:rsidR="00800BCA">
        <w:rPr>
          <w:sz w:val="28"/>
          <w:szCs w:val="28"/>
        </w:rPr>
        <w:t>.</w:t>
      </w:r>
      <w:r w:rsidR="006308F5">
        <w:rPr>
          <w:sz w:val="28"/>
          <w:szCs w:val="28"/>
        </w:rPr>
        <w:t xml:space="preserve"> </w:t>
      </w:r>
    </w:p>
    <w:p w14:paraId="7ED33933" w14:textId="77777777" w:rsidR="00EB0672" w:rsidRPr="00EB0672" w:rsidRDefault="00EB0672" w:rsidP="00EB0672">
      <w:pPr>
        <w:pStyle w:val="BodyText"/>
        <w:spacing w:line="480" w:lineRule="auto"/>
        <w:ind w:firstLine="720"/>
        <w:contextualSpacing/>
        <w:rPr>
          <w:sz w:val="28"/>
          <w:szCs w:val="28"/>
        </w:rPr>
      </w:pPr>
      <w:r>
        <w:rPr>
          <w:sz w:val="28"/>
          <w:szCs w:val="28"/>
        </w:rPr>
        <w:lastRenderedPageBreak/>
        <w:t>The first proposed amendment</w:t>
      </w:r>
      <w:r w:rsidRPr="00EB0672">
        <w:rPr>
          <w:sz w:val="28"/>
          <w:szCs w:val="28"/>
        </w:rPr>
        <w:t xml:space="preserve"> remove</w:t>
      </w:r>
      <w:r>
        <w:rPr>
          <w:sz w:val="28"/>
          <w:szCs w:val="28"/>
        </w:rPr>
        <w:t>s</w:t>
      </w:r>
      <w:r w:rsidRPr="00EB0672">
        <w:rPr>
          <w:sz w:val="28"/>
          <w:szCs w:val="28"/>
        </w:rPr>
        <w:t xml:space="preserve"> the requirement that, as a condition of admission by motion, the</w:t>
      </w:r>
      <w:r>
        <w:rPr>
          <w:sz w:val="28"/>
          <w:szCs w:val="28"/>
        </w:rPr>
        <w:t xml:space="preserve"> </w:t>
      </w:r>
      <w:r w:rsidRPr="00EB0672">
        <w:rPr>
          <w:sz w:val="28"/>
          <w:szCs w:val="28"/>
        </w:rPr>
        <w:t>jurisdiction in which the attorney is licensed must offer reciprocal admission to</w:t>
      </w:r>
      <w:r>
        <w:rPr>
          <w:sz w:val="28"/>
          <w:szCs w:val="28"/>
        </w:rPr>
        <w:t xml:space="preserve"> </w:t>
      </w:r>
      <w:r w:rsidRPr="00EB0672">
        <w:rPr>
          <w:sz w:val="28"/>
          <w:szCs w:val="28"/>
        </w:rPr>
        <w:t>Arizona attorneys (</w:t>
      </w:r>
      <w:r w:rsidR="004F5A19">
        <w:rPr>
          <w:sz w:val="28"/>
          <w:szCs w:val="28"/>
        </w:rPr>
        <w:t>“</w:t>
      </w:r>
      <w:r w:rsidRPr="00EB0672">
        <w:rPr>
          <w:sz w:val="28"/>
          <w:szCs w:val="28"/>
        </w:rPr>
        <w:t>reciprocity requirement</w:t>
      </w:r>
      <w:r w:rsidR="004F5A19">
        <w:rPr>
          <w:sz w:val="28"/>
          <w:szCs w:val="28"/>
        </w:rPr>
        <w:t>”</w:t>
      </w:r>
      <w:r w:rsidRPr="00EB0672">
        <w:rPr>
          <w:sz w:val="28"/>
          <w:szCs w:val="28"/>
        </w:rPr>
        <w:t>).</w:t>
      </w:r>
    </w:p>
    <w:p w14:paraId="0846577C" w14:textId="77777777" w:rsidR="00EB0672" w:rsidRPr="00EB0672" w:rsidRDefault="00EB0672" w:rsidP="00EB0672">
      <w:pPr>
        <w:pStyle w:val="BodyText"/>
        <w:spacing w:line="480" w:lineRule="auto"/>
        <w:ind w:firstLine="720"/>
        <w:contextualSpacing/>
        <w:rPr>
          <w:sz w:val="28"/>
          <w:szCs w:val="28"/>
        </w:rPr>
      </w:pPr>
      <w:r>
        <w:rPr>
          <w:sz w:val="28"/>
          <w:szCs w:val="28"/>
        </w:rPr>
        <w:t xml:space="preserve">The second proposed amendment </w:t>
      </w:r>
      <w:r w:rsidRPr="00EB0672">
        <w:rPr>
          <w:sz w:val="28"/>
          <w:szCs w:val="28"/>
        </w:rPr>
        <w:t>eliminate</w:t>
      </w:r>
      <w:r>
        <w:rPr>
          <w:sz w:val="28"/>
          <w:szCs w:val="28"/>
        </w:rPr>
        <w:t>s</w:t>
      </w:r>
      <w:r w:rsidRPr="00EB0672">
        <w:rPr>
          <w:sz w:val="28"/>
          <w:szCs w:val="28"/>
        </w:rPr>
        <w:t xml:space="preserve"> the requirement that an attorney must have been engaged</w:t>
      </w:r>
      <w:r>
        <w:rPr>
          <w:sz w:val="28"/>
          <w:szCs w:val="28"/>
        </w:rPr>
        <w:t xml:space="preserve"> </w:t>
      </w:r>
      <w:r w:rsidRPr="00EB0672">
        <w:rPr>
          <w:sz w:val="28"/>
          <w:szCs w:val="28"/>
        </w:rPr>
        <w:t xml:space="preserve">in the </w:t>
      </w:r>
      <w:r w:rsidR="004F5A19">
        <w:rPr>
          <w:sz w:val="28"/>
          <w:szCs w:val="28"/>
        </w:rPr>
        <w:t>“</w:t>
      </w:r>
      <w:r w:rsidRPr="00EB0672">
        <w:rPr>
          <w:sz w:val="28"/>
          <w:szCs w:val="28"/>
        </w:rPr>
        <w:t>active practice of law</w:t>
      </w:r>
      <w:r w:rsidR="004F5A19">
        <w:rPr>
          <w:sz w:val="28"/>
          <w:szCs w:val="28"/>
        </w:rPr>
        <w:t>”</w:t>
      </w:r>
      <w:r w:rsidRPr="00EB0672">
        <w:rPr>
          <w:sz w:val="28"/>
          <w:szCs w:val="28"/>
        </w:rPr>
        <w:t xml:space="preserve"> for three of the past five years (</w:t>
      </w:r>
      <w:r w:rsidR="004F5A19">
        <w:rPr>
          <w:sz w:val="28"/>
          <w:szCs w:val="28"/>
        </w:rPr>
        <w:t>“</w:t>
      </w:r>
      <w:r w:rsidRPr="00EB0672">
        <w:rPr>
          <w:sz w:val="28"/>
          <w:szCs w:val="28"/>
        </w:rPr>
        <w:t>active practice</w:t>
      </w:r>
      <w:r>
        <w:rPr>
          <w:sz w:val="28"/>
          <w:szCs w:val="28"/>
        </w:rPr>
        <w:t xml:space="preserve"> </w:t>
      </w:r>
      <w:r w:rsidRPr="00EB0672">
        <w:rPr>
          <w:sz w:val="28"/>
          <w:szCs w:val="28"/>
        </w:rPr>
        <w:t>requirement</w:t>
      </w:r>
      <w:r w:rsidR="004F5A19">
        <w:rPr>
          <w:sz w:val="28"/>
          <w:szCs w:val="28"/>
        </w:rPr>
        <w:t>”</w:t>
      </w:r>
      <w:r w:rsidRPr="00EB0672">
        <w:rPr>
          <w:sz w:val="28"/>
          <w:szCs w:val="28"/>
        </w:rPr>
        <w:t>).</w:t>
      </w:r>
    </w:p>
    <w:p w14:paraId="0D96F090" w14:textId="77777777" w:rsidR="00EB0672" w:rsidRPr="00EB0672" w:rsidRDefault="00EB0672" w:rsidP="00EB0672">
      <w:pPr>
        <w:pStyle w:val="BodyText"/>
        <w:spacing w:line="480" w:lineRule="auto"/>
        <w:ind w:firstLine="720"/>
        <w:contextualSpacing/>
        <w:rPr>
          <w:sz w:val="28"/>
          <w:szCs w:val="28"/>
        </w:rPr>
      </w:pPr>
      <w:r>
        <w:rPr>
          <w:sz w:val="28"/>
          <w:szCs w:val="28"/>
        </w:rPr>
        <w:t>The third proposed amendment affects</w:t>
      </w:r>
      <w:r w:rsidRPr="00EB0672">
        <w:rPr>
          <w:sz w:val="28"/>
          <w:szCs w:val="28"/>
        </w:rPr>
        <w:t xml:space="preserve"> the juris doctor requirement for admission satisfied for certain</w:t>
      </w:r>
      <w:r>
        <w:rPr>
          <w:sz w:val="28"/>
          <w:szCs w:val="28"/>
        </w:rPr>
        <w:t xml:space="preserve"> </w:t>
      </w:r>
      <w:r w:rsidRPr="00EB0672">
        <w:rPr>
          <w:sz w:val="28"/>
          <w:szCs w:val="28"/>
        </w:rPr>
        <w:t>foreign-educated lawyers (</w:t>
      </w:r>
      <w:r w:rsidR="004F5A19">
        <w:rPr>
          <w:sz w:val="28"/>
          <w:szCs w:val="28"/>
        </w:rPr>
        <w:t>“</w:t>
      </w:r>
      <w:r w:rsidRPr="00EB0672">
        <w:rPr>
          <w:sz w:val="28"/>
          <w:szCs w:val="28"/>
        </w:rPr>
        <w:t>foreign education provision</w:t>
      </w:r>
      <w:r w:rsidR="004F5A19">
        <w:rPr>
          <w:sz w:val="28"/>
          <w:szCs w:val="28"/>
        </w:rPr>
        <w:t>”</w:t>
      </w:r>
      <w:r w:rsidRPr="00EB0672">
        <w:rPr>
          <w:sz w:val="28"/>
          <w:szCs w:val="28"/>
        </w:rPr>
        <w:t>).</w:t>
      </w:r>
    </w:p>
    <w:p w14:paraId="729786D9" w14:textId="77777777" w:rsidR="00EB0672" w:rsidRDefault="00EB0672" w:rsidP="00EB0672">
      <w:pPr>
        <w:pStyle w:val="BodyText"/>
        <w:spacing w:line="480" w:lineRule="auto"/>
        <w:ind w:firstLine="720"/>
        <w:contextualSpacing/>
        <w:rPr>
          <w:sz w:val="28"/>
          <w:szCs w:val="28"/>
        </w:rPr>
      </w:pPr>
      <w:r>
        <w:rPr>
          <w:sz w:val="28"/>
          <w:szCs w:val="28"/>
        </w:rPr>
        <w:t xml:space="preserve">The fourth and final proposed amendment </w:t>
      </w:r>
      <w:r w:rsidRPr="00EB0672">
        <w:rPr>
          <w:sz w:val="28"/>
          <w:szCs w:val="28"/>
        </w:rPr>
        <w:t>permit</w:t>
      </w:r>
      <w:r>
        <w:rPr>
          <w:sz w:val="28"/>
          <w:szCs w:val="28"/>
        </w:rPr>
        <w:t>s</w:t>
      </w:r>
      <w:r w:rsidRPr="00EB0672">
        <w:rPr>
          <w:sz w:val="28"/>
          <w:szCs w:val="28"/>
        </w:rPr>
        <w:t xml:space="preserve"> </w:t>
      </w:r>
      <w:r>
        <w:rPr>
          <w:sz w:val="28"/>
          <w:szCs w:val="28"/>
        </w:rPr>
        <w:t>at</w:t>
      </w:r>
      <w:r w:rsidRPr="00EB0672">
        <w:rPr>
          <w:sz w:val="28"/>
          <w:szCs w:val="28"/>
        </w:rPr>
        <w:t>torneys</w:t>
      </w:r>
      <w:r>
        <w:rPr>
          <w:sz w:val="28"/>
          <w:szCs w:val="28"/>
        </w:rPr>
        <w:t xml:space="preserve"> licensed in other jurisdictions</w:t>
      </w:r>
      <w:r w:rsidRPr="00EB0672">
        <w:rPr>
          <w:sz w:val="28"/>
          <w:szCs w:val="28"/>
        </w:rPr>
        <w:t xml:space="preserve"> who are in good standing in </w:t>
      </w:r>
      <w:r>
        <w:rPr>
          <w:sz w:val="28"/>
          <w:szCs w:val="28"/>
        </w:rPr>
        <w:t xml:space="preserve">those jurisdictions </w:t>
      </w:r>
      <w:r w:rsidRPr="00EB0672">
        <w:rPr>
          <w:sz w:val="28"/>
          <w:szCs w:val="28"/>
        </w:rPr>
        <w:t xml:space="preserve">to practice law in Arizona while </w:t>
      </w:r>
      <w:r>
        <w:rPr>
          <w:sz w:val="28"/>
          <w:szCs w:val="28"/>
        </w:rPr>
        <w:t>the applicant</w:t>
      </w:r>
      <w:r w:rsidR="004F5A19">
        <w:rPr>
          <w:sz w:val="28"/>
          <w:szCs w:val="28"/>
        </w:rPr>
        <w:t>’</w:t>
      </w:r>
      <w:r>
        <w:rPr>
          <w:sz w:val="28"/>
          <w:szCs w:val="28"/>
        </w:rPr>
        <w:t xml:space="preserve">s </w:t>
      </w:r>
      <w:r w:rsidRPr="00EB0672">
        <w:rPr>
          <w:sz w:val="28"/>
          <w:szCs w:val="28"/>
        </w:rPr>
        <w:t>character and fitness</w:t>
      </w:r>
      <w:r>
        <w:rPr>
          <w:sz w:val="28"/>
          <w:szCs w:val="28"/>
        </w:rPr>
        <w:t xml:space="preserve"> application is </w:t>
      </w:r>
      <w:r w:rsidRPr="00EB0672">
        <w:rPr>
          <w:sz w:val="28"/>
          <w:szCs w:val="28"/>
        </w:rPr>
        <w:t>pending</w:t>
      </w:r>
      <w:r>
        <w:rPr>
          <w:sz w:val="28"/>
          <w:szCs w:val="28"/>
        </w:rPr>
        <w:t xml:space="preserve"> before the</w:t>
      </w:r>
      <w:r w:rsidRPr="00EB0672">
        <w:rPr>
          <w:sz w:val="28"/>
          <w:szCs w:val="28"/>
        </w:rPr>
        <w:t xml:space="preserve"> Committee</w:t>
      </w:r>
      <w:r>
        <w:rPr>
          <w:sz w:val="28"/>
          <w:szCs w:val="28"/>
        </w:rPr>
        <w:t xml:space="preserve"> (</w:t>
      </w:r>
      <w:r w:rsidR="004F5A19">
        <w:rPr>
          <w:sz w:val="28"/>
          <w:szCs w:val="28"/>
        </w:rPr>
        <w:t>“</w:t>
      </w:r>
      <w:r>
        <w:rPr>
          <w:sz w:val="28"/>
          <w:szCs w:val="28"/>
        </w:rPr>
        <w:t>character and fitness pending provision</w:t>
      </w:r>
      <w:r w:rsidR="004F5A19">
        <w:rPr>
          <w:sz w:val="28"/>
          <w:szCs w:val="28"/>
        </w:rPr>
        <w:t>”</w:t>
      </w:r>
      <w:r>
        <w:rPr>
          <w:sz w:val="28"/>
          <w:szCs w:val="28"/>
        </w:rPr>
        <w:t>)</w:t>
      </w:r>
      <w:r w:rsidRPr="00EB0672">
        <w:rPr>
          <w:sz w:val="28"/>
          <w:szCs w:val="28"/>
        </w:rPr>
        <w:t>.</w:t>
      </w:r>
    </w:p>
    <w:p w14:paraId="3A1D1810" w14:textId="42B3F6BE" w:rsidR="004E1056" w:rsidRPr="006308F5" w:rsidRDefault="00ED5794" w:rsidP="00EB0672">
      <w:pPr>
        <w:pStyle w:val="BodyText"/>
        <w:spacing w:line="480" w:lineRule="auto"/>
        <w:ind w:firstLine="720"/>
        <w:contextualSpacing/>
        <w:rPr>
          <w:sz w:val="28"/>
          <w:szCs w:val="28"/>
        </w:rPr>
      </w:pPr>
      <w:r>
        <w:rPr>
          <w:sz w:val="28"/>
          <w:szCs w:val="28"/>
        </w:rPr>
        <w:t xml:space="preserve">These proposed amendments would affect </w:t>
      </w:r>
      <w:hyperlink r:id="rId13" w:history="1">
        <w:r w:rsidRPr="004A2A7F">
          <w:rPr>
            <w:rStyle w:val="Hyperlink"/>
            <w:sz w:val="28"/>
            <w:szCs w:val="28"/>
          </w:rPr>
          <w:t>Rule 34</w:t>
        </w:r>
        <w:r w:rsidR="00EB0672" w:rsidRPr="004A2A7F">
          <w:rPr>
            <w:rStyle w:val="Hyperlink"/>
            <w:sz w:val="28"/>
            <w:szCs w:val="28"/>
          </w:rPr>
          <w:t>(e)</w:t>
        </w:r>
      </w:hyperlink>
      <w:r>
        <w:rPr>
          <w:sz w:val="28"/>
          <w:szCs w:val="28"/>
        </w:rPr>
        <w:t xml:space="preserve">. </w:t>
      </w:r>
      <w:r w:rsidR="006308F5">
        <w:rPr>
          <w:sz w:val="28"/>
          <w:szCs w:val="28"/>
        </w:rPr>
        <w:t xml:space="preserve">This Court recently denied a nearly identical petition, </w:t>
      </w:r>
      <w:hyperlink r:id="rId14" w:history="1">
        <w:r w:rsidR="006308F5" w:rsidRPr="00194D7B">
          <w:rPr>
            <w:rStyle w:val="Hyperlink"/>
            <w:i/>
            <w:iCs/>
            <w:sz w:val="28"/>
            <w:szCs w:val="28"/>
          </w:rPr>
          <w:t xml:space="preserve">see </w:t>
        </w:r>
        <w:r w:rsidR="006308F5" w:rsidRPr="00194D7B">
          <w:rPr>
            <w:rStyle w:val="Hyperlink"/>
            <w:sz w:val="28"/>
            <w:szCs w:val="28"/>
          </w:rPr>
          <w:t>R-24-0028</w:t>
        </w:r>
      </w:hyperlink>
      <w:r w:rsidR="006308F5">
        <w:rPr>
          <w:sz w:val="28"/>
          <w:szCs w:val="28"/>
        </w:rPr>
        <w:t>. The Committee’s response below is largely unchanged from its response to the 2024 petition, but this response contains updated information and statistics for the Court’s consideration.</w:t>
      </w:r>
    </w:p>
    <w:p w14:paraId="0930E094" w14:textId="77777777" w:rsidR="004E1056" w:rsidRDefault="00B10866" w:rsidP="00CE1818">
      <w:pPr>
        <w:pStyle w:val="BodyText"/>
        <w:numPr>
          <w:ilvl w:val="0"/>
          <w:numId w:val="10"/>
        </w:numPr>
        <w:spacing w:after="0" w:line="480" w:lineRule="auto"/>
        <w:contextualSpacing/>
        <w:rPr>
          <w:sz w:val="28"/>
          <w:szCs w:val="28"/>
        </w:rPr>
      </w:pPr>
      <w:r>
        <w:rPr>
          <w:b/>
          <w:bCs/>
          <w:sz w:val="28"/>
          <w:szCs w:val="28"/>
        </w:rPr>
        <w:t>Response</w:t>
      </w:r>
    </w:p>
    <w:p w14:paraId="33243B2C" w14:textId="77777777" w:rsidR="0075558F" w:rsidRDefault="00A56C8F" w:rsidP="00A56C8F">
      <w:pPr>
        <w:pStyle w:val="BodyText"/>
        <w:spacing w:after="0" w:line="480" w:lineRule="auto"/>
        <w:ind w:firstLine="720"/>
        <w:contextualSpacing/>
        <w:rPr>
          <w:sz w:val="28"/>
          <w:szCs w:val="28"/>
        </w:rPr>
      </w:pPr>
      <w:r>
        <w:rPr>
          <w:sz w:val="28"/>
          <w:szCs w:val="28"/>
        </w:rPr>
        <w:t xml:space="preserve">At its annual meeting in </w:t>
      </w:r>
      <w:r w:rsidR="00F854D5">
        <w:rPr>
          <w:sz w:val="28"/>
          <w:szCs w:val="28"/>
        </w:rPr>
        <w:t xml:space="preserve">March </w:t>
      </w:r>
      <w:r>
        <w:rPr>
          <w:sz w:val="28"/>
          <w:szCs w:val="28"/>
        </w:rPr>
        <w:t>202</w:t>
      </w:r>
      <w:r w:rsidR="00F854D5">
        <w:rPr>
          <w:sz w:val="28"/>
          <w:szCs w:val="28"/>
        </w:rPr>
        <w:t>6</w:t>
      </w:r>
      <w:r>
        <w:rPr>
          <w:sz w:val="28"/>
          <w:szCs w:val="28"/>
        </w:rPr>
        <w:t xml:space="preserve">, the Committee discussed the Petition. </w:t>
      </w:r>
      <w:r w:rsidR="00DC3ED3">
        <w:rPr>
          <w:sz w:val="28"/>
          <w:szCs w:val="28"/>
        </w:rPr>
        <w:t xml:space="preserve">The </w:t>
      </w:r>
      <w:r w:rsidR="00DC3ED3" w:rsidRPr="00DC3ED3">
        <w:rPr>
          <w:sz w:val="28"/>
          <w:szCs w:val="28"/>
        </w:rPr>
        <w:t xml:space="preserve">Committee voted not to take any position regarding the first and third </w:t>
      </w:r>
      <w:r w:rsidR="00DC3ED3" w:rsidRPr="00DC3ED3">
        <w:rPr>
          <w:sz w:val="28"/>
          <w:szCs w:val="28"/>
        </w:rPr>
        <w:lastRenderedPageBreak/>
        <w:t>proposed amendments</w:t>
      </w:r>
      <w:r w:rsidR="006308F5">
        <w:rPr>
          <w:sz w:val="28"/>
          <w:szCs w:val="28"/>
        </w:rPr>
        <w:t>: the reciprocity requirement and the foreign education provision</w:t>
      </w:r>
      <w:r w:rsidR="00DC3ED3" w:rsidRPr="00DC3ED3">
        <w:rPr>
          <w:sz w:val="28"/>
          <w:szCs w:val="28"/>
        </w:rPr>
        <w:t>. As to th</w:t>
      </w:r>
      <w:r>
        <w:rPr>
          <w:sz w:val="28"/>
          <w:szCs w:val="28"/>
        </w:rPr>
        <w:t>o</w:t>
      </w:r>
      <w:r w:rsidR="00DC3ED3" w:rsidRPr="00DC3ED3">
        <w:rPr>
          <w:sz w:val="28"/>
          <w:szCs w:val="28"/>
        </w:rPr>
        <w:t>se</w:t>
      </w:r>
      <w:r w:rsidR="00DC3ED3">
        <w:rPr>
          <w:sz w:val="28"/>
          <w:szCs w:val="28"/>
        </w:rPr>
        <w:t xml:space="preserve"> proposals</w:t>
      </w:r>
      <w:r w:rsidR="00DC3ED3" w:rsidRPr="00DC3ED3">
        <w:rPr>
          <w:sz w:val="28"/>
          <w:szCs w:val="28"/>
        </w:rPr>
        <w:t xml:space="preserve">, the Committee </w:t>
      </w:r>
      <w:r>
        <w:rPr>
          <w:sz w:val="28"/>
          <w:szCs w:val="28"/>
        </w:rPr>
        <w:t xml:space="preserve">concluded </w:t>
      </w:r>
      <w:r w:rsidR="00DC3ED3" w:rsidRPr="00DC3ED3">
        <w:rPr>
          <w:sz w:val="28"/>
          <w:szCs w:val="28"/>
        </w:rPr>
        <w:t xml:space="preserve">that </w:t>
      </w:r>
      <w:r>
        <w:rPr>
          <w:sz w:val="28"/>
          <w:szCs w:val="28"/>
        </w:rPr>
        <w:t xml:space="preserve">eliminating </w:t>
      </w:r>
      <w:r w:rsidR="00DC3ED3" w:rsidRPr="00DC3ED3">
        <w:rPr>
          <w:sz w:val="28"/>
          <w:szCs w:val="28"/>
        </w:rPr>
        <w:t xml:space="preserve">reciprocity </w:t>
      </w:r>
      <w:r>
        <w:rPr>
          <w:sz w:val="28"/>
          <w:szCs w:val="28"/>
        </w:rPr>
        <w:t xml:space="preserve">and the admission of foreign-educated students present </w:t>
      </w:r>
      <w:r w:rsidR="00DC3ED3" w:rsidRPr="00DC3ED3">
        <w:rPr>
          <w:sz w:val="28"/>
          <w:szCs w:val="28"/>
        </w:rPr>
        <w:t>policy</w:t>
      </w:r>
      <w:r>
        <w:rPr>
          <w:sz w:val="28"/>
          <w:szCs w:val="28"/>
        </w:rPr>
        <w:t xml:space="preserve"> </w:t>
      </w:r>
      <w:r w:rsidR="00DC3ED3" w:rsidRPr="00DC3ED3">
        <w:rPr>
          <w:sz w:val="28"/>
          <w:szCs w:val="28"/>
        </w:rPr>
        <w:t>issue</w:t>
      </w:r>
      <w:r>
        <w:rPr>
          <w:sz w:val="28"/>
          <w:szCs w:val="28"/>
        </w:rPr>
        <w:t>s for which the Committee did not have any meaningful expertise to assist the Court.</w:t>
      </w:r>
      <w:r w:rsidR="006308F5">
        <w:rPr>
          <w:sz w:val="28"/>
          <w:szCs w:val="28"/>
        </w:rPr>
        <w:t xml:space="preserve"> </w:t>
      </w:r>
    </w:p>
    <w:p w14:paraId="0FFEE3AD" w14:textId="77777777" w:rsidR="006E1BC6" w:rsidRDefault="006E1BC6" w:rsidP="004E1056">
      <w:pPr>
        <w:pStyle w:val="BodyText"/>
        <w:spacing w:after="0" w:line="480" w:lineRule="auto"/>
        <w:ind w:firstLine="720"/>
        <w:contextualSpacing/>
        <w:rPr>
          <w:sz w:val="28"/>
          <w:szCs w:val="28"/>
        </w:rPr>
      </w:pPr>
      <w:r>
        <w:rPr>
          <w:sz w:val="28"/>
          <w:szCs w:val="28"/>
        </w:rPr>
        <w:t xml:space="preserve">The Committee </w:t>
      </w:r>
      <w:r w:rsidRPr="006E1BC6">
        <w:rPr>
          <w:sz w:val="28"/>
          <w:szCs w:val="28"/>
        </w:rPr>
        <w:t>voted to support, in part, the Petition</w:t>
      </w:r>
      <w:r w:rsidR="004F5A19">
        <w:rPr>
          <w:sz w:val="28"/>
          <w:szCs w:val="28"/>
        </w:rPr>
        <w:t>’</w:t>
      </w:r>
      <w:r w:rsidRPr="006E1BC6">
        <w:rPr>
          <w:sz w:val="28"/>
          <w:szCs w:val="28"/>
        </w:rPr>
        <w:t xml:space="preserve">s second proposed amendment, </w:t>
      </w:r>
      <w:r w:rsidR="00631CE8">
        <w:rPr>
          <w:sz w:val="28"/>
          <w:szCs w:val="28"/>
        </w:rPr>
        <w:t>the active practice requirement</w:t>
      </w:r>
      <w:r w:rsidRPr="006E1BC6">
        <w:rPr>
          <w:sz w:val="28"/>
          <w:szCs w:val="28"/>
        </w:rPr>
        <w:t xml:space="preserve">. The Committee recommends </w:t>
      </w:r>
      <w:r w:rsidR="00A56C8F">
        <w:rPr>
          <w:sz w:val="28"/>
          <w:szCs w:val="28"/>
        </w:rPr>
        <w:t xml:space="preserve">retaining </w:t>
      </w:r>
      <w:r w:rsidR="005A50D1">
        <w:rPr>
          <w:sz w:val="28"/>
          <w:szCs w:val="28"/>
        </w:rPr>
        <w:t xml:space="preserve">the requirement for at least three years of active practice but supports </w:t>
      </w:r>
      <w:r w:rsidRPr="006E1BC6">
        <w:rPr>
          <w:sz w:val="28"/>
          <w:szCs w:val="28"/>
        </w:rPr>
        <w:t xml:space="preserve">eliminating the requirement that such active practice </w:t>
      </w:r>
      <w:r w:rsidR="00797889" w:rsidRPr="006E1BC6">
        <w:rPr>
          <w:sz w:val="28"/>
          <w:szCs w:val="28"/>
        </w:rPr>
        <w:t>occurs</w:t>
      </w:r>
      <w:r w:rsidRPr="006E1BC6">
        <w:rPr>
          <w:sz w:val="28"/>
          <w:szCs w:val="28"/>
        </w:rPr>
        <w:t xml:space="preserve"> in the last five years</w:t>
      </w:r>
      <w:r w:rsidR="005A50D1">
        <w:rPr>
          <w:sz w:val="28"/>
          <w:szCs w:val="28"/>
        </w:rPr>
        <w:t>.</w:t>
      </w:r>
      <w:r w:rsidR="006308F5">
        <w:rPr>
          <w:sz w:val="28"/>
          <w:szCs w:val="28"/>
        </w:rPr>
        <w:t xml:space="preserve"> </w:t>
      </w:r>
      <w:r w:rsidR="005A50D1">
        <w:rPr>
          <w:sz w:val="28"/>
          <w:szCs w:val="28"/>
        </w:rPr>
        <w:t>The Committee</w:t>
      </w:r>
      <w:r w:rsidR="004F5A19">
        <w:rPr>
          <w:sz w:val="28"/>
          <w:szCs w:val="28"/>
        </w:rPr>
        <w:t>’</w:t>
      </w:r>
      <w:r w:rsidR="005A50D1">
        <w:rPr>
          <w:sz w:val="28"/>
          <w:szCs w:val="28"/>
        </w:rPr>
        <w:t xml:space="preserve">s vote was </w:t>
      </w:r>
      <w:r w:rsidRPr="006E1BC6">
        <w:rPr>
          <w:sz w:val="28"/>
          <w:szCs w:val="28"/>
        </w:rPr>
        <w:t xml:space="preserve">based, in part, on concern that </w:t>
      </w:r>
      <w:r w:rsidR="005A50D1">
        <w:rPr>
          <w:sz w:val="28"/>
          <w:szCs w:val="28"/>
        </w:rPr>
        <w:t>the preceding</w:t>
      </w:r>
      <w:r w:rsidR="00797889">
        <w:rPr>
          <w:sz w:val="28"/>
          <w:szCs w:val="28"/>
        </w:rPr>
        <w:t>-</w:t>
      </w:r>
      <w:r w:rsidR="005A50D1">
        <w:rPr>
          <w:sz w:val="28"/>
          <w:szCs w:val="28"/>
        </w:rPr>
        <w:t xml:space="preserve">five-year </w:t>
      </w:r>
      <w:r w:rsidRPr="006E1BC6">
        <w:rPr>
          <w:sz w:val="28"/>
          <w:szCs w:val="28"/>
        </w:rPr>
        <w:t xml:space="preserve">requirement </w:t>
      </w:r>
      <w:r w:rsidR="005A50D1">
        <w:rPr>
          <w:sz w:val="28"/>
          <w:szCs w:val="28"/>
        </w:rPr>
        <w:t xml:space="preserve">may </w:t>
      </w:r>
      <w:r w:rsidRPr="006E1BC6">
        <w:rPr>
          <w:sz w:val="28"/>
          <w:szCs w:val="28"/>
        </w:rPr>
        <w:t>adversely impact new parents who leave the practice of law to raise young children.</w:t>
      </w:r>
      <w:r w:rsidR="006308F5">
        <w:rPr>
          <w:sz w:val="28"/>
          <w:szCs w:val="28"/>
        </w:rPr>
        <w:t xml:space="preserve"> </w:t>
      </w:r>
      <w:r w:rsidRPr="006E1BC6">
        <w:rPr>
          <w:sz w:val="28"/>
          <w:szCs w:val="28"/>
        </w:rPr>
        <w:t xml:space="preserve">The Committee opposes the outright elimination of any practice requirement, however, because the Committee believes that demonstrating at least three years of active legal practice </w:t>
      </w:r>
      <w:r w:rsidR="005A50D1">
        <w:rPr>
          <w:sz w:val="28"/>
          <w:szCs w:val="28"/>
        </w:rPr>
        <w:t xml:space="preserve">helps </w:t>
      </w:r>
      <w:r w:rsidRPr="006E1BC6">
        <w:rPr>
          <w:sz w:val="28"/>
          <w:szCs w:val="28"/>
        </w:rPr>
        <w:t>to demonstrate the fitness to practice law in Arizona.</w:t>
      </w:r>
      <w:r w:rsidR="006308F5">
        <w:rPr>
          <w:sz w:val="28"/>
          <w:szCs w:val="28"/>
        </w:rPr>
        <w:t xml:space="preserve"> </w:t>
      </w:r>
    </w:p>
    <w:p w14:paraId="40710B69" w14:textId="77777777" w:rsidR="00CE552A" w:rsidRDefault="006E1BC6" w:rsidP="004E1056">
      <w:pPr>
        <w:pStyle w:val="BodyText"/>
        <w:spacing w:after="0" w:line="480" w:lineRule="auto"/>
        <w:ind w:firstLine="720"/>
        <w:contextualSpacing/>
        <w:rPr>
          <w:sz w:val="28"/>
          <w:szCs w:val="28"/>
        </w:rPr>
      </w:pPr>
      <w:r>
        <w:rPr>
          <w:sz w:val="28"/>
          <w:szCs w:val="28"/>
        </w:rPr>
        <w:t xml:space="preserve">The Committee </w:t>
      </w:r>
      <w:r w:rsidRPr="006E1BC6">
        <w:rPr>
          <w:sz w:val="28"/>
          <w:szCs w:val="28"/>
        </w:rPr>
        <w:t>unanimously voted to oppose the Petition</w:t>
      </w:r>
      <w:r w:rsidR="004F5A19">
        <w:rPr>
          <w:sz w:val="28"/>
          <w:szCs w:val="28"/>
        </w:rPr>
        <w:t>’</w:t>
      </w:r>
      <w:r w:rsidRPr="006E1BC6">
        <w:rPr>
          <w:sz w:val="28"/>
          <w:szCs w:val="28"/>
        </w:rPr>
        <w:t>s fourth proposed amendment</w:t>
      </w:r>
      <w:r w:rsidR="006308F5">
        <w:rPr>
          <w:sz w:val="28"/>
          <w:szCs w:val="28"/>
        </w:rPr>
        <w:t xml:space="preserve"> (the character and fitness pending provision)</w:t>
      </w:r>
      <w:r w:rsidRPr="006E1BC6">
        <w:rPr>
          <w:sz w:val="28"/>
          <w:szCs w:val="28"/>
        </w:rPr>
        <w:t>, which would provide that a successful character and fitness examination in another jurisdiction presumptively establishes character and fitness for Arizona.</w:t>
      </w:r>
      <w:r w:rsidR="006308F5">
        <w:rPr>
          <w:sz w:val="28"/>
          <w:szCs w:val="28"/>
        </w:rPr>
        <w:t xml:space="preserve"> </w:t>
      </w:r>
    </w:p>
    <w:p w14:paraId="4BCF9163" w14:textId="294338F5" w:rsidR="00CE552A" w:rsidRDefault="005A50D1" w:rsidP="004E1056">
      <w:pPr>
        <w:pStyle w:val="BodyText"/>
        <w:spacing w:after="0" w:line="480" w:lineRule="auto"/>
        <w:ind w:firstLine="720"/>
        <w:contextualSpacing/>
        <w:rPr>
          <w:sz w:val="28"/>
          <w:szCs w:val="28"/>
        </w:rPr>
      </w:pPr>
      <w:r>
        <w:rPr>
          <w:sz w:val="28"/>
          <w:szCs w:val="28"/>
        </w:rPr>
        <w:lastRenderedPageBreak/>
        <w:t xml:space="preserve">Admittedly, in </w:t>
      </w:r>
      <w:r w:rsidR="00DC1EBF">
        <w:rPr>
          <w:sz w:val="28"/>
          <w:szCs w:val="28"/>
        </w:rPr>
        <w:t>most</w:t>
      </w:r>
      <w:r>
        <w:rPr>
          <w:sz w:val="28"/>
          <w:szCs w:val="28"/>
        </w:rPr>
        <w:t xml:space="preserve"> cases, </w:t>
      </w:r>
      <w:r w:rsidR="00797889">
        <w:rPr>
          <w:sz w:val="28"/>
          <w:szCs w:val="28"/>
        </w:rPr>
        <w:t xml:space="preserve">bar membership in good standing </w:t>
      </w:r>
      <w:r w:rsidR="00EA1682">
        <w:rPr>
          <w:sz w:val="28"/>
          <w:szCs w:val="28"/>
        </w:rPr>
        <w:t>in another jurisdiction</w:t>
      </w:r>
      <w:r>
        <w:rPr>
          <w:sz w:val="28"/>
          <w:szCs w:val="28"/>
        </w:rPr>
        <w:t xml:space="preserve"> </w:t>
      </w:r>
      <w:r w:rsidR="00797889">
        <w:rPr>
          <w:sz w:val="28"/>
          <w:szCs w:val="28"/>
        </w:rPr>
        <w:t xml:space="preserve">results in </w:t>
      </w:r>
      <w:r w:rsidR="00DC1EBF">
        <w:rPr>
          <w:sz w:val="28"/>
          <w:szCs w:val="28"/>
        </w:rPr>
        <w:t xml:space="preserve">a successful </w:t>
      </w:r>
      <w:r w:rsidR="00797889">
        <w:rPr>
          <w:sz w:val="28"/>
          <w:szCs w:val="28"/>
        </w:rPr>
        <w:t xml:space="preserve">character and fitness </w:t>
      </w:r>
      <w:r w:rsidR="00DC1EBF">
        <w:rPr>
          <w:sz w:val="28"/>
          <w:szCs w:val="28"/>
        </w:rPr>
        <w:t xml:space="preserve">process </w:t>
      </w:r>
      <w:r w:rsidR="00797889">
        <w:rPr>
          <w:sz w:val="28"/>
          <w:szCs w:val="28"/>
        </w:rPr>
        <w:t xml:space="preserve">and </w:t>
      </w:r>
      <w:r>
        <w:rPr>
          <w:sz w:val="28"/>
          <w:szCs w:val="28"/>
        </w:rPr>
        <w:t>admission to the Arizona bar.</w:t>
      </w:r>
      <w:r w:rsidR="00CE552A">
        <w:rPr>
          <w:sz w:val="28"/>
          <w:szCs w:val="28"/>
        </w:rPr>
        <w:t xml:space="preserve"> This Court’s adoption of Practice Pending Admission under </w:t>
      </w:r>
      <w:hyperlink r:id="rId15" w:history="1">
        <w:r w:rsidR="00CE552A" w:rsidRPr="005921A2">
          <w:rPr>
            <w:rStyle w:val="Hyperlink"/>
            <w:sz w:val="28"/>
            <w:szCs w:val="28"/>
          </w:rPr>
          <w:t>Rule 39(b)</w:t>
        </w:r>
      </w:hyperlink>
      <w:r w:rsidR="00CE552A">
        <w:rPr>
          <w:sz w:val="28"/>
          <w:szCs w:val="28"/>
        </w:rPr>
        <w:t xml:space="preserve"> reflects this fact. But Practice Pending Admission provides additional safeguards to protect Arizona legal consumers that are absent in this proposal, including association with and supervision by an Arizona licensed attorney (</w:t>
      </w:r>
      <w:hyperlink r:id="rId16" w:history="1">
        <w:r w:rsidR="00CE552A" w:rsidRPr="00684EC7">
          <w:rPr>
            <w:rStyle w:val="Hyperlink"/>
            <w:sz w:val="28"/>
            <w:szCs w:val="28"/>
          </w:rPr>
          <w:t>Rule 39(b)(1)(F) &amp; (G)</w:t>
        </w:r>
      </w:hyperlink>
      <w:r w:rsidR="00CE552A">
        <w:rPr>
          <w:sz w:val="28"/>
          <w:szCs w:val="28"/>
        </w:rPr>
        <w:t>) and mandatory advisories to the public and clients of the temporary nature of the applicant’s admission to practice (</w:t>
      </w:r>
      <w:hyperlink r:id="rId17" w:history="1">
        <w:r w:rsidR="00CE552A" w:rsidRPr="00684EC7">
          <w:rPr>
            <w:rStyle w:val="Hyperlink"/>
            <w:sz w:val="28"/>
            <w:szCs w:val="28"/>
          </w:rPr>
          <w:t>Rule 39(b)(1)(H)</w:t>
        </w:r>
      </w:hyperlink>
      <w:r w:rsidR="00CE552A">
        <w:rPr>
          <w:sz w:val="28"/>
          <w:szCs w:val="28"/>
        </w:rPr>
        <w:t xml:space="preserve">). </w:t>
      </w:r>
    </w:p>
    <w:p w14:paraId="75095F6C" w14:textId="5F30D9D8" w:rsidR="005A2D2E" w:rsidRDefault="00CE552A" w:rsidP="004E1056">
      <w:pPr>
        <w:pStyle w:val="BodyText"/>
        <w:spacing w:after="0" w:line="480" w:lineRule="auto"/>
        <w:ind w:firstLine="720"/>
        <w:contextualSpacing/>
        <w:rPr>
          <w:sz w:val="28"/>
          <w:szCs w:val="28"/>
        </w:rPr>
      </w:pPr>
      <w:r>
        <w:rPr>
          <w:sz w:val="28"/>
          <w:szCs w:val="28"/>
        </w:rPr>
        <w:t>B</w:t>
      </w:r>
      <w:r w:rsidR="005A2D2E">
        <w:rPr>
          <w:sz w:val="28"/>
          <w:szCs w:val="28"/>
        </w:rPr>
        <w:t>ased on the Committee</w:t>
      </w:r>
      <w:r w:rsidR="004F5A19">
        <w:rPr>
          <w:sz w:val="28"/>
          <w:szCs w:val="28"/>
        </w:rPr>
        <w:t>’</w:t>
      </w:r>
      <w:r w:rsidR="005A2D2E">
        <w:rPr>
          <w:sz w:val="28"/>
          <w:szCs w:val="28"/>
        </w:rPr>
        <w:t>s experience, an applicant</w:t>
      </w:r>
      <w:r w:rsidR="004F5A19">
        <w:rPr>
          <w:sz w:val="28"/>
          <w:szCs w:val="28"/>
        </w:rPr>
        <w:t>’</w:t>
      </w:r>
      <w:r w:rsidR="005A2D2E">
        <w:rPr>
          <w:sz w:val="28"/>
          <w:szCs w:val="28"/>
        </w:rPr>
        <w:t>s membership in another jurisdiction</w:t>
      </w:r>
      <w:r w:rsidR="004F5A19">
        <w:rPr>
          <w:sz w:val="28"/>
          <w:szCs w:val="28"/>
        </w:rPr>
        <w:t>’</w:t>
      </w:r>
      <w:r w:rsidR="005A2D2E">
        <w:rPr>
          <w:sz w:val="28"/>
          <w:szCs w:val="28"/>
        </w:rPr>
        <w:t xml:space="preserve">s bar is not sufficient to establish, by clear and convincing evidence, that the applicant has </w:t>
      </w:r>
      <w:r w:rsidR="004F5A19">
        <w:rPr>
          <w:sz w:val="28"/>
          <w:szCs w:val="28"/>
        </w:rPr>
        <w:t>“</w:t>
      </w:r>
      <w:r w:rsidR="005A2D2E">
        <w:rPr>
          <w:sz w:val="28"/>
          <w:szCs w:val="28"/>
        </w:rPr>
        <w:t>good moral character</w:t>
      </w:r>
      <w:r w:rsidR="004F5A19">
        <w:rPr>
          <w:sz w:val="28"/>
          <w:szCs w:val="28"/>
        </w:rPr>
        <w:t>”</w:t>
      </w:r>
      <w:r w:rsidR="005A2D2E">
        <w:rPr>
          <w:sz w:val="28"/>
          <w:szCs w:val="28"/>
        </w:rPr>
        <w:t xml:space="preserve"> and the relevant traits and characteristics required under </w:t>
      </w:r>
      <w:hyperlink r:id="rId18" w:history="1">
        <w:r w:rsidR="005A2D2E" w:rsidRPr="00636E15">
          <w:rPr>
            <w:rStyle w:val="Hyperlink"/>
            <w:sz w:val="28"/>
            <w:szCs w:val="28"/>
          </w:rPr>
          <w:t>Rule 36(b)</w:t>
        </w:r>
      </w:hyperlink>
      <w:r w:rsidR="005A2D2E">
        <w:rPr>
          <w:sz w:val="28"/>
          <w:szCs w:val="28"/>
        </w:rPr>
        <w:t xml:space="preserve">. </w:t>
      </w:r>
    </w:p>
    <w:p w14:paraId="039EB7FC" w14:textId="77777777" w:rsidR="00A90ED4" w:rsidRPr="00A90ED4" w:rsidRDefault="00A90ED4" w:rsidP="00A90ED4">
      <w:pPr>
        <w:pStyle w:val="BodyText"/>
        <w:spacing w:after="0" w:line="480" w:lineRule="auto"/>
        <w:contextualSpacing/>
        <w:jc w:val="center"/>
        <w:rPr>
          <w:sz w:val="28"/>
          <w:szCs w:val="28"/>
          <w:u w:val="single"/>
        </w:rPr>
      </w:pPr>
      <w:r>
        <w:rPr>
          <w:sz w:val="28"/>
          <w:szCs w:val="28"/>
          <w:u w:val="single"/>
        </w:rPr>
        <w:t>Different Standards of Admission</w:t>
      </w:r>
    </w:p>
    <w:p w14:paraId="7B04FADC" w14:textId="7EFED2A5" w:rsidR="004D7BD9" w:rsidRDefault="00CB4C97" w:rsidP="004E1056">
      <w:pPr>
        <w:pStyle w:val="BodyText"/>
        <w:spacing w:after="0" w:line="480" w:lineRule="auto"/>
        <w:ind w:firstLine="720"/>
        <w:contextualSpacing/>
        <w:rPr>
          <w:sz w:val="28"/>
          <w:szCs w:val="28"/>
        </w:rPr>
      </w:pPr>
      <w:r>
        <w:rPr>
          <w:sz w:val="28"/>
          <w:szCs w:val="28"/>
        </w:rPr>
        <w:t>Each state is entitled to set its own standards for admission to the practice of law, and those standards differ from state to state. T</w:t>
      </w:r>
      <w:r w:rsidR="004D7BD9">
        <w:rPr>
          <w:sz w:val="28"/>
          <w:szCs w:val="28"/>
        </w:rPr>
        <w:t xml:space="preserve">his Court has consistently—both historically and recently—set a high standard for admission to practice for those with serious criminal records. </w:t>
      </w:r>
      <w:r w:rsidR="004D7BD9">
        <w:rPr>
          <w:i/>
          <w:iCs/>
          <w:sz w:val="28"/>
          <w:szCs w:val="28"/>
        </w:rPr>
        <w:t>See</w:t>
      </w:r>
      <w:r>
        <w:rPr>
          <w:i/>
          <w:iCs/>
          <w:sz w:val="28"/>
          <w:szCs w:val="28"/>
        </w:rPr>
        <w:t xml:space="preserve"> </w:t>
      </w:r>
      <w:hyperlink r:id="rId19" w:history="1">
        <w:r w:rsidRPr="00CB4C97">
          <w:rPr>
            <w:rStyle w:val="Hyperlink"/>
            <w:i/>
            <w:iCs/>
            <w:sz w:val="28"/>
            <w:szCs w:val="28"/>
          </w:rPr>
          <w:t>In re Hamm</w:t>
        </w:r>
        <w:r w:rsidRPr="00CB4C97">
          <w:rPr>
            <w:rStyle w:val="Hyperlink"/>
            <w:sz w:val="28"/>
            <w:szCs w:val="28"/>
          </w:rPr>
          <w:t>, 211 Ariz. 458 (2005)</w:t>
        </w:r>
      </w:hyperlink>
      <w:r w:rsidR="004F5A19">
        <w:rPr>
          <w:sz w:val="28"/>
          <w:szCs w:val="28"/>
        </w:rPr>
        <w:t xml:space="preserve"> (denying applicant convicted of first degree murder);</w:t>
      </w:r>
      <w:r w:rsidR="004D7BD9">
        <w:rPr>
          <w:sz w:val="28"/>
          <w:szCs w:val="28"/>
        </w:rPr>
        <w:t xml:space="preserve"> </w:t>
      </w:r>
      <w:hyperlink r:id="rId20" w:history="1">
        <w:r w:rsidR="00BE3E39" w:rsidRPr="00B97495">
          <w:rPr>
            <w:rStyle w:val="Hyperlink"/>
            <w:i/>
            <w:iCs/>
            <w:sz w:val="28"/>
            <w:szCs w:val="28"/>
          </w:rPr>
          <w:t>In re King</w:t>
        </w:r>
        <w:r w:rsidR="00BE3E39" w:rsidRPr="00B97495">
          <w:rPr>
            <w:rStyle w:val="Hyperlink"/>
            <w:sz w:val="28"/>
            <w:szCs w:val="28"/>
          </w:rPr>
          <w:t>, 212 Ariz. 559 (2006)</w:t>
        </w:r>
      </w:hyperlink>
      <w:r w:rsidR="00BE3E39">
        <w:rPr>
          <w:sz w:val="28"/>
          <w:szCs w:val="28"/>
        </w:rPr>
        <w:t xml:space="preserve"> (denying admission to an applicant convicted of attempted murder, who had been a member of the Texas Bar since 1994); </w:t>
      </w:r>
      <w:hyperlink r:id="rId21" w:history="1">
        <w:r w:rsidR="00BE3E39">
          <w:rPr>
            <w:rStyle w:val="Hyperlink"/>
            <w:i/>
            <w:iCs/>
            <w:sz w:val="28"/>
            <w:szCs w:val="28"/>
          </w:rPr>
          <w:t>M</w:t>
        </w:r>
        <w:r w:rsidR="00BE3E39" w:rsidRPr="004D7BD9">
          <w:rPr>
            <w:rStyle w:val="Hyperlink"/>
            <w:i/>
            <w:iCs/>
            <w:sz w:val="28"/>
            <w:szCs w:val="28"/>
          </w:rPr>
          <w:t>atter of Stevens</w:t>
        </w:r>
        <w:r w:rsidR="00BE3E39" w:rsidRPr="004D7BD9">
          <w:rPr>
            <w:rStyle w:val="Hyperlink"/>
            <w:sz w:val="28"/>
            <w:szCs w:val="28"/>
          </w:rPr>
          <w:t xml:space="preserve">, 519 P.3d 208 </w:t>
        </w:r>
        <w:r w:rsidR="00BE3E39" w:rsidRPr="004D7BD9">
          <w:rPr>
            <w:rStyle w:val="Hyperlink"/>
            <w:sz w:val="28"/>
            <w:szCs w:val="28"/>
          </w:rPr>
          <w:lastRenderedPageBreak/>
          <w:t>(</w:t>
        </w:r>
        <w:r w:rsidR="00BE3E39">
          <w:rPr>
            <w:rStyle w:val="Hyperlink"/>
            <w:sz w:val="28"/>
            <w:szCs w:val="28"/>
          </w:rPr>
          <w:t xml:space="preserve">Wash. </w:t>
        </w:r>
        <w:r w:rsidR="00BE3E39" w:rsidRPr="004D7BD9">
          <w:rPr>
            <w:rStyle w:val="Hyperlink"/>
            <w:sz w:val="28"/>
            <w:szCs w:val="28"/>
          </w:rPr>
          <w:t>2022)</w:t>
        </w:r>
      </w:hyperlink>
      <w:r w:rsidR="004D7BD9">
        <w:rPr>
          <w:sz w:val="28"/>
          <w:szCs w:val="28"/>
        </w:rPr>
        <w:t xml:space="preserve"> </w:t>
      </w:r>
      <w:r w:rsidR="00BE3E39">
        <w:rPr>
          <w:sz w:val="28"/>
          <w:szCs w:val="28"/>
        </w:rPr>
        <w:t>(admitting registered sex offender to the Washington Bar, who had been denied admission in Arizona). Washington, a state with which Arizona shares reciprocity, uses a lower standard in considering applicants with criminal records.</w:t>
      </w:r>
      <w:r w:rsidR="00963809">
        <w:rPr>
          <w:sz w:val="28"/>
          <w:szCs w:val="28"/>
        </w:rPr>
        <w:t xml:space="preserve"> </w:t>
      </w:r>
      <w:r w:rsidR="00BE3E39">
        <w:rPr>
          <w:sz w:val="28"/>
          <w:szCs w:val="28"/>
        </w:rPr>
        <w:t xml:space="preserve">As stated by the Washington Supreme Court in </w:t>
      </w:r>
      <w:r w:rsidR="00BE3E39">
        <w:rPr>
          <w:i/>
          <w:iCs/>
          <w:sz w:val="28"/>
          <w:szCs w:val="28"/>
        </w:rPr>
        <w:t>Stevens</w:t>
      </w:r>
      <w:r w:rsidR="00BE3E39">
        <w:rPr>
          <w:sz w:val="28"/>
          <w:szCs w:val="28"/>
        </w:rPr>
        <w:t>:</w:t>
      </w:r>
    </w:p>
    <w:p w14:paraId="0918D298" w14:textId="77777777" w:rsidR="004D7BD9" w:rsidRDefault="004D7BD9" w:rsidP="004D7BD9">
      <w:pPr>
        <w:pStyle w:val="BodyText"/>
        <w:ind w:left="720" w:right="720" w:firstLine="720"/>
        <w:contextualSpacing/>
        <w:rPr>
          <w:sz w:val="28"/>
          <w:szCs w:val="28"/>
        </w:rPr>
      </w:pPr>
      <w:r w:rsidRPr="004D7BD9">
        <w:rPr>
          <w:sz w:val="28"/>
          <w:szCs w:val="28"/>
        </w:rPr>
        <w:t xml:space="preserve">By contrast, the Arizona presumption against admitting those convicted of a serious misdemeanor or </w:t>
      </w:r>
      <w:r w:rsidR="004F5A19">
        <w:rPr>
          <w:sz w:val="28"/>
          <w:szCs w:val="28"/>
        </w:rPr>
        <w:t>“</w:t>
      </w:r>
      <w:r w:rsidRPr="004D7BD9">
        <w:rPr>
          <w:sz w:val="28"/>
          <w:szCs w:val="28"/>
        </w:rPr>
        <w:t>any felony</w:t>
      </w:r>
      <w:r w:rsidR="004F5A19">
        <w:rPr>
          <w:sz w:val="28"/>
          <w:szCs w:val="28"/>
        </w:rPr>
        <w:t>”</w:t>
      </w:r>
      <w:r w:rsidRPr="004D7BD9">
        <w:rPr>
          <w:sz w:val="28"/>
          <w:szCs w:val="28"/>
        </w:rPr>
        <w:t xml:space="preserve"> explicitly adds an additional, substantive burden. Ariz. R. Sup. Ct. 36(b)(2)(A). Where Arizona</w:t>
      </w:r>
      <w:r w:rsidR="004F5A19">
        <w:rPr>
          <w:sz w:val="28"/>
          <w:szCs w:val="28"/>
        </w:rPr>
        <w:t>’</w:t>
      </w:r>
      <w:r w:rsidRPr="004D7BD9">
        <w:rPr>
          <w:sz w:val="28"/>
          <w:szCs w:val="28"/>
        </w:rPr>
        <w:t xml:space="preserve">s presumption against admission applies, the applicant is not merely required to show by clear and convincing evidence that they should be admitted based on a number of factors. Instead, the applicant </w:t>
      </w:r>
      <w:r w:rsidR="004F5A19">
        <w:rPr>
          <w:sz w:val="28"/>
          <w:szCs w:val="28"/>
        </w:rPr>
        <w:t>“</w:t>
      </w:r>
      <w:r w:rsidRPr="004D7BD9">
        <w:rPr>
          <w:sz w:val="28"/>
          <w:szCs w:val="28"/>
        </w:rPr>
        <w:t>must first establish rehabilitation from prior criminal conduct, a requirement that adds to [their] burden of showing current good moral character.</w:t>
      </w:r>
      <w:r w:rsidR="004F5A19">
        <w:rPr>
          <w:sz w:val="28"/>
          <w:szCs w:val="28"/>
        </w:rPr>
        <w:t>”</w:t>
      </w:r>
      <w:r w:rsidRPr="004D7BD9">
        <w:rPr>
          <w:sz w:val="28"/>
          <w:szCs w:val="28"/>
        </w:rPr>
        <w:t xml:space="preserve"> </w:t>
      </w:r>
      <w:r w:rsidRPr="004D7BD9">
        <w:rPr>
          <w:i/>
          <w:iCs/>
          <w:sz w:val="28"/>
          <w:szCs w:val="28"/>
        </w:rPr>
        <w:t>In re Hamm</w:t>
      </w:r>
      <w:r w:rsidRPr="004D7BD9">
        <w:rPr>
          <w:sz w:val="28"/>
          <w:szCs w:val="28"/>
        </w:rPr>
        <w:t>, 211 Ariz. 458, 463, 123 P.3d 652 (2005).</w:t>
      </w:r>
    </w:p>
    <w:p w14:paraId="1853D0B0" w14:textId="77777777" w:rsidR="004D7BD9" w:rsidRPr="004D7BD9" w:rsidRDefault="004D7BD9" w:rsidP="004D7BD9">
      <w:pPr>
        <w:pStyle w:val="BodyText"/>
        <w:ind w:left="720" w:right="720" w:firstLine="720"/>
        <w:contextualSpacing/>
        <w:rPr>
          <w:sz w:val="28"/>
          <w:szCs w:val="28"/>
        </w:rPr>
      </w:pPr>
    </w:p>
    <w:p w14:paraId="62799DA4" w14:textId="77777777" w:rsidR="004D7BD9" w:rsidRDefault="004D7BD9" w:rsidP="004D7BD9">
      <w:pPr>
        <w:pStyle w:val="BodyText"/>
        <w:ind w:left="720" w:right="720" w:firstLine="720"/>
        <w:contextualSpacing/>
        <w:rPr>
          <w:sz w:val="28"/>
          <w:szCs w:val="28"/>
        </w:rPr>
      </w:pPr>
      <w:r w:rsidRPr="004D7BD9">
        <w:rPr>
          <w:sz w:val="28"/>
          <w:szCs w:val="28"/>
        </w:rPr>
        <w:t xml:space="preserve">This added burden is a threshold matter in Arizona. Therefore, the applicant </w:t>
      </w:r>
      <w:r w:rsidR="004F5A19">
        <w:rPr>
          <w:sz w:val="28"/>
          <w:szCs w:val="28"/>
        </w:rPr>
        <w:t>“</w:t>
      </w:r>
      <w:r w:rsidRPr="004D7BD9">
        <w:rPr>
          <w:sz w:val="28"/>
          <w:szCs w:val="28"/>
        </w:rPr>
        <w:t xml:space="preserve">must </w:t>
      </w:r>
      <w:r w:rsidRPr="004D7BD9">
        <w:rPr>
          <w:i/>
          <w:iCs/>
          <w:sz w:val="28"/>
          <w:szCs w:val="28"/>
        </w:rPr>
        <w:t>initially demonstrate complete rehabilitation</w:t>
      </w:r>
      <w:r w:rsidRPr="004D7BD9">
        <w:rPr>
          <w:sz w:val="28"/>
          <w:szCs w:val="28"/>
        </w:rPr>
        <w:t xml:space="preserve"> before [Arizona authorities] consider other evidence of present good moral character.</w:t>
      </w:r>
      <w:r w:rsidR="004F5A19">
        <w:rPr>
          <w:sz w:val="28"/>
          <w:szCs w:val="28"/>
        </w:rPr>
        <w:t>”</w:t>
      </w:r>
      <w:r w:rsidRPr="004D7BD9">
        <w:rPr>
          <w:sz w:val="28"/>
          <w:szCs w:val="28"/>
        </w:rPr>
        <w:t xml:space="preserve"> </w:t>
      </w:r>
      <w:r w:rsidRPr="004D7BD9">
        <w:rPr>
          <w:i/>
          <w:iCs/>
          <w:sz w:val="28"/>
          <w:szCs w:val="28"/>
        </w:rPr>
        <w:t>In re King</w:t>
      </w:r>
      <w:r w:rsidRPr="004D7BD9">
        <w:rPr>
          <w:sz w:val="28"/>
          <w:szCs w:val="28"/>
        </w:rPr>
        <w:t xml:space="preserve">, 212 Ariz. 559, 563, 136 P.3d 878 (2006) (emphasis added). The Arizona Supreme Court readily acknowledges that in cases </w:t>
      </w:r>
      <w:r w:rsidR="004F5A19">
        <w:rPr>
          <w:sz w:val="28"/>
          <w:szCs w:val="28"/>
        </w:rPr>
        <w:t>“</w:t>
      </w:r>
      <w:r w:rsidRPr="004D7BD9">
        <w:rPr>
          <w:sz w:val="28"/>
          <w:szCs w:val="28"/>
        </w:rPr>
        <w:t>of extremely damning past misconduct, a showing of rehabilitation may be virtually impossible to make.</w:t>
      </w:r>
      <w:r w:rsidR="004F5A19">
        <w:rPr>
          <w:sz w:val="28"/>
          <w:szCs w:val="28"/>
        </w:rPr>
        <w:t>”</w:t>
      </w:r>
      <w:r w:rsidRPr="004D7BD9">
        <w:rPr>
          <w:sz w:val="28"/>
          <w:szCs w:val="28"/>
        </w:rPr>
        <w:t xml:space="preserve"> </w:t>
      </w:r>
      <w:r w:rsidRPr="004D7BD9">
        <w:rPr>
          <w:i/>
          <w:iCs/>
          <w:sz w:val="28"/>
          <w:szCs w:val="28"/>
        </w:rPr>
        <w:t>Hamm</w:t>
      </w:r>
      <w:r w:rsidRPr="004D7BD9">
        <w:rPr>
          <w:sz w:val="28"/>
          <w:szCs w:val="28"/>
        </w:rPr>
        <w:t xml:space="preserve">, 211 Ariz. at 464, 123 P.3d 652 (quoting </w:t>
      </w:r>
      <w:r w:rsidRPr="004D7BD9">
        <w:rPr>
          <w:i/>
          <w:iCs/>
          <w:sz w:val="28"/>
          <w:szCs w:val="28"/>
        </w:rPr>
        <w:t>In re Matthews</w:t>
      </w:r>
      <w:r w:rsidRPr="004D7BD9">
        <w:rPr>
          <w:sz w:val="28"/>
          <w:szCs w:val="28"/>
        </w:rPr>
        <w:t>, 94 N.J. 59, 81-82, 462 A.2d 165 (1983)).</w:t>
      </w:r>
    </w:p>
    <w:p w14:paraId="6EA19523" w14:textId="77777777" w:rsidR="004D7BD9" w:rsidRPr="004D7BD9" w:rsidRDefault="004D7BD9" w:rsidP="004D7BD9">
      <w:pPr>
        <w:pStyle w:val="BodyText"/>
        <w:ind w:left="720" w:right="720" w:firstLine="720"/>
        <w:contextualSpacing/>
        <w:rPr>
          <w:sz w:val="28"/>
          <w:szCs w:val="28"/>
        </w:rPr>
      </w:pPr>
    </w:p>
    <w:p w14:paraId="47E34385" w14:textId="77777777" w:rsidR="004D7BD9" w:rsidRDefault="004D7BD9" w:rsidP="00631CE8">
      <w:pPr>
        <w:pStyle w:val="BodyText"/>
        <w:ind w:left="720" w:right="720" w:firstLine="720"/>
        <w:contextualSpacing/>
        <w:rPr>
          <w:i/>
          <w:iCs/>
          <w:sz w:val="28"/>
          <w:szCs w:val="28"/>
        </w:rPr>
      </w:pPr>
      <w:r w:rsidRPr="004D7BD9">
        <w:rPr>
          <w:b/>
          <w:bCs/>
          <w:i/>
          <w:iCs/>
          <w:sz w:val="28"/>
          <w:szCs w:val="28"/>
        </w:rPr>
        <w:t>The additional burden found in Arizona law is, and should remain, entirely absent from Washington law</w:t>
      </w:r>
      <w:r w:rsidRPr="004D7BD9">
        <w:rPr>
          <w:i/>
          <w:iCs/>
          <w:sz w:val="28"/>
          <w:szCs w:val="28"/>
        </w:rPr>
        <w:t>.</w:t>
      </w:r>
    </w:p>
    <w:p w14:paraId="74A21D0E" w14:textId="77777777" w:rsidR="00631CE8" w:rsidRPr="004D7BD9" w:rsidRDefault="00631CE8" w:rsidP="00631CE8">
      <w:pPr>
        <w:pStyle w:val="BodyText"/>
        <w:ind w:left="720" w:right="720" w:firstLine="720"/>
        <w:contextualSpacing/>
        <w:rPr>
          <w:sz w:val="28"/>
          <w:szCs w:val="28"/>
        </w:rPr>
      </w:pPr>
    </w:p>
    <w:p w14:paraId="0A4196D4" w14:textId="08489481" w:rsidR="004D7BD9" w:rsidRDefault="00893123" w:rsidP="004D7BD9">
      <w:pPr>
        <w:pStyle w:val="BodyText"/>
        <w:spacing w:line="480" w:lineRule="auto"/>
        <w:ind w:firstLine="720"/>
        <w:contextualSpacing/>
        <w:rPr>
          <w:sz w:val="28"/>
          <w:szCs w:val="28"/>
        </w:rPr>
      </w:pPr>
      <w:hyperlink r:id="rId22" w:history="1">
        <w:r w:rsidRPr="00681EA2">
          <w:rPr>
            <w:rStyle w:val="Hyperlink"/>
            <w:i/>
            <w:iCs/>
            <w:sz w:val="28"/>
            <w:szCs w:val="28"/>
          </w:rPr>
          <w:t>Id.</w:t>
        </w:r>
        <w:r w:rsidRPr="00F8740C">
          <w:rPr>
            <w:rStyle w:val="Hyperlink"/>
            <w:sz w:val="28"/>
            <w:szCs w:val="28"/>
          </w:rPr>
          <w:t xml:space="preserve"> at </w:t>
        </w:r>
        <w:r w:rsidR="004D7BD9" w:rsidRPr="00681EA2">
          <w:rPr>
            <w:rStyle w:val="Hyperlink"/>
            <w:sz w:val="28"/>
            <w:szCs w:val="28"/>
          </w:rPr>
          <w:t>217, ¶¶ 33</w:t>
        </w:r>
        <w:r w:rsidR="00181272">
          <w:rPr>
            <w:rStyle w:val="Hyperlink"/>
            <w:sz w:val="28"/>
            <w:szCs w:val="28"/>
          </w:rPr>
          <w:t>–</w:t>
        </w:r>
        <w:r w:rsidR="004D7BD9" w:rsidRPr="00681EA2">
          <w:rPr>
            <w:rStyle w:val="Hyperlink"/>
            <w:sz w:val="28"/>
            <w:szCs w:val="28"/>
          </w:rPr>
          <w:t>3</w:t>
        </w:r>
        <w:r w:rsidR="007139F8" w:rsidRPr="00681EA2">
          <w:rPr>
            <w:rStyle w:val="Hyperlink"/>
            <w:sz w:val="28"/>
            <w:szCs w:val="28"/>
          </w:rPr>
          <w:t>4</w:t>
        </w:r>
      </w:hyperlink>
      <w:r w:rsidR="004D7BD9" w:rsidRPr="008C3527">
        <w:rPr>
          <w:sz w:val="28"/>
          <w:szCs w:val="28"/>
        </w:rPr>
        <w:t xml:space="preserve"> </w:t>
      </w:r>
      <w:r w:rsidR="004F5A19">
        <w:rPr>
          <w:sz w:val="28"/>
          <w:szCs w:val="28"/>
        </w:rPr>
        <w:t xml:space="preserve"> (emphasis added)</w:t>
      </w:r>
      <w:r w:rsidR="008E4109">
        <w:rPr>
          <w:sz w:val="28"/>
          <w:szCs w:val="28"/>
        </w:rPr>
        <w:t>;</w:t>
      </w:r>
      <w:r w:rsidR="00963809">
        <w:rPr>
          <w:sz w:val="28"/>
          <w:szCs w:val="28"/>
        </w:rPr>
        <w:t xml:space="preserve"> </w:t>
      </w:r>
      <w:hyperlink r:id="rId23" w:history="1">
        <w:r w:rsidR="00963809">
          <w:rPr>
            <w:rStyle w:val="Hyperlink"/>
            <w:i/>
            <w:iCs/>
            <w:sz w:val="28"/>
            <w:szCs w:val="28"/>
          </w:rPr>
          <w:t xml:space="preserve">id. </w:t>
        </w:r>
        <w:r w:rsidR="00963809">
          <w:rPr>
            <w:rStyle w:val="Hyperlink"/>
            <w:sz w:val="28"/>
            <w:szCs w:val="28"/>
          </w:rPr>
          <w:t xml:space="preserve">at </w:t>
        </w:r>
        <w:r w:rsidR="00963809" w:rsidRPr="00963809">
          <w:rPr>
            <w:rStyle w:val="Hyperlink"/>
            <w:sz w:val="28"/>
            <w:szCs w:val="28"/>
          </w:rPr>
          <w:t>226</w:t>
        </w:r>
        <w:r w:rsidR="00963809">
          <w:rPr>
            <w:rStyle w:val="Hyperlink"/>
            <w:sz w:val="28"/>
            <w:szCs w:val="28"/>
          </w:rPr>
          <w:t>, ¶ 96 (Madsen, J</w:t>
        </w:r>
        <w:r w:rsidR="007746CA">
          <w:rPr>
            <w:rStyle w:val="Hyperlink"/>
            <w:sz w:val="28"/>
            <w:szCs w:val="28"/>
          </w:rPr>
          <w:t>.</w:t>
        </w:r>
        <w:r w:rsidR="00963809">
          <w:rPr>
            <w:rStyle w:val="Hyperlink"/>
            <w:sz w:val="28"/>
            <w:szCs w:val="28"/>
          </w:rPr>
          <w:t>, dissenting)</w:t>
        </w:r>
      </w:hyperlink>
      <w:r w:rsidR="008E4109">
        <w:rPr>
          <w:sz w:val="28"/>
          <w:szCs w:val="28"/>
        </w:rPr>
        <w:t xml:space="preserve"> (</w:t>
      </w:r>
      <w:r w:rsidR="004F5A19">
        <w:rPr>
          <w:sz w:val="28"/>
          <w:szCs w:val="28"/>
        </w:rPr>
        <w:t>“</w:t>
      </w:r>
      <w:r w:rsidR="008E4109" w:rsidRPr="00963809">
        <w:rPr>
          <w:sz w:val="28"/>
          <w:szCs w:val="28"/>
        </w:rPr>
        <w:t>In giving no weight to the Arizona Supreme Court</w:t>
      </w:r>
      <w:r w:rsidR="004F5A19">
        <w:rPr>
          <w:sz w:val="28"/>
          <w:szCs w:val="28"/>
        </w:rPr>
        <w:t>’</w:t>
      </w:r>
      <w:r w:rsidR="008E4109" w:rsidRPr="00963809">
        <w:rPr>
          <w:sz w:val="28"/>
          <w:szCs w:val="28"/>
        </w:rPr>
        <w:t xml:space="preserve">s decision against admission, I believe the majority creates </w:t>
      </w:r>
      <w:r w:rsidR="008E4109" w:rsidRPr="008E4109">
        <w:rPr>
          <w:b/>
          <w:bCs/>
          <w:i/>
          <w:iCs/>
          <w:sz w:val="28"/>
          <w:szCs w:val="28"/>
        </w:rPr>
        <w:t xml:space="preserve">a substantially lower standard compared </w:t>
      </w:r>
      <w:r w:rsidR="008E4109" w:rsidRPr="008E4109">
        <w:rPr>
          <w:b/>
          <w:bCs/>
          <w:i/>
          <w:iCs/>
          <w:sz w:val="28"/>
          <w:szCs w:val="28"/>
        </w:rPr>
        <w:lastRenderedPageBreak/>
        <w:t>to other states</w:t>
      </w:r>
      <w:r w:rsidR="008E4109" w:rsidRPr="00963809">
        <w:rPr>
          <w:sz w:val="28"/>
          <w:szCs w:val="28"/>
        </w:rPr>
        <w:t>, which will encourage forum shopping by those with serious criminal records.</w:t>
      </w:r>
      <w:r w:rsidR="004F5A19">
        <w:rPr>
          <w:sz w:val="28"/>
          <w:szCs w:val="28"/>
        </w:rPr>
        <w:t>”</w:t>
      </w:r>
      <w:r w:rsidR="008E4109">
        <w:rPr>
          <w:sz w:val="28"/>
          <w:szCs w:val="28"/>
        </w:rPr>
        <w:t xml:space="preserve"> (emphasis added)).</w:t>
      </w:r>
    </w:p>
    <w:p w14:paraId="1143F67F" w14:textId="77777777" w:rsidR="006308F5" w:rsidRPr="004D7BD9" w:rsidRDefault="006308F5" w:rsidP="004D7BD9">
      <w:pPr>
        <w:pStyle w:val="BodyText"/>
        <w:spacing w:line="480" w:lineRule="auto"/>
        <w:ind w:firstLine="720"/>
        <w:contextualSpacing/>
        <w:rPr>
          <w:sz w:val="28"/>
          <w:szCs w:val="28"/>
        </w:rPr>
      </w:pPr>
      <w:r>
        <w:rPr>
          <w:sz w:val="28"/>
          <w:szCs w:val="28"/>
        </w:rPr>
        <w:t>Because other states utilize a lower standard in considering their applicants’ character and fitness, admission to the practice of law in another state is not reliable evidence that Arizona would similarly admit those applicants.</w:t>
      </w:r>
      <w:r w:rsidR="00454F44">
        <w:rPr>
          <w:sz w:val="28"/>
          <w:szCs w:val="28"/>
        </w:rPr>
        <w:t xml:space="preserve"> For that reason alone, the Committee urges the Court to reject this proposal.</w:t>
      </w:r>
      <w:r>
        <w:rPr>
          <w:sz w:val="28"/>
          <w:szCs w:val="28"/>
        </w:rPr>
        <w:t xml:space="preserve"> </w:t>
      </w:r>
    </w:p>
    <w:p w14:paraId="77541171" w14:textId="77777777" w:rsidR="00A90ED4" w:rsidRPr="00A90ED4" w:rsidRDefault="00A90ED4" w:rsidP="00A90ED4">
      <w:pPr>
        <w:pStyle w:val="BodyText"/>
        <w:spacing w:after="0" w:line="480" w:lineRule="auto"/>
        <w:ind w:firstLine="720"/>
        <w:contextualSpacing/>
        <w:jc w:val="center"/>
        <w:rPr>
          <w:sz w:val="28"/>
          <w:szCs w:val="28"/>
          <w:u w:val="single"/>
        </w:rPr>
      </w:pPr>
      <w:r>
        <w:rPr>
          <w:sz w:val="28"/>
          <w:szCs w:val="28"/>
          <w:u w:val="single"/>
        </w:rPr>
        <w:t>The Committee’s experience with AOM applicants</w:t>
      </w:r>
    </w:p>
    <w:p w14:paraId="6F2E1BCD" w14:textId="77777777" w:rsidR="005E7D67" w:rsidRDefault="00454F44" w:rsidP="004E1056">
      <w:pPr>
        <w:pStyle w:val="BodyText"/>
        <w:spacing w:after="0" w:line="480" w:lineRule="auto"/>
        <w:ind w:firstLine="720"/>
        <w:contextualSpacing/>
        <w:rPr>
          <w:sz w:val="28"/>
          <w:szCs w:val="28"/>
        </w:rPr>
      </w:pPr>
      <w:r>
        <w:rPr>
          <w:sz w:val="28"/>
          <w:szCs w:val="28"/>
        </w:rPr>
        <w:t>Additionally, even where standards of admission do not differ, admission to practice in another state does not reliably predict that an applicant would be admitted in Arizona. S</w:t>
      </w:r>
      <w:r w:rsidR="005A2D2E">
        <w:rPr>
          <w:sz w:val="28"/>
          <w:szCs w:val="28"/>
        </w:rPr>
        <w:t xml:space="preserve">ince 2017, there are </w:t>
      </w:r>
      <w:r>
        <w:rPr>
          <w:sz w:val="28"/>
          <w:szCs w:val="28"/>
        </w:rPr>
        <w:t>numerous</w:t>
      </w:r>
      <w:r w:rsidR="005A2D2E">
        <w:rPr>
          <w:sz w:val="28"/>
          <w:szCs w:val="28"/>
        </w:rPr>
        <w:t xml:space="preserve"> </w:t>
      </w:r>
      <w:r w:rsidR="00C97716">
        <w:rPr>
          <w:sz w:val="28"/>
          <w:szCs w:val="28"/>
        </w:rPr>
        <w:t>examples in which the Committee</w:t>
      </w:r>
      <w:r w:rsidR="004F5A19">
        <w:rPr>
          <w:sz w:val="28"/>
          <w:szCs w:val="28"/>
        </w:rPr>
        <w:t>’</w:t>
      </w:r>
      <w:r w:rsidR="005A50D1">
        <w:rPr>
          <w:sz w:val="28"/>
          <w:szCs w:val="28"/>
        </w:rPr>
        <w:t xml:space="preserve">s review has uncovered significant character and fitness issues for </w:t>
      </w:r>
      <w:r w:rsidR="00C97716">
        <w:rPr>
          <w:sz w:val="28"/>
          <w:szCs w:val="28"/>
        </w:rPr>
        <w:t>applicant</w:t>
      </w:r>
      <w:r w:rsidR="007402E1">
        <w:rPr>
          <w:sz w:val="28"/>
          <w:szCs w:val="28"/>
        </w:rPr>
        <w:t>s</w:t>
      </w:r>
      <w:r w:rsidR="00C97716">
        <w:rPr>
          <w:sz w:val="28"/>
          <w:szCs w:val="28"/>
        </w:rPr>
        <w:t xml:space="preserve"> </w:t>
      </w:r>
      <w:r w:rsidR="005A50D1">
        <w:rPr>
          <w:sz w:val="28"/>
          <w:szCs w:val="28"/>
        </w:rPr>
        <w:t xml:space="preserve">who are </w:t>
      </w:r>
      <w:r w:rsidR="005A2D2E">
        <w:rPr>
          <w:sz w:val="28"/>
          <w:szCs w:val="28"/>
        </w:rPr>
        <w:t xml:space="preserve">bar members </w:t>
      </w:r>
      <w:r w:rsidR="005A50D1">
        <w:rPr>
          <w:sz w:val="28"/>
          <w:szCs w:val="28"/>
        </w:rPr>
        <w:t xml:space="preserve">in </w:t>
      </w:r>
      <w:r w:rsidR="00C0072F">
        <w:rPr>
          <w:sz w:val="28"/>
          <w:szCs w:val="28"/>
        </w:rPr>
        <w:t xml:space="preserve">good standing in </w:t>
      </w:r>
      <w:r w:rsidR="009E559C">
        <w:rPr>
          <w:sz w:val="28"/>
          <w:szCs w:val="28"/>
        </w:rPr>
        <w:t>another</w:t>
      </w:r>
      <w:r w:rsidR="00C0072F">
        <w:rPr>
          <w:sz w:val="28"/>
          <w:szCs w:val="28"/>
        </w:rPr>
        <w:t xml:space="preserve"> jurisdiction</w:t>
      </w:r>
      <w:r w:rsidR="00EA1682">
        <w:rPr>
          <w:sz w:val="28"/>
          <w:szCs w:val="28"/>
        </w:rPr>
        <w:t>.</w:t>
      </w:r>
      <w:r w:rsidR="006308F5">
        <w:rPr>
          <w:sz w:val="28"/>
          <w:szCs w:val="28"/>
        </w:rPr>
        <w:t xml:space="preserve"> </w:t>
      </w:r>
    </w:p>
    <w:p w14:paraId="56ED7C23" w14:textId="77777777" w:rsidR="00DC1EBF" w:rsidRDefault="007D0C74" w:rsidP="004E1056">
      <w:pPr>
        <w:pStyle w:val="BodyText"/>
        <w:spacing w:after="0" w:line="480" w:lineRule="auto"/>
        <w:ind w:firstLine="720"/>
        <w:contextualSpacing/>
        <w:rPr>
          <w:sz w:val="28"/>
          <w:szCs w:val="28"/>
        </w:rPr>
      </w:pPr>
      <w:r>
        <w:rPr>
          <w:sz w:val="28"/>
          <w:szCs w:val="28"/>
        </w:rPr>
        <w:t xml:space="preserve">For example, </w:t>
      </w:r>
      <w:r w:rsidR="00DC1EBF">
        <w:rPr>
          <w:sz w:val="28"/>
          <w:szCs w:val="28"/>
        </w:rPr>
        <w:t>in 2017, an applicant to take the Arizona bar examination was already admitted to the New Mexico bar.</w:t>
      </w:r>
      <w:r w:rsidR="006308F5">
        <w:rPr>
          <w:sz w:val="28"/>
          <w:szCs w:val="28"/>
        </w:rPr>
        <w:t xml:space="preserve"> </w:t>
      </w:r>
      <w:r w:rsidR="00DC1EBF">
        <w:rPr>
          <w:sz w:val="28"/>
          <w:szCs w:val="28"/>
        </w:rPr>
        <w:t xml:space="preserve">The Committee recommended denying </w:t>
      </w:r>
      <w:r w:rsidR="005A6595">
        <w:rPr>
          <w:sz w:val="28"/>
          <w:szCs w:val="28"/>
        </w:rPr>
        <w:t>admission</w:t>
      </w:r>
      <w:r w:rsidR="00DC1EBF">
        <w:rPr>
          <w:sz w:val="28"/>
          <w:szCs w:val="28"/>
        </w:rPr>
        <w:t xml:space="preserve"> based on findings of unlawful conduct, misconduct in employment, and disregard of ethical or professional obligations.</w:t>
      </w:r>
      <w:r w:rsidR="006308F5">
        <w:rPr>
          <w:sz w:val="28"/>
          <w:szCs w:val="28"/>
        </w:rPr>
        <w:t xml:space="preserve"> </w:t>
      </w:r>
    </w:p>
    <w:p w14:paraId="6FC01D82" w14:textId="77777777" w:rsidR="005A50D1" w:rsidRDefault="00DC1EBF" w:rsidP="004E1056">
      <w:pPr>
        <w:pStyle w:val="BodyText"/>
        <w:spacing w:after="0" w:line="480" w:lineRule="auto"/>
        <w:ind w:firstLine="720"/>
        <w:contextualSpacing/>
        <w:rPr>
          <w:sz w:val="28"/>
          <w:szCs w:val="28"/>
        </w:rPr>
      </w:pPr>
      <w:r>
        <w:rPr>
          <w:sz w:val="28"/>
          <w:szCs w:val="28"/>
        </w:rPr>
        <w:t>I</w:t>
      </w:r>
      <w:r w:rsidR="005A50D1">
        <w:rPr>
          <w:sz w:val="28"/>
          <w:szCs w:val="28"/>
        </w:rPr>
        <w:t xml:space="preserve">n 2018, an </w:t>
      </w:r>
      <w:r w:rsidR="00631CE8">
        <w:rPr>
          <w:sz w:val="28"/>
          <w:szCs w:val="28"/>
        </w:rPr>
        <w:t>AOM</w:t>
      </w:r>
      <w:r w:rsidR="00797889">
        <w:rPr>
          <w:sz w:val="28"/>
          <w:szCs w:val="28"/>
        </w:rPr>
        <w:t xml:space="preserve"> </w:t>
      </w:r>
      <w:r w:rsidR="007D0C74">
        <w:rPr>
          <w:sz w:val="28"/>
          <w:szCs w:val="28"/>
        </w:rPr>
        <w:t xml:space="preserve">applicant was admitted to </w:t>
      </w:r>
      <w:r w:rsidR="007825BB">
        <w:rPr>
          <w:sz w:val="28"/>
          <w:szCs w:val="28"/>
        </w:rPr>
        <w:t xml:space="preserve">the </w:t>
      </w:r>
      <w:r w:rsidR="007D0C74">
        <w:rPr>
          <w:sz w:val="28"/>
          <w:szCs w:val="28"/>
        </w:rPr>
        <w:t>practice</w:t>
      </w:r>
      <w:r w:rsidR="005E7D67">
        <w:rPr>
          <w:sz w:val="28"/>
          <w:szCs w:val="28"/>
        </w:rPr>
        <w:t xml:space="preserve"> </w:t>
      </w:r>
      <w:r w:rsidR="007825BB">
        <w:rPr>
          <w:sz w:val="28"/>
          <w:szCs w:val="28"/>
        </w:rPr>
        <w:t xml:space="preserve">of </w:t>
      </w:r>
      <w:r w:rsidR="005E7D67">
        <w:rPr>
          <w:sz w:val="28"/>
          <w:szCs w:val="28"/>
        </w:rPr>
        <w:t>law</w:t>
      </w:r>
      <w:r w:rsidR="007D0C74">
        <w:rPr>
          <w:sz w:val="28"/>
          <w:szCs w:val="28"/>
        </w:rPr>
        <w:t xml:space="preserve"> in Illinois</w:t>
      </w:r>
      <w:r w:rsidR="001C5122">
        <w:rPr>
          <w:sz w:val="28"/>
          <w:szCs w:val="28"/>
        </w:rPr>
        <w:t>,</w:t>
      </w:r>
      <w:r w:rsidR="007D0C74">
        <w:rPr>
          <w:sz w:val="28"/>
          <w:szCs w:val="28"/>
        </w:rPr>
        <w:t xml:space="preserve"> but </w:t>
      </w:r>
      <w:r w:rsidR="00797889">
        <w:rPr>
          <w:sz w:val="28"/>
          <w:szCs w:val="28"/>
        </w:rPr>
        <w:t xml:space="preserve">the Committee recommended denying his application after discovering </w:t>
      </w:r>
      <w:r w:rsidR="006E5A30">
        <w:rPr>
          <w:sz w:val="28"/>
          <w:szCs w:val="28"/>
        </w:rPr>
        <w:t>unlawful conduct</w:t>
      </w:r>
      <w:r w:rsidR="00620C91">
        <w:rPr>
          <w:sz w:val="28"/>
          <w:szCs w:val="28"/>
        </w:rPr>
        <w:t xml:space="preserve">, </w:t>
      </w:r>
      <w:r w:rsidR="006E5A30">
        <w:rPr>
          <w:sz w:val="28"/>
          <w:szCs w:val="28"/>
        </w:rPr>
        <w:t>false statement</w:t>
      </w:r>
      <w:r w:rsidR="00797889">
        <w:rPr>
          <w:sz w:val="28"/>
          <w:szCs w:val="28"/>
        </w:rPr>
        <w:t>s</w:t>
      </w:r>
      <w:r w:rsidR="006E5A30">
        <w:rPr>
          <w:sz w:val="28"/>
          <w:szCs w:val="28"/>
        </w:rPr>
        <w:t xml:space="preserve">, disciplinary complaints, </w:t>
      </w:r>
      <w:r w:rsidR="00620C91">
        <w:rPr>
          <w:sz w:val="28"/>
          <w:szCs w:val="28"/>
        </w:rPr>
        <w:t xml:space="preserve">and </w:t>
      </w:r>
      <w:r w:rsidR="006E5A30">
        <w:rPr>
          <w:sz w:val="28"/>
          <w:szCs w:val="28"/>
        </w:rPr>
        <w:t>acts involving dishonesty, fraud, deceit, or misrepresentation.</w:t>
      </w:r>
      <w:r w:rsidR="006308F5">
        <w:rPr>
          <w:sz w:val="28"/>
          <w:szCs w:val="28"/>
        </w:rPr>
        <w:t xml:space="preserve"> </w:t>
      </w:r>
    </w:p>
    <w:p w14:paraId="3838F96A" w14:textId="77777777" w:rsidR="00EC2C6C" w:rsidRDefault="00EC2C6C" w:rsidP="004E1056">
      <w:pPr>
        <w:pStyle w:val="BodyText"/>
        <w:spacing w:after="0" w:line="480" w:lineRule="auto"/>
        <w:ind w:firstLine="720"/>
        <w:contextualSpacing/>
        <w:rPr>
          <w:sz w:val="28"/>
          <w:szCs w:val="28"/>
        </w:rPr>
      </w:pPr>
      <w:r>
        <w:rPr>
          <w:sz w:val="28"/>
          <w:szCs w:val="28"/>
        </w:rPr>
        <w:lastRenderedPageBreak/>
        <w:t>In 2019, a</w:t>
      </w:r>
      <w:r w:rsidR="00DC1EBF">
        <w:rPr>
          <w:sz w:val="28"/>
          <w:szCs w:val="28"/>
        </w:rPr>
        <w:t xml:space="preserve"> UBE</w:t>
      </w:r>
      <w:r w:rsidR="00454F44">
        <w:rPr>
          <w:sz w:val="28"/>
          <w:szCs w:val="28"/>
        </w:rPr>
        <w:t xml:space="preserve"> </w:t>
      </w:r>
      <w:r w:rsidR="00DC1EBF">
        <w:rPr>
          <w:sz w:val="28"/>
          <w:szCs w:val="28"/>
        </w:rPr>
        <w:t xml:space="preserve">transfer </w:t>
      </w:r>
      <w:r>
        <w:rPr>
          <w:sz w:val="28"/>
          <w:szCs w:val="28"/>
        </w:rPr>
        <w:t xml:space="preserve">applicant was </w:t>
      </w:r>
      <w:r w:rsidR="00CF7998">
        <w:rPr>
          <w:sz w:val="28"/>
          <w:szCs w:val="28"/>
        </w:rPr>
        <w:t xml:space="preserve">an active member of the </w:t>
      </w:r>
      <w:r>
        <w:rPr>
          <w:sz w:val="28"/>
          <w:szCs w:val="28"/>
        </w:rPr>
        <w:t>Missouri</w:t>
      </w:r>
      <w:r w:rsidR="00CF7998">
        <w:rPr>
          <w:sz w:val="28"/>
          <w:szCs w:val="28"/>
        </w:rPr>
        <w:t xml:space="preserve"> bar</w:t>
      </w:r>
      <w:r>
        <w:rPr>
          <w:sz w:val="28"/>
          <w:szCs w:val="28"/>
        </w:rPr>
        <w:t>.</w:t>
      </w:r>
      <w:r w:rsidR="006308F5">
        <w:rPr>
          <w:sz w:val="28"/>
          <w:szCs w:val="28"/>
        </w:rPr>
        <w:t xml:space="preserve"> </w:t>
      </w:r>
      <w:r>
        <w:rPr>
          <w:sz w:val="28"/>
          <w:szCs w:val="28"/>
        </w:rPr>
        <w:t xml:space="preserve">The Committee </w:t>
      </w:r>
      <w:r w:rsidR="00797889">
        <w:rPr>
          <w:sz w:val="28"/>
          <w:szCs w:val="28"/>
        </w:rPr>
        <w:t xml:space="preserve">recommended denying </w:t>
      </w:r>
      <w:r>
        <w:rPr>
          <w:sz w:val="28"/>
          <w:szCs w:val="28"/>
        </w:rPr>
        <w:t xml:space="preserve">the application after finding evidence of </w:t>
      </w:r>
      <w:r w:rsidRPr="00EC2C6C">
        <w:rPr>
          <w:sz w:val="28"/>
          <w:szCs w:val="28"/>
        </w:rPr>
        <w:t>disregard of ethical or professional obligations</w:t>
      </w:r>
      <w:r>
        <w:rPr>
          <w:sz w:val="28"/>
          <w:szCs w:val="28"/>
        </w:rPr>
        <w:t>, and false statements.</w:t>
      </w:r>
      <w:r w:rsidR="006308F5">
        <w:rPr>
          <w:sz w:val="28"/>
          <w:szCs w:val="28"/>
        </w:rPr>
        <w:t xml:space="preserve"> </w:t>
      </w:r>
    </w:p>
    <w:p w14:paraId="7CC534A4" w14:textId="77777777" w:rsidR="00EC2C6C" w:rsidRDefault="00EC2C6C" w:rsidP="004E1056">
      <w:pPr>
        <w:pStyle w:val="BodyText"/>
        <w:spacing w:after="0" w:line="480" w:lineRule="auto"/>
        <w:ind w:firstLine="720"/>
        <w:contextualSpacing/>
        <w:rPr>
          <w:sz w:val="28"/>
          <w:szCs w:val="28"/>
        </w:rPr>
      </w:pPr>
      <w:r>
        <w:rPr>
          <w:sz w:val="28"/>
          <w:szCs w:val="28"/>
        </w:rPr>
        <w:t>Another 2019 applicant applied to take the Arizona bar exam.</w:t>
      </w:r>
      <w:r w:rsidR="006308F5">
        <w:rPr>
          <w:sz w:val="28"/>
          <w:szCs w:val="28"/>
        </w:rPr>
        <w:t xml:space="preserve"> </w:t>
      </w:r>
      <w:r>
        <w:rPr>
          <w:sz w:val="28"/>
          <w:szCs w:val="28"/>
        </w:rPr>
        <w:t>That applicant had been a member of the New York bar since 2003</w:t>
      </w:r>
      <w:r w:rsidR="00454F44">
        <w:rPr>
          <w:sz w:val="28"/>
          <w:szCs w:val="28"/>
        </w:rPr>
        <w:t>,</w:t>
      </w:r>
      <w:r>
        <w:rPr>
          <w:sz w:val="28"/>
          <w:szCs w:val="28"/>
        </w:rPr>
        <w:t xml:space="preserve"> but the Committee</w:t>
      </w:r>
      <w:r w:rsidR="00DC1EBF">
        <w:rPr>
          <w:sz w:val="28"/>
          <w:szCs w:val="28"/>
        </w:rPr>
        <w:t xml:space="preserve"> recommended denying the application after discovering </w:t>
      </w:r>
      <w:r w:rsidR="00797889">
        <w:rPr>
          <w:sz w:val="28"/>
          <w:szCs w:val="28"/>
        </w:rPr>
        <w:t>u</w:t>
      </w:r>
      <w:r w:rsidR="00797889" w:rsidRPr="00797889">
        <w:rPr>
          <w:sz w:val="28"/>
          <w:szCs w:val="28"/>
        </w:rPr>
        <w:t>nlawful conduct</w:t>
      </w:r>
      <w:r w:rsidR="00797889">
        <w:rPr>
          <w:sz w:val="28"/>
          <w:szCs w:val="28"/>
        </w:rPr>
        <w:t xml:space="preserve">, </w:t>
      </w:r>
      <w:r w:rsidR="00797889" w:rsidRPr="00797889">
        <w:rPr>
          <w:sz w:val="28"/>
          <w:szCs w:val="28"/>
        </w:rPr>
        <w:t>false statement</w:t>
      </w:r>
      <w:r w:rsidR="00797889">
        <w:rPr>
          <w:sz w:val="28"/>
          <w:szCs w:val="28"/>
        </w:rPr>
        <w:t>s</w:t>
      </w:r>
      <w:r w:rsidR="00797889" w:rsidRPr="00797889">
        <w:rPr>
          <w:sz w:val="28"/>
          <w:szCs w:val="28"/>
        </w:rPr>
        <w:t xml:space="preserve">, disciplinary complaints, </w:t>
      </w:r>
      <w:r w:rsidR="00797889">
        <w:rPr>
          <w:sz w:val="28"/>
          <w:szCs w:val="28"/>
        </w:rPr>
        <w:t xml:space="preserve">and </w:t>
      </w:r>
      <w:r w:rsidR="00797889" w:rsidRPr="00797889">
        <w:rPr>
          <w:sz w:val="28"/>
          <w:szCs w:val="28"/>
        </w:rPr>
        <w:t>acts involving dishonesty, fraud, deceit, or misrepresentation</w:t>
      </w:r>
      <w:r w:rsidR="00797889">
        <w:rPr>
          <w:sz w:val="28"/>
          <w:szCs w:val="28"/>
        </w:rPr>
        <w:t>.</w:t>
      </w:r>
      <w:r w:rsidR="006308F5">
        <w:rPr>
          <w:sz w:val="28"/>
          <w:szCs w:val="28"/>
        </w:rPr>
        <w:t xml:space="preserve"> </w:t>
      </w:r>
    </w:p>
    <w:p w14:paraId="34816F51" w14:textId="77777777" w:rsidR="006E1BC6" w:rsidRDefault="005A50D1" w:rsidP="004E1056">
      <w:pPr>
        <w:pStyle w:val="BodyText"/>
        <w:spacing w:after="0" w:line="480" w:lineRule="auto"/>
        <w:ind w:firstLine="720"/>
        <w:contextualSpacing/>
        <w:rPr>
          <w:sz w:val="28"/>
          <w:szCs w:val="28"/>
        </w:rPr>
      </w:pPr>
      <w:r>
        <w:rPr>
          <w:sz w:val="28"/>
          <w:szCs w:val="28"/>
        </w:rPr>
        <w:t xml:space="preserve">A 2020 </w:t>
      </w:r>
      <w:r w:rsidR="005E7D67">
        <w:rPr>
          <w:sz w:val="28"/>
          <w:szCs w:val="28"/>
        </w:rPr>
        <w:t xml:space="preserve">applicant was admitted to practice in Utah and New Jersey, and was eventually admitted </w:t>
      </w:r>
      <w:r w:rsidR="0080607C">
        <w:rPr>
          <w:sz w:val="28"/>
          <w:szCs w:val="28"/>
        </w:rPr>
        <w:t xml:space="preserve">on motion </w:t>
      </w:r>
      <w:r w:rsidR="005E7D67">
        <w:rPr>
          <w:sz w:val="28"/>
          <w:szCs w:val="28"/>
        </w:rPr>
        <w:t xml:space="preserve">in Arizona, but </w:t>
      </w:r>
      <w:r w:rsidR="00DC1EBF">
        <w:rPr>
          <w:sz w:val="28"/>
          <w:szCs w:val="28"/>
        </w:rPr>
        <w:t>the Committee</w:t>
      </w:r>
      <w:r w:rsidR="004F5A19">
        <w:rPr>
          <w:sz w:val="28"/>
          <w:szCs w:val="28"/>
        </w:rPr>
        <w:t>’</w:t>
      </w:r>
      <w:r w:rsidR="00DC1EBF">
        <w:rPr>
          <w:sz w:val="28"/>
          <w:szCs w:val="28"/>
        </w:rPr>
        <w:t xml:space="preserve">s </w:t>
      </w:r>
      <w:r w:rsidR="005E7D67">
        <w:rPr>
          <w:sz w:val="28"/>
          <w:szCs w:val="28"/>
        </w:rPr>
        <w:t xml:space="preserve">review revealed a disregard of ethical or professional obligations, </w:t>
      </w:r>
      <w:r w:rsidR="00A719FE">
        <w:rPr>
          <w:sz w:val="28"/>
          <w:szCs w:val="28"/>
        </w:rPr>
        <w:t xml:space="preserve">misconduct in employment, disciplinary complaints, </w:t>
      </w:r>
      <w:r w:rsidR="005E7D67">
        <w:rPr>
          <w:sz w:val="28"/>
          <w:szCs w:val="28"/>
        </w:rPr>
        <w:t xml:space="preserve">false statements, </w:t>
      </w:r>
      <w:r w:rsidR="00A719FE">
        <w:rPr>
          <w:sz w:val="28"/>
          <w:szCs w:val="28"/>
        </w:rPr>
        <w:t xml:space="preserve">and </w:t>
      </w:r>
      <w:r w:rsidR="005E7D67">
        <w:rPr>
          <w:sz w:val="28"/>
          <w:szCs w:val="28"/>
        </w:rPr>
        <w:t>acts involving dishonesty, fraud, deceit</w:t>
      </w:r>
      <w:r w:rsidR="007402E1">
        <w:rPr>
          <w:sz w:val="28"/>
          <w:szCs w:val="28"/>
        </w:rPr>
        <w:t>,</w:t>
      </w:r>
      <w:r w:rsidR="005E7D67">
        <w:rPr>
          <w:sz w:val="28"/>
          <w:szCs w:val="28"/>
        </w:rPr>
        <w:t xml:space="preserve"> or misrepresentation.</w:t>
      </w:r>
      <w:r w:rsidR="006308F5">
        <w:rPr>
          <w:sz w:val="28"/>
          <w:szCs w:val="28"/>
        </w:rPr>
        <w:t xml:space="preserve"> </w:t>
      </w:r>
    </w:p>
    <w:p w14:paraId="64983417" w14:textId="77777777" w:rsidR="00DC1EBF" w:rsidRDefault="00DC1EBF" w:rsidP="004E1056">
      <w:pPr>
        <w:pStyle w:val="BodyText"/>
        <w:spacing w:after="0" w:line="480" w:lineRule="auto"/>
        <w:ind w:firstLine="720"/>
        <w:contextualSpacing/>
        <w:rPr>
          <w:sz w:val="28"/>
          <w:szCs w:val="28"/>
        </w:rPr>
      </w:pPr>
      <w:r>
        <w:rPr>
          <w:sz w:val="28"/>
          <w:szCs w:val="28"/>
        </w:rPr>
        <w:t>A</w:t>
      </w:r>
      <w:r w:rsidR="00CB59B3">
        <w:rPr>
          <w:sz w:val="28"/>
          <w:szCs w:val="28"/>
        </w:rPr>
        <w:t>nother</w:t>
      </w:r>
      <w:r>
        <w:rPr>
          <w:sz w:val="28"/>
          <w:szCs w:val="28"/>
        </w:rPr>
        <w:t xml:space="preserve"> 2020 UBE</w:t>
      </w:r>
      <w:r w:rsidR="00454F44">
        <w:rPr>
          <w:sz w:val="28"/>
          <w:szCs w:val="28"/>
        </w:rPr>
        <w:t xml:space="preserve"> </w:t>
      </w:r>
      <w:r>
        <w:rPr>
          <w:sz w:val="28"/>
          <w:szCs w:val="28"/>
        </w:rPr>
        <w:t xml:space="preserve">transfer applicant was </w:t>
      </w:r>
      <w:r w:rsidR="00CB59B3">
        <w:rPr>
          <w:sz w:val="28"/>
          <w:szCs w:val="28"/>
        </w:rPr>
        <w:t xml:space="preserve">a member of the New York </w:t>
      </w:r>
      <w:r w:rsidR="00454F44">
        <w:rPr>
          <w:sz w:val="28"/>
          <w:szCs w:val="28"/>
        </w:rPr>
        <w:t>B</w:t>
      </w:r>
      <w:r w:rsidR="00CB59B3">
        <w:rPr>
          <w:sz w:val="28"/>
          <w:szCs w:val="28"/>
        </w:rPr>
        <w:t>ar.</w:t>
      </w:r>
      <w:r w:rsidR="006308F5">
        <w:rPr>
          <w:sz w:val="28"/>
          <w:szCs w:val="28"/>
        </w:rPr>
        <w:t xml:space="preserve"> </w:t>
      </w:r>
      <w:r w:rsidR="00CB59B3">
        <w:rPr>
          <w:sz w:val="28"/>
          <w:szCs w:val="28"/>
        </w:rPr>
        <w:t xml:space="preserve">The Committee recommended denying the application </w:t>
      </w:r>
      <w:r w:rsidR="005A6595">
        <w:rPr>
          <w:sz w:val="28"/>
          <w:szCs w:val="28"/>
        </w:rPr>
        <w:t>based on</w:t>
      </w:r>
      <w:r w:rsidR="00CB59B3">
        <w:rPr>
          <w:sz w:val="28"/>
          <w:szCs w:val="28"/>
        </w:rPr>
        <w:t xml:space="preserve"> a history of academic misconduct, unlawful conduct, and a disciplinary complaint.</w:t>
      </w:r>
      <w:r w:rsidR="006308F5">
        <w:rPr>
          <w:sz w:val="28"/>
          <w:szCs w:val="28"/>
        </w:rPr>
        <w:t xml:space="preserve"> </w:t>
      </w:r>
      <w:r w:rsidR="005A6595">
        <w:rPr>
          <w:sz w:val="28"/>
          <w:szCs w:val="28"/>
        </w:rPr>
        <w:t>The applicant subsequently returned to practice in New York</w:t>
      </w:r>
      <w:r w:rsidR="0021091A">
        <w:rPr>
          <w:sz w:val="28"/>
          <w:szCs w:val="28"/>
        </w:rPr>
        <w:t xml:space="preserve">, </w:t>
      </w:r>
      <w:r w:rsidR="004E0172">
        <w:rPr>
          <w:sz w:val="28"/>
          <w:szCs w:val="28"/>
        </w:rPr>
        <w:t xml:space="preserve">but </w:t>
      </w:r>
      <w:r w:rsidR="0021091A">
        <w:rPr>
          <w:sz w:val="28"/>
          <w:szCs w:val="28"/>
        </w:rPr>
        <w:t>l</w:t>
      </w:r>
      <w:r w:rsidR="005A6595">
        <w:rPr>
          <w:sz w:val="28"/>
          <w:szCs w:val="28"/>
        </w:rPr>
        <w:t>ater ple</w:t>
      </w:r>
      <w:r w:rsidR="004E0172">
        <w:rPr>
          <w:sz w:val="28"/>
          <w:szCs w:val="28"/>
        </w:rPr>
        <w:t xml:space="preserve">d </w:t>
      </w:r>
      <w:r w:rsidR="005A6595">
        <w:rPr>
          <w:sz w:val="28"/>
          <w:szCs w:val="28"/>
        </w:rPr>
        <w:t xml:space="preserve">guilty to eight </w:t>
      </w:r>
      <w:r w:rsidR="004E0172">
        <w:rPr>
          <w:sz w:val="28"/>
          <w:szCs w:val="28"/>
        </w:rPr>
        <w:t xml:space="preserve">counts of </w:t>
      </w:r>
      <w:r w:rsidR="005A6595">
        <w:rPr>
          <w:sz w:val="28"/>
          <w:szCs w:val="28"/>
        </w:rPr>
        <w:t>felony sex crimes</w:t>
      </w:r>
      <w:r w:rsidR="0021091A">
        <w:rPr>
          <w:sz w:val="28"/>
          <w:szCs w:val="28"/>
        </w:rPr>
        <w:t xml:space="preserve"> and surrender</w:t>
      </w:r>
      <w:r w:rsidR="004E0172">
        <w:rPr>
          <w:sz w:val="28"/>
          <w:szCs w:val="28"/>
        </w:rPr>
        <w:t xml:space="preserve">ed his </w:t>
      </w:r>
      <w:r w:rsidR="0021091A">
        <w:rPr>
          <w:sz w:val="28"/>
          <w:szCs w:val="28"/>
        </w:rPr>
        <w:t>law license</w:t>
      </w:r>
      <w:r w:rsidR="005A6595">
        <w:rPr>
          <w:sz w:val="28"/>
          <w:szCs w:val="28"/>
        </w:rPr>
        <w:t>.</w:t>
      </w:r>
    </w:p>
    <w:p w14:paraId="3E134300" w14:textId="77777777" w:rsidR="00EC2C6C" w:rsidRDefault="00EC2C6C" w:rsidP="004E1056">
      <w:pPr>
        <w:pStyle w:val="BodyText"/>
        <w:spacing w:after="0" w:line="480" w:lineRule="auto"/>
        <w:ind w:firstLine="720"/>
        <w:contextualSpacing/>
        <w:rPr>
          <w:sz w:val="28"/>
          <w:szCs w:val="28"/>
        </w:rPr>
      </w:pPr>
      <w:r>
        <w:rPr>
          <w:sz w:val="28"/>
          <w:szCs w:val="28"/>
        </w:rPr>
        <w:t>A 2021 bar-exam applicant was already admitted in New York.</w:t>
      </w:r>
      <w:r w:rsidR="006308F5">
        <w:rPr>
          <w:sz w:val="28"/>
          <w:szCs w:val="28"/>
        </w:rPr>
        <w:t xml:space="preserve"> </w:t>
      </w:r>
      <w:r>
        <w:rPr>
          <w:sz w:val="28"/>
          <w:szCs w:val="28"/>
        </w:rPr>
        <w:t xml:space="preserve">The Committee </w:t>
      </w:r>
      <w:r w:rsidR="00DC1EBF">
        <w:rPr>
          <w:sz w:val="28"/>
          <w:szCs w:val="28"/>
        </w:rPr>
        <w:t xml:space="preserve">recommended </w:t>
      </w:r>
      <w:r>
        <w:rPr>
          <w:sz w:val="28"/>
          <w:szCs w:val="28"/>
        </w:rPr>
        <w:t>den</w:t>
      </w:r>
      <w:r w:rsidR="00DC1EBF">
        <w:rPr>
          <w:sz w:val="28"/>
          <w:szCs w:val="28"/>
        </w:rPr>
        <w:t>ying the</w:t>
      </w:r>
      <w:r>
        <w:rPr>
          <w:sz w:val="28"/>
          <w:szCs w:val="28"/>
        </w:rPr>
        <w:t xml:space="preserve"> application after uncovering d</w:t>
      </w:r>
      <w:r w:rsidRPr="00EC2C6C">
        <w:rPr>
          <w:sz w:val="28"/>
          <w:szCs w:val="28"/>
        </w:rPr>
        <w:t xml:space="preserve">isciplinary </w:t>
      </w:r>
      <w:r w:rsidRPr="00EC2C6C">
        <w:rPr>
          <w:sz w:val="28"/>
          <w:szCs w:val="28"/>
        </w:rPr>
        <w:lastRenderedPageBreak/>
        <w:t>complaints</w:t>
      </w:r>
      <w:r>
        <w:rPr>
          <w:sz w:val="28"/>
          <w:szCs w:val="28"/>
        </w:rPr>
        <w:t>,</w:t>
      </w:r>
      <w:r w:rsidR="001C5122">
        <w:rPr>
          <w:sz w:val="28"/>
          <w:szCs w:val="28"/>
        </w:rPr>
        <w:t xml:space="preserve"> a disregard of ethical or professional obligations,</w:t>
      </w:r>
      <w:r>
        <w:rPr>
          <w:sz w:val="28"/>
          <w:szCs w:val="28"/>
        </w:rPr>
        <w:t xml:space="preserve"> </w:t>
      </w:r>
      <w:r w:rsidRPr="00EC2C6C">
        <w:rPr>
          <w:sz w:val="28"/>
          <w:szCs w:val="28"/>
        </w:rPr>
        <w:t>unlawful conduct</w:t>
      </w:r>
      <w:r>
        <w:rPr>
          <w:sz w:val="28"/>
          <w:szCs w:val="28"/>
        </w:rPr>
        <w:t xml:space="preserve">, </w:t>
      </w:r>
      <w:r w:rsidRPr="00EC2C6C">
        <w:rPr>
          <w:sz w:val="28"/>
          <w:szCs w:val="28"/>
        </w:rPr>
        <w:t>substance abuse</w:t>
      </w:r>
      <w:r>
        <w:rPr>
          <w:sz w:val="28"/>
          <w:szCs w:val="28"/>
        </w:rPr>
        <w:t xml:space="preserve">, and </w:t>
      </w:r>
      <w:r w:rsidRPr="00EC2C6C">
        <w:rPr>
          <w:sz w:val="28"/>
          <w:szCs w:val="28"/>
        </w:rPr>
        <w:t>false statements</w:t>
      </w:r>
      <w:r>
        <w:rPr>
          <w:sz w:val="28"/>
          <w:szCs w:val="28"/>
        </w:rPr>
        <w:t>.</w:t>
      </w:r>
      <w:r w:rsidR="006308F5">
        <w:rPr>
          <w:sz w:val="28"/>
          <w:szCs w:val="28"/>
        </w:rPr>
        <w:t xml:space="preserve"> </w:t>
      </w:r>
    </w:p>
    <w:p w14:paraId="03FE3F61" w14:textId="77777777" w:rsidR="005A50D1" w:rsidRDefault="00EC2C6C" w:rsidP="004E1056">
      <w:pPr>
        <w:pStyle w:val="BodyText"/>
        <w:spacing w:after="0" w:line="480" w:lineRule="auto"/>
        <w:ind w:firstLine="720"/>
        <w:contextualSpacing/>
        <w:rPr>
          <w:sz w:val="28"/>
          <w:szCs w:val="28"/>
        </w:rPr>
      </w:pPr>
      <w:r>
        <w:rPr>
          <w:sz w:val="28"/>
          <w:szCs w:val="28"/>
        </w:rPr>
        <w:t>In 2022, an applicant to transfer his UBE score was admitted in West Virginia.</w:t>
      </w:r>
      <w:r w:rsidR="006308F5">
        <w:rPr>
          <w:sz w:val="28"/>
          <w:szCs w:val="28"/>
        </w:rPr>
        <w:t xml:space="preserve"> </w:t>
      </w:r>
      <w:r>
        <w:rPr>
          <w:sz w:val="28"/>
          <w:szCs w:val="28"/>
        </w:rPr>
        <w:t>During the character and fitness process, the Committee uncovered evidence of unlawful conduct, academic and employment misconduct, and false statements.</w:t>
      </w:r>
      <w:r w:rsidR="006308F5">
        <w:rPr>
          <w:sz w:val="28"/>
          <w:szCs w:val="28"/>
        </w:rPr>
        <w:t xml:space="preserve"> </w:t>
      </w:r>
      <w:r>
        <w:rPr>
          <w:sz w:val="28"/>
          <w:szCs w:val="28"/>
        </w:rPr>
        <w:t xml:space="preserve"> </w:t>
      </w:r>
    </w:p>
    <w:p w14:paraId="4BD220B0" w14:textId="77777777" w:rsidR="00811585" w:rsidRDefault="00811585" w:rsidP="004F5A19">
      <w:pPr>
        <w:pStyle w:val="BodyText"/>
        <w:spacing w:after="0" w:line="480" w:lineRule="auto"/>
        <w:ind w:firstLine="720"/>
        <w:contextualSpacing/>
        <w:rPr>
          <w:sz w:val="28"/>
          <w:szCs w:val="28"/>
        </w:rPr>
      </w:pPr>
      <w:r>
        <w:rPr>
          <w:sz w:val="28"/>
          <w:szCs w:val="28"/>
        </w:rPr>
        <w:t>A 2024 AOM applicant was admitted to practice in Pennsylvania and Michigan. The Committee recommended denying the application based on a history of DUI/Reckless Driving, substance abuse, false statements to the Committee, and disciplinary complaints.</w:t>
      </w:r>
    </w:p>
    <w:p w14:paraId="573CDF78" w14:textId="77777777" w:rsidR="00A90ED4" w:rsidRDefault="00A90ED4" w:rsidP="004F5A19">
      <w:pPr>
        <w:pStyle w:val="BodyText"/>
        <w:spacing w:after="0" w:line="480" w:lineRule="auto"/>
        <w:ind w:firstLine="720"/>
        <w:contextualSpacing/>
        <w:rPr>
          <w:sz w:val="28"/>
          <w:szCs w:val="28"/>
        </w:rPr>
      </w:pPr>
      <w:r>
        <w:rPr>
          <w:sz w:val="28"/>
          <w:szCs w:val="28"/>
        </w:rPr>
        <w:t>A 2025 UBE transfer applicant was admitted to practice in Nevada, California, and Utah. The Committee recommended denying the application based on a mortgage fraud conviction and subsequent disbarment and reinstatement in Nevada, California, and Utah.</w:t>
      </w:r>
    </w:p>
    <w:p w14:paraId="5555EF23" w14:textId="77777777" w:rsidR="00A90ED4" w:rsidRPr="00A90ED4" w:rsidRDefault="00A90ED4" w:rsidP="00CE552A">
      <w:pPr>
        <w:pStyle w:val="BodyText"/>
        <w:spacing w:after="0" w:line="480" w:lineRule="auto"/>
        <w:ind w:firstLine="720"/>
        <w:contextualSpacing/>
        <w:jc w:val="center"/>
        <w:rPr>
          <w:sz w:val="28"/>
          <w:szCs w:val="28"/>
          <w:u w:val="single"/>
        </w:rPr>
      </w:pPr>
      <w:r>
        <w:rPr>
          <w:sz w:val="28"/>
          <w:szCs w:val="28"/>
          <w:u w:val="single"/>
        </w:rPr>
        <w:t>Informal inquiry/formal hearing frequency</w:t>
      </w:r>
    </w:p>
    <w:p w14:paraId="5CC3E4CF" w14:textId="77777777" w:rsidR="00A90ED4" w:rsidRDefault="00A90ED4" w:rsidP="004F5A19">
      <w:pPr>
        <w:pStyle w:val="BodyText"/>
        <w:spacing w:after="0" w:line="480" w:lineRule="auto"/>
        <w:ind w:firstLine="720"/>
        <w:contextualSpacing/>
        <w:rPr>
          <w:sz w:val="28"/>
          <w:szCs w:val="28"/>
        </w:rPr>
      </w:pPr>
      <w:r>
        <w:rPr>
          <w:sz w:val="28"/>
          <w:szCs w:val="28"/>
        </w:rPr>
        <w:t xml:space="preserve">Under Rule 36(d), when the investigating member determines that an applicant </w:t>
      </w:r>
      <w:r w:rsidR="00502204">
        <w:rPr>
          <w:sz w:val="28"/>
          <w:szCs w:val="28"/>
        </w:rPr>
        <w:t xml:space="preserve">cannot be recommended for admission, or where there are “allegations of serious misconduct by the applicant,” the matter is set for an informal inquiry pursuant to Rule 36(e) or a formal hearing pursuant to Rule 36(f). </w:t>
      </w:r>
    </w:p>
    <w:p w14:paraId="622DC3E5" w14:textId="77777777" w:rsidR="00502204" w:rsidRDefault="00163EF8" w:rsidP="004F5A19">
      <w:pPr>
        <w:pStyle w:val="BodyText"/>
        <w:spacing w:after="0" w:line="480" w:lineRule="auto"/>
        <w:ind w:firstLine="720"/>
        <w:contextualSpacing/>
        <w:rPr>
          <w:sz w:val="28"/>
          <w:szCs w:val="28"/>
        </w:rPr>
      </w:pPr>
      <w:r>
        <w:rPr>
          <w:sz w:val="28"/>
          <w:szCs w:val="28"/>
        </w:rPr>
        <w:lastRenderedPageBreak/>
        <w:t xml:space="preserve">From </w:t>
      </w:r>
      <w:r w:rsidR="00502204">
        <w:rPr>
          <w:sz w:val="28"/>
          <w:szCs w:val="28"/>
        </w:rPr>
        <w:t>2023</w:t>
      </w:r>
      <w:r>
        <w:rPr>
          <w:sz w:val="28"/>
          <w:szCs w:val="28"/>
        </w:rPr>
        <w:t xml:space="preserve"> through 2025</w:t>
      </w:r>
      <w:r w:rsidR="00502204">
        <w:rPr>
          <w:sz w:val="28"/>
          <w:szCs w:val="28"/>
        </w:rPr>
        <w:t>, AOM applicants made up 3</w:t>
      </w:r>
      <w:r>
        <w:rPr>
          <w:sz w:val="28"/>
          <w:szCs w:val="28"/>
        </w:rPr>
        <w:t>3.9</w:t>
      </w:r>
      <w:r w:rsidR="00502204">
        <w:rPr>
          <w:sz w:val="28"/>
          <w:szCs w:val="28"/>
        </w:rPr>
        <w:t>% of all admissions to practice</w:t>
      </w:r>
      <w:r>
        <w:rPr>
          <w:sz w:val="28"/>
          <w:szCs w:val="28"/>
        </w:rPr>
        <w:t xml:space="preserve">. For that same period, AOM applicants </w:t>
      </w:r>
      <w:r w:rsidR="00CE552A">
        <w:rPr>
          <w:sz w:val="28"/>
          <w:szCs w:val="28"/>
        </w:rPr>
        <w:t>represented</w:t>
      </w:r>
      <w:r>
        <w:rPr>
          <w:sz w:val="28"/>
          <w:szCs w:val="28"/>
        </w:rPr>
        <w:t xml:space="preserve"> 42.6% of all matters </w:t>
      </w:r>
      <w:r w:rsidR="00CE552A">
        <w:rPr>
          <w:sz w:val="28"/>
          <w:szCs w:val="28"/>
        </w:rPr>
        <w:t>that went to an</w:t>
      </w:r>
      <w:r>
        <w:rPr>
          <w:sz w:val="28"/>
          <w:szCs w:val="28"/>
        </w:rPr>
        <w:t xml:space="preserve"> inquiry or hearing. In other words, AOM applicants were </w:t>
      </w:r>
      <w:r w:rsidRPr="00163EF8">
        <w:rPr>
          <w:i/>
          <w:iCs/>
          <w:sz w:val="28"/>
          <w:szCs w:val="28"/>
        </w:rPr>
        <w:t>substantially more likely</w:t>
      </w:r>
      <w:r>
        <w:rPr>
          <w:sz w:val="28"/>
          <w:szCs w:val="28"/>
        </w:rPr>
        <w:t xml:space="preserve"> to have issues resulting in an inquiry or hearing than other kinds of applicants.</w:t>
      </w:r>
      <w:r w:rsidR="00502204">
        <w:rPr>
          <w:sz w:val="28"/>
          <w:szCs w:val="28"/>
        </w:rPr>
        <w:t xml:space="preserve"> </w:t>
      </w:r>
    </w:p>
    <w:p w14:paraId="10C11B36" w14:textId="77777777" w:rsidR="004F5A19" w:rsidRDefault="00163EF8" w:rsidP="004F5A19">
      <w:pPr>
        <w:pStyle w:val="BodyText"/>
        <w:spacing w:after="0" w:line="480" w:lineRule="auto"/>
        <w:ind w:firstLine="720"/>
        <w:contextualSpacing/>
        <w:rPr>
          <w:sz w:val="28"/>
          <w:szCs w:val="28"/>
        </w:rPr>
      </w:pPr>
      <w:r>
        <w:rPr>
          <w:sz w:val="28"/>
          <w:szCs w:val="28"/>
        </w:rPr>
        <w:t>Those percentages may actually underestimate the frequency with which</w:t>
      </w:r>
      <w:r w:rsidR="00CE552A">
        <w:rPr>
          <w:sz w:val="28"/>
          <w:szCs w:val="28"/>
        </w:rPr>
        <w:t xml:space="preserve"> AOM applicants have significant character and fitness issues because</w:t>
      </w:r>
      <w:r w:rsidR="00873AE9">
        <w:rPr>
          <w:sz w:val="28"/>
          <w:szCs w:val="28"/>
        </w:rPr>
        <w:t xml:space="preserve">, </w:t>
      </w:r>
      <w:r>
        <w:rPr>
          <w:sz w:val="28"/>
          <w:szCs w:val="28"/>
        </w:rPr>
        <w:t xml:space="preserve">on 10 separate </w:t>
      </w:r>
      <w:r w:rsidR="00873AE9">
        <w:rPr>
          <w:sz w:val="28"/>
          <w:szCs w:val="28"/>
        </w:rPr>
        <w:t>occasions over the past three years, a</w:t>
      </w:r>
      <w:r w:rsidR="00E07001">
        <w:rPr>
          <w:sz w:val="28"/>
          <w:szCs w:val="28"/>
        </w:rPr>
        <w:t xml:space="preserve">n </w:t>
      </w:r>
      <w:r w:rsidR="00CE552A">
        <w:rPr>
          <w:sz w:val="28"/>
          <w:szCs w:val="28"/>
        </w:rPr>
        <w:t>AOM</w:t>
      </w:r>
      <w:r w:rsidR="00E07001">
        <w:rPr>
          <w:sz w:val="28"/>
          <w:szCs w:val="28"/>
        </w:rPr>
        <w:t xml:space="preserve"> candidate has withdrawn their application </w:t>
      </w:r>
      <w:r w:rsidR="00454F44">
        <w:rPr>
          <w:sz w:val="28"/>
          <w:szCs w:val="28"/>
        </w:rPr>
        <w:t>after receiving</w:t>
      </w:r>
      <w:r w:rsidR="00E07001">
        <w:rPr>
          <w:sz w:val="28"/>
          <w:szCs w:val="28"/>
        </w:rPr>
        <w:t xml:space="preserve"> notice</w:t>
      </w:r>
      <w:r w:rsidR="00454F44">
        <w:rPr>
          <w:sz w:val="28"/>
          <w:szCs w:val="28"/>
        </w:rPr>
        <w:t xml:space="preserve"> that the Committee had set an informal inquiry or</w:t>
      </w:r>
      <w:r w:rsidR="00E07001">
        <w:rPr>
          <w:sz w:val="28"/>
          <w:szCs w:val="28"/>
        </w:rPr>
        <w:t xml:space="preserve"> a formal hearing</w:t>
      </w:r>
      <w:r w:rsidR="00CE552A">
        <w:rPr>
          <w:sz w:val="28"/>
          <w:szCs w:val="28"/>
        </w:rPr>
        <w:t>, but before that inquiry/hearing took place</w:t>
      </w:r>
      <w:r w:rsidR="00E07001">
        <w:rPr>
          <w:sz w:val="28"/>
          <w:szCs w:val="28"/>
        </w:rPr>
        <w:t xml:space="preserve">. </w:t>
      </w:r>
      <w:r w:rsidR="00782CD2">
        <w:rPr>
          <w:sz w:val="28"/>
          <w:szCs w:val="28"/>
        </w:rPr>
        <w:t xml:space="preserve">Those applicants are not included in </w:t>
      </w:r>
      <w:r>
        <w:rPr>
          <w:sz w:val="28"/>
          <w:szCs w:val="28"/>
        </w:rPr>
        <w:t>calculations</w:t>
      </w:r>
      <w:r w:rsidR="00782CD2">
        <w:rPr>
          <w:sz w:val="28"/>
          <w:szCs w:val="28"/>
        </w:rPr>
        <w:t xml:space="preserve"> above.</w:t>
      </w:r>
    </w:p>
    <w:p w14:paraId="5B3D9320" w14:textId="77777777" w:rsidR="00454F44" w:rsidRDefault="00454F44" w:rsidP="004F5A19">
      <w:pPr>
        <w:pStyle w:val="BodyText"/>
        <w:spacing w:after="0" w:line="480" w:lineRule="auto"/>
        <w:ind w:firstLine="720"/>
        <w:contextualSpacing/>
        <w:rPr>
          <w:sz w:val="28"/>
          <w:szCs w:val="28"/>
        </w:rPr>
      </w:pPr>
      <w:r>
        <w:rPr>
          <w:sz w:val="28"/>
          <w:szCs w:val="28"/>
        </w:rPr>
        <w:t xml:space="preserve">In short, </w:t>
      </w:r>
      <w:r w:rsidR="00631CE8">
        <w:rPr>
          <w:sz w:val="28"/>
          <w:szCs w:val="28"/>
        </w:rPr>
        <w:t>AOM</w:t>
      </w:r>
      <w:r>
        <w:rPr>
          <w:sz w:val="28"/>
          <w:szCs w:val="28"/>
        </w:rPr>
        <w:t xml:space="preserve"> candidates are more likely than other candidates to have character and fitness issues</w:t>
      </w:r>
      <w:r w:rsidR="00C01594">
        <w:rPr>
          <w:sz w:val="28"/>
          <w:szCs w:val="28"/>
        </w:rPr>
        <w:t>.</w:t>
      </w:r>
      <w:r>
        <w:rPr>
          <w:sz w:val="28"/>
          <w:szCs w:val="28"/>
        </w:rPr>
        <w:t xml:space="preserve"> </w:t>
      </w:r>
      <w:r w:rsidR="00C01594">
        <w:rPr>
          <w:sz w:val="28"/>
          <w:szCs w:val="28"/>
        </w:rPr>
        <w:t>The Committee believes that p</w:t>
      </w:r>
      <w:r>
        <w:rPr>
          <w:sz w:val="28"/>
          <w:szCs w:val="28"/>
        </w:rPr>
        <w:t>rovisionally admitting these applicants before they submit to Arizona’s character and fitness procedure</w:t>
      </w:r>
      <w:r w:rsidR="00C01594">
        <w:rPr>
          <w:sz w:val="28"/>
          <w:szCs w:val="28"/>
        </w:rPr>
        <w:t xml:space="preserve"> presents significant risks to Arizona legal consumers.</w:t>
      </w:r>
    </w:p>
    <w:p w14:paraId="6442086A" w14:textId="77777777" w:rsidR="00CE4C9F" w:rsidRPr="000124E2" w:rsidRDefault="00F3543A" w:rsidP="00F3543A">
      <w:pPr>
        <w:pStyle w:val="BodyText"/>
        <w:spacing w:after="0" w:line="480" w:lineRule="auto"/>
        <w:contextualSpacing/>
        <w:rPr>
          <w:b/>
          <w:bCs/>
          <w:sz w:val="28"/>
          <w:szCs w:val="28"/>
        </w:rPr>
      </w:pPr>
      <w:r>
        <w:rPr>
          <w:sz w:val="28"/>
          <w:szCs w:val="28"/>
        </w:rPr>
        <w:tab/>
      </w:r>
      <w:r w:rsidR="008A01C2" w:rsidRPr="000124E2">
        <w:rPr>
          <w:b/>
          <w:bCs/>
          <w:sz w:val="28"/>
          <w:szCs w:val="28"/>
        </w:rPr>
        <w:t>Conclusion:</w:t>
      </w:r>
    </w:p>
    <w:p w14:paraId="5449C9E3" w14:textId="77777777" w:rsidR="0026206E" w:rsidRDefault="000124E2" w:rsidP="00D84411">
      <w:pPr>
        <w:pStyle w:val="BodyText"/>
        <w:spacing w:line="480" w:lineRule="auto"/>
        <w:contextualSpacing/>
        <w:rPr>
          <w:sz w:val="28"/>
          <w:szCs w:val="28"/>
        </w:rPr>
      </w:pPr>
      <w:r>
        <w:rPr>
          <w:sz w:val="28"/>
          <w:szCs w:val="28"/>
        </w:rPr>
        <w:tab/>
      </w:r>
      <w:r w:rsidR="00D84411">
        <w:rPr>
          <w:sz w:val="28"/>
          <w:szCs w:val="28"/>
        </w:rPr>
        <w:t>Based</w:t>
      </w:r>
      <w:r w:rsidR="00B10866">
        <w:rPr>
          <w:sz w:val="28"/>
          <w:szCs w:val="28"/>
        </w:rPr>
        <w:t xml:space="preserve"> </w:t>
      </w:r>
      <w:r w:rsidR="00B24B1C">
        <w:rPr>
          <w:sz w:val="28"/>
          <w:szCs w:val="28"/>
        </w:rPr>
        <w:t xml:space="preserve">on the </w:t>
      </w:r>
      <w:r w:rsidR="006E1BC6">
        <w:rPr>
          <w:sz w:val="28"/>
          <w:szCs w:val="28"/>
        </w:rPr>
        <w:t>above</w:t>
      </w:r>
      <w:r w:rsidR="00CE4C9F" w:rsidRPr="00CE4C9F">
        <w:rPr>
          <w:sz w:val="28"/>
          <w:szCs w:val="28"/>
        </w:rPr>
        <w:t>, th</w:t>
      </w:r>
      <w:r w:rsidR="00DC1EBF">
        <w:rPr>
          <w:sz w:val="28"/>
          <w:szCs w:val="28"/>
        </w:rPr>
        <w:t xml:space="preserve">e Committee supports </w:t>
      </w:r>
      <w:r w:rsidR="00153AE1">
        <w:rPr>
          <w:sz w:val="28"/>
          <w:szCs w:val="28"/>
        </w:rPr>
        <w:t>the Petition</w:t>
      </w:r>
      <w:r w:rsidR="006E1BC6">
        <w:rPr>
          <w:sz w:val="28"/>
          <w:szCs w:val="28"/>
        </w:rPr>
        <w:t xml:space="preserve">, in part, </w:t>
      </w:r>
      <w:r w:rsidR="00B10866">
        <w:rPr>
          <w:sz w:val="28"/>
          <w:szCs w:val="28"/>
        </w:rPr>
        <w:t xml:space="preserve">as to </w:t>
      </w:r>
      <w:r w:rsidR="006E1BC6">
        <w:rPr>
          <w:sz w:val="28"/>
          <w:szCs w:val="28"/>
        </w:rPr>
        <w:t>the Petition</w:t>
      </w:r>
      <w:r w:rsidR="004F5A19">
        <w:rPr>
          <w:sz w:val="28"/>
          <w:szCs w:val="28"/>
        </w:rPr>
        <w:t>’</w:t>
      </w:r>
      <w:r w:rsidR="006E1BC6">
        <w:rPr>
          <w:sz w:val="28"/>
          <w:szCs w:val="28"/>
        </w:rPr>
        <w:t>s second proposed amendment</w:t>
      </w:r>
      <w:r w:rsidR="00DC1EBF">
        <w:rPr>
          <w:sz w:val="28"/>
          <w:szCs w:val="28"/>
        </w:rPr>
        <w:t xml:space="preserve">, and opposes </w:t>
      </w:r>
      <w:r w:rsidR="006E1BC6">
        <w:rPr>
          <w:sz w:val="28"/>
          <w:szCs w:val="28"/>
        </w:rPr>
        <w:t>the Petition</w:t>
      </w:r>
      <w:r w:rsidR="004F5A19">
        <w:rPr>
          <w:sz w:val="28"/>
          <w:szCs w:val="28"/>
        </w:rPr>
        <w:t>’</w:t>
      </w:r>
      <w:r w:rsidR="006E1BC6">
        <w:rPr>
          <w:sz w:val="28"/>
          <w:szCs w:val="28"/>
        </w:rPr>
        <w:t>s fourth proposed amendment</w:t>
      </w:r>
      <w:r w:rsidR="00CE4C9F" w:rsidRPr="00CE4C9F">
        <w:rPr>
          <w:sz w:val="28"/>
          <w:szCs w:val="28"/>
        </w:rPr>
        <w:t>.</w:t>
      </w:r>
      <w:r w:rsidR="006308F5">
        <w:rPr>
          <w:sz w:val="28"/>
          <w:szCs w:val="28"/>
        </w:rPr>
        <w:t xml:space="preserve"> </w:t>
      </w:r>
      <w:r w:rsidR="006E1BC6">
        <w:rPr>
          <w:sz w:val="28"/>
          <w:szCs w:val="28"/>
        </w:rPr>
        <w:t>The Committee takes no position on the first and third proposed amendments.</w:t>
      </w:r>
    </w:p>
    <w:p w14:paraId="2DD2DB37" w14:textId="4E999ECF" w:rsidR="00896287" w:rsidRPr="0026206E" w:rsidRDefault="0026206E" w:rsidP="0026206E">
      <w:pPr>
        <w:pStyle w:val="BodyText"/>
        <w:spacing w:after="0" w:line="480" w:lineRule="auto"/>
        <w:contextualSpacing/>
        <w:rPr>
          <w:sz w:val="28"/>
          <w:szCs w:val="28"/>
        </w:rPr>
      </w:pPr>
      <w:r>
        <w:rPr>
          <w:sz w:val="28"/>
          <w:szCs w:val="28"/>
        </w:rPr>
        <w:lastRenderedPageBreak/>
        <w:tab/>
      </w:r>
      <w:r w:rsidR="00A67EB9" w:rsidRPr="00E419FB">
        <w:rPr>
          <w:sz w:val="28"/>
          <w:szCs w:val="28"/>
        </w:rPr>
        <w:t xml:space="preserve">RESPECTFULLY SUBMITTED </w:t>
      </w:r>
      <w:r w:rsidR="008A01C2" w:rsidRPr="00E419FB">
        <w:rPr>
          <w:sz w:val="28"/>
          <w:szCs w:val="28"/>
        </w:rPr>
        <w:t>this</w:t>
      </w:r>
      <w:r w:rsidR="006308F5">
        <w:rPr>
          <w:sz w:val="28"/>
          <w:szCs w:val="28"/>
        </w:rPr>
        <w:t xml:space="preserve"> </w:t>
      </w:r>
      <w:r w:rsidR="00C03ECD">
        <w:rPr>
          <w:sz w:val="28"/>
          <w:szCs w:val="28"/>
          <w:u w:val="single"/>
        </w:rPr>
        <w:t>9</w:t>
      </w:r>
      <w:r w:rsidR="00F8740C">
        <w:rPr>
          <w:sz w:val="28"/>
          <w:szCs w:val="28"/>
          <w:u w:val="single"/>
        </w:rPr>
        <w:t>th</w:t>
      </w:r>
      <w:r w:rsidR="000A2C8D">
        <w:rPr>
          <w:sz w:val="28"/>
          <w:szCs w:val="28"/>
        </w:rPr>
        <w:t xml:space="preserve"> </w:t>
      </w:r>
      <w:r w:rsidR="00187E8E" w:rsidRPr="00E419FB">
        <w:rPr>
          <w:sz w:val="28"/>
          <w:szCs w:val="28"/>
        </w:rPr>
        <w:t>day of</w:t>
      </w:r>
      <w:r w:rsidR="00340D8C">
        <w:rPr>
          <w:sz w:val="28"/>
          <w:szCs w:val="28"/>
        </w:rPr>
        <w:t xml:space="preserve"> </w:t>
      </w:r>
      <w:r w:rsidR="00F8740C">
        <w:rPr>
          <w:sz w:val="28"/>
          <w:szCs w:val="28"/>
        </w:rPr>
        <w:t>April</w:t>
      </w:r>
      <w:r w:rsidR="00B56ED4" w:rsidRPr="00E419FB">
        <w:rPr>
          <w:sz w:val="28"/>
          <w:szCs w:val="28"/>
        </w:rPr>
        <w:t>, 202</w:t>
      </w:r>
      <w:r w:rsidR="004F5A19">
        <w:rPr>
          <w:sz w:val="28"/>
          <w:szCs w:val="28"/>
        </w:rPr>
        <w:t>6</w:t>
      </w:r>
      <w:r w:rsidR="00B2281A" w:rsidRPr="003E0FE4">
        <w:rPr>
          <w:sz w:val="26"/>
          <w:szCs w:val="26"/>
        </w:rPr>
        <w:t>.</w:t>
      </w:r>
    </w:p>
    <w:p w14:paraId="0D3086FA" w14:textId="77777777" w:rsidR="00BA793D" w:rsidRDefault="00BA793D" w:rsidP="008E28A6">
      <w:pPr>
        <w:spacing w:line="241" w:lineRule="exact"/>
        <w:jc w:val="both"/>
        <w:rPr>
          <w:rFonts w:ascii="Times New Roman" w:hAnsi="Times New Roman"/>
          <w:sz w:val="26"/>
          <w:szCs w:val="26"/>
        </w:rPr>
      </w:pPr>
    </w:p>
    <w:p w14:paraId="19B6EEED" w14:textId="77777777" w:rsidR="007533E4" w:rsidRDefault="007533E4" w:rsidP="008E28A6">
      <w:pPr>
        <w:spacing w:line="241" w:lineRule="exact"/>
        <w:jc w:val="both"/>
        <w:rPr>
          <w:rFonts w:ascii="Times New Roman" w:hAnsi="Times New Roman"/>
          <w:sz w:val="26"/>
          <w:szCs w:val="26"/>
        </w:rPr>
      </w:pPr>
    </w:p>
    <w:p w14:paraId="19F8C63A" w14:textId="77777777" w:rsidR="007533E4" w:rsidRPr="003E0FE4" w:rsidRDefault="007533E4" w:rsidP="008E28A6">
      <w:pPr>
        <w:spacing w:line="241" w:lineRule="exact"/>
        <w:jc w:val="both"/>
        <w:rPr>
          <w:rFonts w:ascii="Times New Roman" w:hAnsi="Times New Roman"/>
          <w:sz w:val="26"/>
          <w:szCs w:val="26"/>
        </w:rPr>
      </w:pPr>
    </w:p>
    <w:p w14:paraId="77D96786" w14:textId="77777777" w:rsidR="00E419FB" w:rsidRPr="003E0FE4" w:rsidRDefault="00E419FB" w:rsidP="008E28A6">
      <w:pPr>
        <w:spacing w:line="241" w:lineRule="exact"/>
        <w:jc w:val="both"/>
        <w:rPr>
          <w:rFonts w:ascii="Times New Roman" w:hAnsi="Times New Roman"/>
          <w:sz w:val="26"/>
          <w:szCs w:val="26"/>
        </w:rPr>
      </w:pPr>
    </w:p>
    <w:p w14:paraId="6A657251" w14:textId="5BF5400F" w:rsidR="00896287" w:rsidRPr="003E0FE4" w:rsidRDefault="00F8740C" w:rsidP="007533E4">
      <w:pPr>
        <w:spacing w:line="240" w:lineRule="auto"/>
        <w:ind w:left="4320"/>
        <w:jc w:val="both"/>
        <w:rPr>
          <w:rFonts w:ascii="Times New Roman" w:hAnsi="Times New Roman"/>
          <w:u w:val="single"/>
        </w:rPr>
      </w:pPr>
      <w:r>
        <w:rPr>
          <w:rFonts w:ascii="Times New Roman" w:hAnsi="Times New Roman"/>
          <w:sz w:val="28"/>
          <w:szCs w:val="28"/>
          <w:u w:val="single"/>
        </w:rPr>
        <w:t>/s/ Andrew J. Becke</w:t>
      </w:r>
      <w:r w:rsidR="008A01C2" w:rsidRPr="003E0FE4">
        <w:rPr>
          <w:rFonts w:ascii="Times New Roman" w:hAnsi="Times New Roman"/>
          <w:u w:val="single"/>
        </w:rPr>
        <w:tab/>
      </w:r>
      <w:r w:rsidR="008A01C2" w:rsidRPr="003E0FE4">
        <w:rPr>
          <w:rFonts w:ascii="Times New Roman" w:hAnsi="Times New Roman"/>
          <w:u w:val="single"/>
        </w:rPr>
        <w:tab/>
      </w:r>
    </w:p>
    <w:p w14:paraId="50DF8A55" w14:textId="77777777" w:rsidR="00896287" w:rsidRPr="00E419FB" w:rsidRDefault="004F5A19" w:rsidP="007533E4">
      <w:pPr>
        <w:spacing w:line="240" w:lineRule="auto"/>
        <w:ind w:left="4320"/>
        <w:jc w:val="both"/>
        <w:rPr>
          <w:rFonts w:ascii="Times New Roman" w:hAnsi="Times New Roman"/>
          <w:sz w:val="28"/>
          <w:szCs w:val="28"/>
        </w:rPr>
      </w:pPr>
      <w:bookmarkStart w:id="0" w:name="a2"/>
      <w:bookmarkEnd w:id="0"/>
      <w:r>
        <w:rPr>
          <w:rFonts w:ascii="Times New Roman" w:hAnsi="Times New Roman"/>
          <w:sz w:val="28"/>
          <w:szCs w:val="28"/>
        </w:rPr>
        <w:t>Hon. Andrew J. Becke, Vice-Chair</w:t>
      </w:r>
    </w:p>
    <w:p w14:paraId="2ACAB0DA" w14:textId="77777777" w:rsidR="00896287" w:rsidRPr="00E419FB" w:rsidRDefault="008A01C2" w:rsidP="007533E4">
      <w:pPr>
        <w:spacing w:line="240" w:lineRule="auto"/>
        <w:ind w:left="4320"/>
        <w:jc w:val="both"/>
        <w:rPr>
          <w:rFonts w:ascii="Times New Roman" w:hAnsi="Times New Roman"/>
          <w:sz w:val="28"/>
          <w:szCs w:val="28"/>
        </w:rPr>
      </w:pPr>
      <w:r w:rsidRPr="00E419FB">
        <w:rPr>
          <w:rFonts w:ascii="Times New Roman" w:hAnsi="Times New Roman"/>
          <w:sz w:val="28"/>
          <w:szCs w:val="28"/>
        </w:rPr>
        <w:t>Committee on Character and Fitness</w:t>
      </w:r>
    </w:p>
    <w:p w14:paraId="3CEF6A18" w14:textId="77777777" w:rsidR="00896287" w:rsidRDefault="008A01C2" w:rsidP="007533E4">
      <w:pPr>
        <w:spacing w:line="240" w:lineRule="auto"/>
        <w:ind w:firstLine="4320"/>
        <w:jc w:val="both"/>
        <w:rPr>
          <w:rFonts w:ascii="Times New Roman" w:hAnsi="Times New Roman"/>
          <w:sz w:val="28"/>
          <w:szCs w:val="28"/>
        </w:rPr>
      </w:pPr>
      <w:r w:rsidRPr="00E419FB">
        <w:rPr>
          <w:rFonts w:ascii="Times New Roman" w:hAnsi="Times New Roman"/>
          <w:sz w:val="28"/>
          <w:szCs w:val="28"/>
        </w:rPr>
        <w:t>Supreme Court of Arizona</w:t>
      </w:r>
    </w:p>
    <w:p w14:paraId="47C5FED3" w14:textId="77777777" w:rsidR="0026206E" w:rsidRDefault="0026206E" w:rsidP="007533E4">
      <w:pPr>
        <w:spacing w:line="240" w:lineRule="auto"/>
        <w:ind w:firstLine="4320"/>
        <w:jc w:val="both"/>
        <w:rPr>
          <w:rFonts w:ascii="Times New Roman" w:hAnsi="Times New Roman"/>
          <w:sz w:val="28"/>
          <w:szCs w:val="28"/>
        </w:rPr>
      </w:pPr>
    </w:p>
    <w:p w14:paraId="11CDB1E8" w14:textId="77777777" w:rsidR="0026206E" w:rsidRDefault="0026206E" w:rsidP="007533E4">
      <w:pPr>
        <w:spacing w:line="240" w:lineRule="auto"/>
        <w:ind w:firstLine="4320"/>
        <w:jc w:val="both"/>
        <w:rPr>
          <w:rFonts w:ascii="Times New Roman" w:hAnsi="Times New Roman"/>
          <w:sz w:val="28"/>
          <w:szCs w:val="28"/>
        </w:rPr>
      </w:pPr>
    </w:p>
    <w:p w14:paraId="1B2ECF2D" w14:textId="77777777" w:rsidR="0026206E" w:rsidRDefault="0026206E" w:rsidP="007533E4">
      <w:pPr>
        <w:spacing w:line="240" w:lineRule="auto"/>
        <w:ind w:firstLine="4320"/>
        <w:jc w:val="both"/>
        <w:rPr>
          <w:rFonts w:ascii="Times New Roman" w:hAnsi="Times New Roman"/>
          <w:sz w:val="28"/>
          <w:szCs w:val="28"/>
        </w:rPr>
      </w:pPr>
    </w:p>
    <w:p w14:paraId="6DCEA62B" w14:textId="77777777" w:rsidR="0026206E" w:rsidRPr="00E419FB" w:rsidRDefault="0026206E" w:rsidP="007533E4">
      <w:pPr>
        <w:spacing w:line="240" w:lineRule="auto"/>
        <w:ind w:firstLine="4320"/>
        <w:jc w:val="both"/>
        <w:rPr>
          <w:rFonts w:ascii="Times New Roman" w:hAnsi="Times New Roman"/>
          <w:sz w:val="28"/>
          <w:szCs w:val="28"/>
        </w:rPr>
      </w:pPr>
    </w:p>
    <w:p w14:paraId="2BC9C1FF" w14:textId="77777777" w:rsidR="002B24A3" w:rsidRDefault="002B24A3" w:rsidP="002A5678">
      <w:pPr>
        <w:spacing w:line="240" w:lineRule="auto"/>
        <w:contextualSpacing/>
        <w:jc w:val="both"/>
        <w:rPr>
          <w:rFonts w:ascii="Times New Roman" w:hAnsi="Times New Roman"/>
          <w:sz w:val="28"/>
          <w:szCs w:val="28"/>
        </w:rPr>
      </w:pPr>
    </w:p>
    <w:p w14:paraId="76242F92" w14:textId="77777777" w:rsidR="001150C7" w:rsidRDefault="001150C7" w:rsidP="002A5678">
      <w:pPr>
        <w:spacing w:line="240" w:lineRule="auto"/>
        <w:contextualSpacing/>
        <w:jc w:val="both"/>
        <w:rPr>
          <w:rFonts w:ascii="Times New Roman" w:hAnsi="Times New Roman"/>
          <w:sz w:val="28"/>
          <w:szCs w:val="28"/>
        </w:rPr>
      </w:pPr>
    </w:p>
    <w:p w14:paraId="6541EF5E" w14:textId="77777777" w:rsidR="001150C7" w:rsidRDefault="001150C7" w:rsidP="002A5678">
      <w:pPr>
        <w:spacing w:line="240" w:lineRule="auto"/>
        <w:contextualSpacing/>
        <w:jc w:val="both"/>
        <w:rPr>
          <w:rFonts w:ascii="Times New Roman" w:hAnsi="Times New Roman"/>
          <w:sz w:val="28"/>
          <w:szCs w:val="28"/>
        </w:rPr>
      </w:pPr>
    </w:p>
    <w:p w14:paraId="2D88E8C1" w14:textId="2EA9E088" w:rsidR="00A67EB9" w:rsidRPr="00E419FB" w:rsidRDefault="00330D00" w:rsidP="002A5678">
      <w:pPr>
        <w:spacing w:line="240" w:lineRule="auto"/>
        <w:contextualSpacing/>
        <w:jc w:val="both"/>
        <w:rPr>
          <w:rFonts w:ascii="Times New Roman" w:hAnsi="Times New Roman"/>
          <w:sz w:val="28"/>
          <w:szCs w:val="28"/>
        </w:rPr>
      </w:pPr>
      <w:r>
        <w:rPr>
          <w:rFonts w:ascii="Times New Roman" w:hAnsi="Times New Roman"/>
          <w:sz w:val="28"/>
          <w:szCs w:val="28"/>
        </w:rPr>
        <w:t>The</w:t>
      </w:r>
      <w:r w:rsidR="00896287" w:rsidRPr="00E419FB">
        <w:rPr>
          <w:rFonts w:ascii="Times New Roman" w:hAnsi="Times New Roman"/>
          <w:sz w:val="28"/>
          <w:szCs w:val="28"/>
        </w:rPr>
        <w:t xml:space="preserve"> foregoing</w:t>
      </w:r>
      <w:r w:rsidR="00187E8E" w:rsidRPr="00E419FB">
        <w:rPr>
          <w:rFonts w:ascii="Times New Roman" w:hAnsi="Times New Roman"/>
          <w:sz w:val="28"/>
          <w:szCs w:val="28"/>
        </w:rPr>
        <w:t xml:space="preserve"> </w:t>
      </w:r>
      <w:r>
        <w:rPr>
          <w:rFonts w:ascii="Times New Roman" w:hAnsi="Times New Roman"/>
          <w:sz w:val="28"/>
          <w:szCs w:val="28"/>
        </w:rPr>
        <w:t>posted to the Court Rules Forum</w:t>
      </w:r>
    </w:p>
    <w:p w14:paraId="148DE76A" w14:textId="74B40BBB" w:rsidR="00896287" w:rsidRPr="00E419FB" w:rsidRDefault="00330D00" w:rsidP="002A5678">
      <w:pPr>
        <w:spacing w:line="240" w:lineRule="auto"/>
        <w:contextualSpacing/>
        <w:jc w:val="both"/>
        <w:rPr>
          <w:rFonts w:ascii="Times New Roman" w:hAnsi="Times New Roman"/>
          <w:sz w:val="28"/>
          <w:szCs w:val="28"/>
        </w:rPr>
      </w:pPr>
      <w:r>
        <w:rPr>
          <w:rFonts w:ascii="Times New Roman" w:hAnsi="Times New Roman"/>
          <w:sz w:val="28"/>
          <w:szCs w:val="28"/>
        </w:rPr>
        <w:t>t</w:t>
      </w:r>
      <w:r w:rsidR="00896287" w:rsidRPr="00E419FB">
        <w:rPr>
          <w:rFonts w:ascii="Times New Roman" w:hAnsi="Times New Roman"/>
          <w:sz w:val="28"/>
          <w:szCs w:val="28"/>
        </w:rPr>
        <w:t>his</w:t>
      </w:r>
      <w:r>
        <w:rPr>
          <w:rFonts w:ascii="Times New Roman" w:hAnsi="Times New Roman"/>
          <w:sz w:val="28"/>
          <w:szCs w:val="28"/>
        </w:rPr>
        <w:t xml:space="preserve"> </w:t>
      </w:r>
      <w:r w:rsidR="00C03ECD">
        <w:rPr>
          <w:rFonts w:ascii="Times New Roman" w:hAnsi="Times New Roman"/>
          <w:sz w:val="28"/>
          <w:szCs w:val="28"/>
        </w:rPr>
        <w:t>9</w:t>
      </w:r>
      <w:r>
        <w:rPr>
          <w:rFonts w:ascii="Times New Roman" w:hAnsi="Times New Roman"/>
          <w:sz w:val="28"/>
          <w:szCs w:val="28"/>
        </w:rPr>
        <w:t xml:space="preserve">th </w:t>
      </w:r>
      <w:r w:rsidR="00896287" w:rsidRPr="00E419FB">
        <w:rPr>
          <w:rFonts w:ascii="Times New Roman" w:hAnsi="Times New Roman"/>
          <w:sz w:val="28"/>
          <w:szCs w:val="28"/>
        </w:rPr>
        <w:t xml:space="preserve">day of </w:t>
      </w:r>
      <w:r w:rsidRPr="00330D00">
        <w:rPr>
          <w:rFonts w:ascii="Times New Roman" w:hAnsi="Times New Roman"/>
          <w:sz w:val="28"/>
          <w:szCs w:val="28"/>
          <w:u w:val="single"/>
        </w:rPr>
        <w:t>April</w:t>
      </w:r>
      <w:r w:rsidR="00031D6F" w:rsidRPr="00E419FB">
        <w:rPr>
          <w:rFonts w:ascii="Times New Roman" w:hAnsi="Times New Roman"/>
          <w:sz w:val="28"/>
          <w:szCs w:val="28"/>
        </w:rPr>
        <w:t>, 202</w:t>
      </w:r>
      <w:r w:rsidR="004F5A19">
        <w:rPr>
          <w:rFonts w:ascii="Times New Roman" w:hAnsi="Times New Roman"/>
          <w:sz w:val="28"/>
          <w:szCs w:val="28"/>
        </w:rPr>
        <w:t>6</w:t>
      </w:r>
      <w:r w:rsidR="008A01C2" w:rsidRPr="00E419FB">
        <w:rPr>
          <w:rFonts w:ascii="Times New Roman" w:hAnsi="Times New Roman"/>
          <w:sz w:val="28"/>
          <w:szCs w:val="28"/>
        </w:rPr>
        <w:t>:</w:t>
      </w:r>
    </w:p>
    <w:p w14:paraId="22F398D0" w14:textId="77777777" w:rsidR="00090279" w:rsidRPr="00E419FB" w:rsidRDefault="000722D8" w:rsidP="002A5678">
      <w:pPr>
        <w:spacing w:line="240" w:lineRule="auto"/>
        <w:contextualSpacing/>
        <w:jc w:val="both"/>
        <w:rPr>
          <w:rFonts w:ascii="Times New Roman" w:hAnsi="Times New Roman"/>
          <w:bCs/>
          <w:sz w:val="28"/>
          <w:szCs w:val="28"/>
        </w:rPr>
      </w:pPr>
      <w:r w:rsidRPr="00E419FB">
        <w:rPr>
          <w:rFonts w:ascii="Times New Roman" w:hAnsi="Times New Roman"/>
          <w:bCs/>
          <w:sz w:val="28"/>
          <w:szCs w:val="28"/>
        </w:rPr>
        <w:t xml:space="preserve"> </w:t>
      </w:r>
    </w:p>
    <w:p w14:paraId="7A334113" w14:textId="77777777" w:rsidR="00E24289" w:rsidRPr="00E419FB" w:rsidRDefault="00E24289" w:rsidP="002A5678">
      <w:pPr>
        <w:autoSpaceDE w:val="0"/>
        <w:autoSpaceDN w:val="0"/>
        <w:adjustRightInd w:val="0"/>
        <w:snapToGrid w:val="0"/>
        <w:spacing w:line="240" w:lineRule="auto"/>
        <w:contextualSpacing/>
        <w:rPr>
          <w:rFonts w:ascii="Times New Roman" w:hAnsi="Times New Roman"/>
          <w:color w:val="000000"/>
          <w:sz w:val="28"/>
          <w:szCs w:val="28"/>
        </w:rPr>
      </w:pPr>
    </w:p>
    <w:p w14:paraId="1B5467A5" w14:textId="51B53C4B" w:rsidR="00896287"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 xml:space="preserve">COPY of the foregoing </w:t>
      </w:r>
      <w:r w:rsidR="00330D00">
        <w:rPr>
          <w:rFonts w:ascii="Times New Roman" w:hAnsi="Times New Roman"/>
          <w:sz w:val="28"/>
          <w:szCs w:val="28"/>
        </w:rPr>
        <w:t>electronically sent</w:t>
      </w:r>
      <w:r w:rsidRPr="00E419FB">
        <w:rPr>
          <w:rFonts w:ascii="Times New Roman" w:hAnsi="Times New Roman"/>
          <w:sz w:val="28"/>
          <w:szCs w:val="28"/>
        </w:rPr>
        <w:t xml:space="preserve"> </w:t>
      </w:r>
    </w:p>
    <w:p w14:paraId="1018F498" w14:textId="078632CA" w:rsidR="00896287" w:rsidRPr="00E419FB" w:rsidRDefault="001E31EC"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t</w:t>
      </w:r>
      <w:r w:rsidR="008A01C2" w:rsidRPr="00E419FB">
        <w:rPr>
          <w:rFonts w:ascii="Times New Roman" w:hAnsi="Times New Roman"/>
          <w:sz w:val="28"/>
          <w:szCs w:val="28"/>
        </w:rPr>
        <w:t>his</w:t>
      </w:r>
      <w:r w:rsidR="006308F5">
        <w:rPr>
          <w:rFonts w:ascii="Times New Roman" w:hAnsi="Times New Roman"/>
          <w:sz w:val="28"/>
          <w:szCs w:val="28"/>
        </w:rPr>
        <w:t xml:space="preserve"> </w:t>
      </w:r>
      <w:r w:rsidR="00C03ECD">
        <w:rPr>
          <w:rFonts w:ascii="Times New Roman" w:hAnsi="Times New Roman"/>
          <w:sz w:val="28"/>
          <w:szCs w:val="28"/>
          <w:u w:val="single"/>
        </w:rPr>
        <w:t>9t</w:t>
      </w:r>
      <w:r w:rsidR="00330D00">
        <w:rPr>
          <w:rFonts w:ascii="Times New Roman" w:hAnsi="Times New Roman"/>
          <w:sz w:val="28"/>
          <w:szCs w:val="28"/>
          <w:u w:val="single"/>
        </w:rPr>
        <w:t xml:space="preserve">h </w:t>
      </w:r>
      <w:r w:rsidR="009C7677" w:rsidRPr="00E419FB">
        <w:rPr>
          <w:rFonts w:ascii="Times New Roman" w:hAnsi="Times New Roman"/>
          <w:sz w:val="28"/>
          <w:szCs w:val="28"/>
        </w:rPr>
        <w:t>day of</w:t>
      </w:r>
      <w:r w:rsidR="000926A1" w:rsidRPr="00E419FB">
        <w:rPr>
          <w:rFonts w:ascii="Times New Roman" w:hAnsi="Times New Roman"/>
          <w:sz w:val="28"/>
          <w:szCs w:val="28"/>
        </w:rPr>
        <w:t xml:space="preserve"> </w:t>
      </w:r>
      <w:r w:rsidR="00330D00" w:rsidRPr="00330D00">
        <w:rPr>
          <w:rFonts w:ascii="Times New Roman" w:hAnsi="Times New Roman"/>
          <w:sz w:val="28"/>
          <w:szCs w:val="28"/>
          <w:u w:val="single"/>
        </w:rPr>
        <w:t>April</w:t>
      </w:r>
      <w:r w:rsidR="000E5CBC" w:rsidRPr="00E419FB">
        <w:rPr>
          <w:rFonts w:ascii="Times New Roman" w:hAnsi="Times New Roman"/>
          <w:sz w:val="28"/>
          <w:szCs w:val="28"/>
        </w:rPr>
        <w:t xml:space="preserve">, </w:t>
      </w:r>
      <w:r w:rsidR="00B56ED4" w:rsidRPr="00E419FB">
        <w:rPr>
          <w:rFonts w:ascii="Times New Roman" w:hAnsi="Times New Roman"/>
          <w:sz w:val="28"/>
          <w:szCs w:val="28"/>
        </w:rPr>
        <w:t>202</w:t>
      </w:r>
      <w:r w:rsidR="004F5A19">
        <w:rPr>
          <w:rFonts w:ascii="Times New Roman" w:hAnsi="Times New Roman"/>
          <w:sz w:val="28"/>
          <w:szCs w:val="28"/>
        </w:rPr>
        <w:t>6</w:t>
      </w:r>
      <w:r w:rsidR="008A01C2" w:rsidRPr="00E419FB">
        <w:rPr>
          <w:rFonts w:ascii="Times New Roman" w:hAnsi="Times New Roman"/>
          <w:sz w:val="28"/>
          <w:szCs w:val="28"/>
        </w:rPr>
        <w:t>:</w:t>
      </w:r>
    </w:p>
    <w:p w14:paraId="286C21EB" w14:textId="77777777" w:rsidR="00FD1857" w:rsidRPr="00E419FB" w:rsidRDefault="00FD1857" w:rsidP="002A5678">
      <w:pPr>
        <w:spacing w:line="240" w:lineRule="auto"/>
        <w:contextualSpacing/>
        <w:jc w:val="both"/>
        <w:rPr>
          <w:rFonts w:ascii="Times New Roman" w:hAnsi="Times New Roman"/>
          <w:sz w:val="28"/>
          <w:szCs w:val="28"/>
        </w:rPr>
      </w:pPr>
    </w:p>
    <w:p w14:paraId="575DFEC6"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Members of the Committee on</w:t>
      </w:r>
    </w:p>
    <w:p w14:paraId="4C03D9EE"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Character and Fitness</w:t>
      </w:r>
    </w:p>
    <w:p w14:paraId="4ACC5DCC"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Committee on Character and Fitness</w:t>
      </w:r>
    </w:p>
    <w:p w14:paraId="1D3728E3"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1501 West Washington Avenue, #104</w:t>
      </w:r>
    </w:p>
    <w:p w14:paraId="682854C5" w14:textId="77777777" w:rsidR="00132B80" w:rsidRPr="00E419FB" w:rsidRDefault="008A01C2" w:rsidP="002A5678">
      <w:pPr>
        <w:spacing w:line="240" w:lineRule="auto"/>
        <w:contextualSpacing/>
        <w:jc w:val="both"/>
        <w:rPr>
          <w:rFonts w:ascii="Times New Roman" w:hAnsi="Times New Roman"/>
          <w:sz w:val="28"/>
          <w:szCs w:val="28"/>
        </w:rPr>
      </w:pPr>
      <w:r w:rsidRPr="00E419FB">
        <w:rPr>
          <w:rFonts w:ascii="Times New Roman" w:hAnsi="Times New Roman"/>
          <w:sz w:val="28"/>
          <w:szCs w:val="28"/>
        </w:rPr>
        <w:t>Phoenix, AZ</w:t>
      </w:r>
      <w:r w:rsidR="006308F5">
        <w:rPr>
          <w:rFonts w:ascii="Times New Roman" w:hAnsi="Times New Roman"/>
          <w:sz w:val="28"/>
          <w:szCs w:val="28"/>
        </w:rPr>
        <w:t xml:space="preserve"> </w:t>
      </w:r>
      <w:r w:rsidRPr="00E419FB">
        <w:rPr>
          <w:rFonts w:ascii="Times New Roman" w:hAnsi="Times New Roman"/>
          <w:sz w:val="28"/>
          <w:szCs w:val="28"/>
        </w:rPr>
        <w:t>85007</w:t>
      </w:r>
    </w:p>
    <w:p w14:paraId="6E48EE44" w14:textId="77777777" w:rsidR="000926A1" w:rsidRPr="00E419FB" w:rsidRDefault="000926A1" w:rsidP="002A5678">
      <w:pPr>
        <w:spacing w:line="240" w:lineRule="auto"/>
        <w:contextualSpacing/>
        <w:jc w:val="both"/>
        <w:rPr>
          <w:rFonts w:ascii="Times New Roman" w:hAnsi="Times New Roman"/>
          <w:sz w:val="28"/>
          <w:szCs w:val="28"/>
        </w:rPr>
      </w:pPr>
    </w:p>
    <w:sectPr w:rsidR="000926A1" w:rsidRPr="00E419FB" w:rsidSect="00455DE2">
      <w:headerReference w:type="even" r:id="rId24"/>
      <w:headerReference w:type="default" r:id="rId25"/>
      <w:footerReference w:type="even" r:id="rId26"/>
      <w:footerReference w:type="default" r:id="rId27"/>
      <w:footerReference w:type="first" r:id="rId28"/>
      <w:pgSz w:w="12240" w:h="15840" w:code="1"/>
      <w:pgMar w:top="954" w:right="1238" w:bottom="900" w:left="1728" w:header="720" w:footer="27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B4A8" w14:textId="77777777" w:rsidR="002013C8" w:rsidRDefault="002013C8">
      <w:pPr>
        <w:spacing w:line="240" w:lineRule="auto"/>
      </w:pPr>
      <w:r>
        <w:separator/>
      </w:r>
    </w:p>
  </w:endnote>
  <w:endnote w:type="continuationSeparator" w:id="0">
    <w:p w14:paraId="2BECAEFF" w14:textId="77777777" w:rsidR="002013C8" w:rsidRDefault="002013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e7d0324b-d12b-4466-82d7-6dbf"/>
  <w:p w14:paraId="48814EDD" w14:textId="77777777" w:rsidR="00E5169C" w:rsidRDefault="008A01C2">
    <w:pPr>
      <w:pStyle w:val="DocID"/>
    </w:pPr>
    <w:r>
      <w:fldChar w:fldCharType="begin"/>
    </w:r>
    <w:r>
      <w:instrText xml:space="preserve">  DOCPROPERTY "CUS_DocIDChunk0" </w:instrText>
    </w:r>
    <w:r>
      <w:fldChar w:fldCharType="separate"/>
    </w:r>
    <w:r w:rsidR="001150C7">
      <w:t>88837179.1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92E8" w14:textId="77777777" w:rsidR="00E5169C" w:rsidRDefault="00E5169C" w:rsidP="002E4455">
    <w:pPr>
      <w:pStyle w:val="Footer"/>
      <w:spacing w:line="240" w:lineRule="auto"/>
      <w:jc w:val="center"/>
      <w:rPr>
        <w:sz w:val="24"/>
        <w:szCs w:val="24"/>
      </w:rPr>
    </w:pPr>
  </w:p>
  <w:p w14:paraId="6145C1AB" w14:textId="77777777" w:rsidR="00E5169C" w:rsidRPr="00405004" w:rsidRDefault="008A01C2" w:rsidP="002E4455">
    <w:pPr>
      <w:pStyle w:val="Footer"/>
      <w:jc w:val="center"/>
      <w:rPr>
        <w:rFonts w:ascii="Times New Roman" w:hAnsi="Times New Roman"/>
        <w:sz w:val="24"/>
        <w:szCs w:val="24"/>
      </w:rPr>
    </w:pPr>
    <w:r w:rsidRPr="007472AD">
      <w:rPr>
        <w:rFonts w:ascii="Times New Roman" w:hAnsi="Times New Roman"/>
        <w:sz w:val="24"/>
        <w:szCs w:val="24"/>
      </w:rPr>
      <w:fldChar w:fldCharType="begin"/>
    </w:r>
    <w:r w:rsidRPr="007472AD">
      <w:rPr>
        <w:rFonts w:ascii="Times New Roman" w:hAnsi="Times New Roman"/>
        <w:sz w:val="24"/>
        <w:szCs w:val="24"/>
      </w:rPr>
      <w:instrText xml:space="preserve"> PAGE  \* MERGEFORMAT </w:instrText>
    </w:r>
    <w:r w:rsidRPr="007472AD">
      <w:rPr>
        <w:rFonts w:ascii="Times New Roman" w:hAnsi="Times New Roman"/>
        <w:sz w:val="24"/>
        <w:szCs w:val="24"/>
      </w:rPr>
      <w:fldChar w:fldCharType="separate"/>
    </w:r>
    <w:r>
      <w:rPr>
        <w:rFonts w:ascii="Times New Roman" w:hAnsi="Times New Roman"/>
        <w:sz w:val="24"/>
        <w:szCs w:val="24"/>
      </w:rPr>
      <w:t>1</w:t>
    </w:r>
    <w:r w:rsidRPr="007472AD">
      <w:rPr>
        <w:rFonts w:ascii="Times New Roman" w:hAnsi="Times New Roman"/>
        <w:sz w:val="24"/>
        <w:szCs w:val="24"/>
      </w:rPr>
      <w:fldChar w:fldCharType="end"/>
    </w:r>
  </w:p>
  <w:p w14:paraId="4C23B2D5" w14:textId="77777777" w:rsidR="00E5169C" w:rsidRDefault="00E5169C">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31ffb6fa-af2c-4138-89c4-8a7e"/>
  <w:p w14:paraId="1215915A" w14:textId="77777777" w:rsidR="00E5169C" w:rsidRDefault="008A01C2">
    <w:pPr>
      <w:pStyle w:val="DocID"/>
    </w:pPr>
    <w:r>
      <w:fldChar w:fldCharType="begin"/>
    </w:r>
    <w:r>
      <w:instrText xml:space="preserve">  DOCPROPERTY "CUS_DocIDChunk0" </w:instrText>
    </w:r>
    <w:r>
      <w:fldChar w:fldCharType="separate"/>
    </w:r>
    <w:r w:rsidR="001150C7">
      <w:t>88837179.1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14E0" w14:textId="77777777" w:rsidR="002013C8" w:rsidRDefault="002013C8">
      <w:r>
        <w:separator/>
      </w:r>
    </w:p>
  </w:footnote>
  <w:footnote w:type="continuationSeparator" w:id="0">
    <w:p w14:paraId="6F6BBB5E" w14:textId="77777777" w:rsidR="002013C8" w:rsidRDefault="00201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C841" w14:textId="77777777" w:rsidR="00896287" w:rsidRDefault="00896287">
    <w:pPr>
      <w:pStyle w:val="Header"/>
    </w:pPr>
  </w:p>
  <w:p w14:paraId="621F20E1" w14:textId="77777777" w:rsidR="00E40673" w:rsidRDefault="00E40673"/>
  <w:p w14:paraId="5F3D4B93" w14:textId="77777777" w:rsidR="00E40673" w:rsidRDefault="00E40673"/>
  <w:p w14:paraId="4D893F90" w14:textId="77777777" w:rsidR="00E40673" w:rsidRDefault="00E40673"/>
  <w:p w14:paraId="25584624" w14:textId="77777777" w:rsidR="00E40673" w:rsidRDefault="00E406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4191" w14:textId="77777777" w:rsidR="00896287" w:rsidRDefault="00C03ECD" w:rsidP="00896287">
    <w:pPr>
      <w:pStyle w:val="Header"/>
    </w:pPr>
    <w:r>
      <w:rPr>
        <w:noProof/>
      </w:rPr>
      <w:pict w14:anchorId="42F897F1">
        <v:line id="RightBorder" o:spid="_x0000_s1025" style="position:absolute;z-index:251658240;mso-position-horizontal-relative:margin;mso-position-vertical-relative:page" from="468pt,0" to="468pt,11in">
          <w10:wrap anchorx="margin" anchory="page"/>
        </v:line>
      </w:pict>
    </w:r>
    <w:r>
      <w:rPr>
        <w:noProof/>
      </w:rPr>
      <w:pict w14:anchorId="55E9DFBA">
        <v:line id="LeftBorder2" o:spid="_x0000_s1026" style="position:absolute;z-index:251657216;mso-position-horizontal-relative:margin;mso-position-vertical-relative:page" from="-7.2pt,0" to="-7.2pt,11in">
          <w10:wrap anchorx="margin" anchory="page"/>
        </v:line>
      </w:pict>
    </w:r>
    <w:r>
      <w:rPr>
        <w:noProof/>
      </w:rPr>
      <w:pict w14:anchorId="0838C0FC">
        <v:line id="LeftBorder1" o:spid="_x0000_s1027" style="position:absolute;z-index:251656192;mso-position-horizontal-relative:margin;mso-position-vertical-relative:page" from="-3.6pt,0" to="-3.6pt,11in">
          <w10:wrap anchorx="margin" anchory="page"/>
        </v:line>
      </w:pict>
    </w:r>
  </w:p>
  <w:p w14:paraId="62A03B8E" w14:textId="77777777" w:rsidR="001D0874" w:rsidRDefault="00C03ECD">
    <w:r>
      <w:rPr>
        <w:noProof/>
      </w:rPr>
      <w:pict w14:anchorId="045031EE">
        <v:shapetype id="_x0000_t202" coordsize="21600,21600" o:spt="202" path="m,l,21600r21600,l21600,xe">
          <v:stroke joinstyle="miter"/>
          <v:path gradientshapeok="t" o:connecttype="rect"/>
        </v:shapetype>
        <v:shape id="LineNumbers" o:spid="_x0000_s1028" type="#_x0000_t202" style="position:absolute;margin-left:-50.4pt;margin-top:0;width:36pt;height:662.25pt;z-index:251659264;mso-position-horizontal-relative:margin;mso-position-vertical-relative:margin" filled="f" stroked="f">
          <v:textbox inset="0,0,0,0">
            <w:txbxContent>
              <w:p w14:paraId="13983BA6"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w:t>
                </w:r>
              </w:p>
              <w:p w14:paraId="52350E0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w:t>
                </w:r>
              </w:p>
              <w:p w14:paraId="5867B0EE"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3</w:t>
                </w:r>
              </w:p>
              <w:p w14:paraId="1CFB6F82"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4</w:t>
                </w:r>
              </w:p>
              <w:p w14:paraId="74F187EB"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5</w:t>
                </w:r>
              </w:p>
              <w:p w14:paraId="70F83D53"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6</w:t>
                </w:r>
              </w:p>
              <w:p w14:paraId="7E559C33"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7</w:t>
                </w:r>
              </w:p>
              <w:p w14:paraId="355644E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8</w:t>
                </w:r>
              </w:p>
              <w:p w14:paraId="499DBC1D"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9</w:t>
                </w:r>
              </w:p>
              <w:p w14:paraId="434683D8"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10</w:t>
                </w:r>
              </w:p>
              <w:p w14:paraId="033CD11C"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11</w:t>
                </w:r>
              </w:p>
              <w:p w14:paraId="4F2ED84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12</w:t>
                </w:r>
              </w:p>
              <w:p w14:paraId="532B9247"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13</w:t>
                </w:r>
              </w:p>
              <w:p w14:paraId="49979C03"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14</w:t>
                </w:r>
              </w:p>
              <w:p w14:paraId="58490058"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15</w:t>
                </w:r>
              </w:p>
              <w:p w14:paraId="039F2755"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16</w:t>
                </w:r>
              </w:p>
              <w:p w14:paraId="0BB4A8EC"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17</w:t>
                </w:r>
              </w:p>
              <w:p w14:paraId="2CC10C53"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18</w:t>
                </w:r>
              </w:p>
              <w:p w14:paraId="05029489"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19</w:t>
                </w:r>
              </w:p>
              <w:p w14:paraId="4F091114"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20</w:t>
                </w:r>
              </w:p>
              <w:p w14:paraId="29E106C8"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21</w:t>
                </w:r>
              </w:p>
              <w:p w14:paraId="38CDEA51"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22</w:t>
                </w:r>
              </w:p>
              <w:p w14:paraId="4EA30017"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23</w:t>
                </w:r>
              </w:p>
              <w:p w14:paraId="5E4743F3"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24</w:t>
                </w:r>
              </w:p>
              <w:p w14:paraId="6F06BA0F" w14:textId="77777777" w:rsidR="001D0874" w:rsidRPr="001D7486" w:rsidRDefault="008A01C2" w:rsidP="00A66882">
                <w:pPr>
                  <w:jc w:val="right"/>
                  <w:rPr>
                    <w:rFonts w:ascii="Times New Roman" w:hAnsi="Times New Roman"/>
                    <w:sz w:val="24"/>
                    <w:szCs w:val="24"/>
                  </w:rPr>
                </w:pPr>
                <w:r w:rsidRPr="001D7486">
                  <w:rPr>
                    <w:rFonts w:ascii="Times New Roman" w:hAnsi="Times New Roman"/>
                    <w:sz w:val="24"/>
                    <w:szCs w:val="24"/>
                  </w:rPr>
                  <w:t>25</w:t>
                </w:r>
              </w:p>
              <w:p w14:paraId="701CCA28" w14:textId="77777777" w:rsidR="001D0874" w:rsidRDefault="008A01C2" w:rsidP="00A66882">
                <w:pPr>
                  <w:jc w:val="right"/>
                  <w:rPr>
                    <w:rFonts w:ascii="Times New Roman" w:hAnsi="Times New Roman"/>
                    <w:sz w:val="24"/>
                    <w:szCs w:val="24"/>
                  </w:rPr>
                </w:pPr>
                <w:r w:rsidRPr="001D7486">
                  <w:rPr>
                    <w:rFonts w:ascii="Times New Roman" w:hAnsi="Times New Roman"/>
                    <w:sz w:val="24"/>
                    <w:szCs w:val="24"/>
                  </w:rPr>
                  <w:t>26</w:t>
                </w:r>
              </w:p>
              <w:p w14:paraId="1B84525A" w14:textId="77777777" w:rsidR="003A3829" w:rsidRDefault="008A01C2" w:rsidP="00A66882">
                <w:pPr>
                  <w:jc w:val="right"/>
                  <w:rPr>
                    <w:rFonts w:ascii="Times New Roman" w:hAnsi="Times New Roman"/>
                    <w:sz w:val="24"/>
                    <w:szCs w:val="24"/>
                  </w:rPr>
                </w:pPr>
                <w:r>
                  <w:rPr>
                    <w:rFonts w:ascii="Times New Roman" w:hAnsi="Times New Roman"/>
                    <w:sz w:val="24"/>
                    <w:szCs w:val="24"/>
                  </w:rPr>
                  <w:t>28</w:t>
                </w:r>
              </w:p>
              <w:p w14:paraId="3E57F6E0" w14:textId="77777777" w:rsidR="003A3829" w:rsidRPr="001D7486" w:rsidRDefault="003A3829" w:rsidP="00A66882">
                <w:pPr>
                  <w:jc w:val="right"/>
                  <w:rPr>
                    <w:rFonts w:ascii="Times New Roman" w:hAnsi="Times New Roman"/>
                    <w:sz w:val="24"/>
                    <w:szCs w:val="24"/>
                  </w:rPr>
                </w:pPr>
              </w:p>
              <w:p w14:paraId="4FA6C159" w14:textId="77777777" w:rsidR="001D0874" w:rsidRPr="001D7486" w:rsidRDefault="001D0874" w:rsidP="00A66882">
                <w:pPr>
                  <w:jc w:val="right"/>
                  <w:rPr>
                    <w:rFonts w:ascii="Times New Roman" w:hAnsi="Times New Roman"/>
                    <w:sz w:val="24"/>
                    <w:szCs w:val="24"/>
                  </w:rPr>
                </w:pP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54B"/>
    <w:multiLevelType w:val="hybridMultilevel"/>
    <w:tmpl w:val="4FBEC0BA"/>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CB0463"/>
    <w:multiLevelType w:val="hybridMultilevel"/>
    <w:tmpl w:val="2800E5F2"/>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3C77E8A"/>
    <w:multiLevelType w:val="hybridMultilevel"/>
    <w:tmpl w:val="B24C84F8"/>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17B958F9"/>
    <w:multiLevelType w:val="hybridMultilevel"/>
    <w:tmpl w:val="011CE36C"/>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889085D"/>
    <w:multiLevelType w:val="hybridMultilevel"/>
    <w:tmpl w:val="356A83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5A65996"/>
    <w:multiLevelType w:val="hybridMultilevel"/>
    <w:tmpl w:val="5A5CCF22"/>
    <w:lvl w:ilvl="0" w:tplc="FFFFFFFF">
      <w:start w:val="1"/>
      <w:numFmt w:val="decimal"/>
      <w:lvlText w:val="%1."/>
      <w:lvlJc w:val="left"/>
      <w:pPr>
        <w:ind w:left="1155" w:hanging="360"/>
      </w:pPr>
      <w:rPr>
        <w:rFonts w:hint="default"/>
      </w:rPr>
    </w:lvl>
    <w:lvl w:ilvl="1" w:tplc="FFFFFFFF" w:tentative="1">
      <w:start w:val="1"/>
      <w:numFmt w:val="lowerLetter"/>
      <w:lvlText w:val="%2."/>
      <w:lvlJc w:val="left"/>
      <w:pPr>
        <w:ind w:left="1875" w:hanging="360"/>
      </w:pPr>
    </w:lvl>
    <w:lvl w:ilvl="2" w:tplc="FFFFFFFF" w:tentative="1">
      <w:start w:val="1"/>
      <w:numFmt w:val="lowerRoman"/>
      <w:lvlText w:val="%3."/>
      <w:lvlJc w:val="right"/>
      <w:pPr>
        <w:ind w:left="2595" w:hanging="180"/>
      </w:pPr>
    </w:lvl>
    <w:lvl w:ilvl="3" w:tplc="FFFFFFFF" w:tentative="1">
      <w:start w:val="1"/>
      <w:numFmt w:val="decimal"/>
      <w:lvlText w:val="%4."/>
      <w:lvlJc w:val="left"/>
      <w:pPr>
        <w:ind w:left="3315" w:hanging="360"/>
      </w:pPr>
    </w:lvl>
    <w:lvl w:ilvl="4" w:tplc="FFFFFFFF" w:tentative="1">
      <w:start w:val="1"/>
      <w:numFmt w:val="lowerLetter"/>
      <w:lvlText w:val="%5."/>
      <w:lvlJc w:val="left"/>
      <w:pPr>
        <w:ind w:left="4035" w:hanging="360"/>
      </w:pPr>
    </w:lvl>
    <w:lvl w:ilvl="5" w:tplc="FFFFFFFF" w:tentative="1">
      <w:start w:val="1"/>
      <w:numFmt w:val="lowerRoman"/>
      <w:lvlText w:val="%6."/>
      <w:lvlJc w:val="right"/>
      <w:pPr>
        <w:ind w:left="4755" w:hanging="180"/>
      </w:pPr>
    </w:lvl>
    <w:lvl w:ilvl="6" w:tplc="FFFFFFFF" w:tentative="1">
      <w:start w:val="1"/>
      <w:numFmt w:val="decimal"/>
      <w:lvlText w:val="%7."/>
      <w:lvlJc w:val="left"/>
      <w:pPr>
        <w:ind w:left="5475" w:hanging="360"/>
      </w:pPr>
    </w:lvl>
    <w:lvl w:ilvl="7" w:tplc="FFFFFFFF" w:tentative="1">
      <w:start w:val="1"/>
      <w:numFmt w:val="lowerLetter"/>
      <w:lvlText w:val="%8."/>
      <w:lvlJc w:val="left"/>
      <w:pPr>
        <w:ind w:left="6195" w:hanging="360"/>
      </w:pPr>
    </w:lvl>
    <w:lvl w:ilvl="8" w:tplc="FFFFFFFF" w:tentative="1">
      <w:start w:val="1"/>
      <w:numFmt w:val="lowerRoman"/>
      <w:lvlText w:val="%9."/>
      <w:lvlJc w:val="right"/>
      <w:pPr>
        <w:ind w:left="6915" w:hanging="180"/>
      </w:pPr>
    </w:lvl>
  </w:abstractNum>
  <w:abstractNum w:abstractNumId="6" w15:restartNumberingAfterBreak="0">
    <w:nsid w:val="37B43E80"/>
    <w:multiLevelType w:val="hybridMultilevel"/>
    <w:tmpl w:val="A82AE2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9091D0F"/>
    <w:multiLevelType w:val="hybridMultilevel"/>
    <w:tmpl w:val="F4669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C36212"/>
    <w:multiLevelType w:val="hybridMultilevel"/>
    <w:tmpl w:val="4B2C3744"/>
    <w:lvl w:ilvl="0" w:tplc="FFFFFFFF">
      <w:start w:val="3"/>
      <w:numFmt w:val="decimal"/>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553A4D17"/>
    <w:multiLevelType w:val="hybridMultilevel"/>
    <w:tmpl w:val="2A72DD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8BF546D"/>
    <w:multiLevelType w:val="hybridMultilevel"/>
    <w:tmpl w:val="E09C5F3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F7744B"/>
    <w:multiLevelType w:val="hybridMultilevel"/>
    <w:tmpl w:val="E8EC2D70"/>
    <w:lvl w:ilvl="0" w:tplc="FFFFFFFF">
      <w:start w:val="2"/>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60667284"/>
    <w:multiLevelType w:val="hybridMultilevel"/>
    <w:tmpl w:val="E6644D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F543A0E"/>
    <w:multiLevelType w:val="hybridMultilevel"/>
    <w:tmpl w:val="BEE25C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6B726C6"/>
    <w:multiLevelType w:val="hybridMultilevel"/>
    <w:tmpl w:val="B032E6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79773670">
    <w:abstractNumId w:val="11"/>
  </w:num>
  <w:num w:numId="2" w16cid:durableId="1151869344">
    <w:abstractNumId w:val="2"/>
  </w:num>
  <w:num w:numId="3" w16cid:durableId="1002590051">
    <w:abstractNumId w:val="1"/>
  </w:num>
  <w:num w:numId="4" w16cid:durableId="1475902121">
    <w:abstractNumId w:val="8"/>
  </w:num>
  <w:num w:numId="5" w16cid:durableId="16273365">
    <w:abstractNumId w:val="3"/>
  </w:num>
  <w:num w:numId="6" w16cid:durableId="1537306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611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6828097">
    <w:abstractNumId w:val="7"/>
  </w:num>
  <w:num w:numId="9" w16cid:durableId="548612448">
    <w:abstractNumId w:val="12"/>
  </w:num>
  <w:num w:numId="10" w16cid:durableId="2101414765">
    <w:abstractNumId w:val="0"/>
  </w:num>
  <w:num w:numId="11" w16cid:durableId="22246799">
    <w:abstractNumId w:val="10"/>
  </w:num>
  <w:num w:numId="12" w16cid:durableId="1379621774">
    <w:abstractNumId w:val="6"/>
  </w:num>
  <w:num w:numId="13" w16cid:durableId="808522264">
    <w:abstractNumId w:val="4"/>
  </w:num>
  <w:num w:numId="14" w16cid:durableId="1694843375">
    <w:abstractNumId w:val="5"/>
  </w:num>
  <w:num w:numId="15" w16cid:durableId="634405758">
    <w:abstractNumId w:val="13"/>
  </w:num>
  <w:num w:numId="16" w16cid:durableId="2069182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rawingGridVerticalSpacing w:val="187"/>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052F"/>
    <w:rsid w:val="000107E7"/>
    <w:rsid w:val="00010AD0"/>
    <w:rsid w:val="00011B21"/>
    <w:rsid w:val="00011C34"/>
    <w:rsid w:val="000124E2"/>
    <w:rsid w:val="000140D4"/>
    <w:rsid w:val="000211BE"/>
    <w:rsid w:val="00027417"/>
    <w:rsid w:val="00030A42"/>
    <w:rsid w:val="00031D6F"/>
    <w:rsid w:val="00036B0D"/>
    <w:rsid w:val="00042985"/>
    <w:rsid w:val="0004780F"/>
    <w:rsid w:val="000531B3"/>
    <w:rsid w:val="00057B4D"/>
    <w:rsid w:val="000635BE"/>
    <w:rsid w:val="00065585"/>
    <w:rsid w:val="00067334"/>
    <w:rsid w:val="00070B4E"/>
    <w:rsid w:val="000722D8"/>
    <w:rsid w:val="00073079"/>
    <w:rsid w:val="00073BCD"/>
    <w:rsid w:val="00073DB6"/>
    <w:rsid w:val="00077AB0"/>
    <w:rsid w:val="00077DB3"/>
    <w:rsid w:val="000832C8"/>
    <w:rsid w:val="000854BC"/>
    <w:rsid w:val="00086BDF"/>
    <w:rsid w:val="00086D08"/>
    <w:rsid w:val="00086D1C"/>
    <w:rsid w:val="00086E7F"/>
    <w:rsid w:val="000872E7"/>
    <w:rsid w:val="00087F0C"/>
    <w:rsid w:val="00090279"/>
    <w:rsid w:val="000911A1"/>
    <w:rsid w:val="000913A1"/>
    <w:rsid w:val="00091D0D"/>
    <w:rsid w:val="000926A1"/>
    <w:rsid w:val="000965F8"/>
    <w:rsid w:val="0009764C"/>
    <w:rsid w:val="000A2C8D"/>
    <w:rsid w:val="000A5088"/>
    <w:rsid w:val="000A53B1"/>
    <w:rsid w:val="000A5B29"/>
    <w:rsid w:val="000A7827"/>
    <w:rsid w:val="000B02C8"/>
    <w:rsid w:val="000B0D44"/>
    <w:rsid w:val="000B2D60"/>
    <w:rsid w:val="000B302E"/>
    <w:rsid w:val="000B4A12"/>
    <w:rsid w:val="000B5515"/>
    <w:rsid w:val="000B5DF3"/>
    <w:rsid w:val="000B638E"/>
    <w:rsid w:val="000C3F40"/>
    <w:rsid w:val="000C40A7"/>
    <w:rsid w:val="000C5B68"/>
    <w:rsid w:val="000C7B54"/>
    <w:rsid w:val="000D0178"/>
    <w:rsid w:val="000D0BC1"/>
    <w:rsid w:val="000D216E"/>
    <w:rsid w:val="000D3126"/>
    <w:rsid w:val="000D3523"/>
    <w:rsid w:val="000E2558"/>
    <w:rsid w:val="000E31A3"/>
    <w:rsid w:val="000E37DD"/>
    <w:rsid w:val="000E3920"/>
    <w:rsid w:val="000E5CBC"/>
    <w:rsid w:val="000F12A0"/>
    <w:rsid w:val="000F586C"/>
    <w:rsid w:val="00100E29"/>
    <w:rsid w:val="00102316"/>
    <w:rsid w:val="001030B9"/>
    <w:rsid w:val="00106455"/>
    <w:rsid w:val="00111E70"/>
    <w:rsid w:val="00113D9C"/>
    <w:rsid w:val="001150C7"/>
    <w:rsid w:val="0011733E"/>
    <w:rsid w:val="00117BC5"/>
    <w:rsid w:val="00124840"/>
    <w:rsid w:val="00124DB9"/>
    <w:rsid w:val="00127F95"/>
    <w:rsid w:val="001301C5"/>
    <w:rsid w:val="00132B80"/>
    <w:rsid w:val="00136EC2"/>
    <w:rsid w:val="0013795C"/>
    <w:rsid w:val="00137F39"/>
    <w:rsid w:val="0014043B"/>
    <w:rsid w:val="001458C2"/>
    <w:rsid w:val="001474E7"/>
    <w:rsid w:val="00147EDE"/>
    <w:rsid w:val="00150922"/>
    <w:rsid w:val="00151C74"/>
    <w:rsid w:val="001533EF"/>
    <w:rsid w:val="00153AE1"/>
    <w:rsid w:val="00155287"/>
    <w:rsid w:val="001633B1"/>
    <w:rsid w:val="001637AE"/>
    <w:rsid w:val="00163EF8"/>
    <w:rsid w:val="00164613"/>
    <w:rsid w:val="001667C4"/>
    <w:rsid w:val="001674FC"/>
    <w:rsid w:val="00172A29"/>
    <w:rsid w:val="00176B55"/>
    <w:rsid w:val="001776FA"/>
    <w:rsid w:val="00181272"/>
    <w:rsid w:val="0018165E"/>
    <w:rsid w:val="00187105"/>
    <w:rsid w:val="00187155"/>
    <w:rsid w:val="00187212"/>
    <w:rsid w:val="00187E8E"/>
    <w:rsid w:val="0019150C"/>
    <w:rsid w:val="00193D65"/>
    <w:rsid w:val="00193E05"/>
    <w:rsid w:val="00194D7B"/>
    <w:rsid w:val="00196387"/>
    <w:rsid w:val="00197F9F"/>
    <w:rsid w:val="001A095B"/>
    <w:rsid w:val="001A1D37"/>
    <w:rsid w:val="001A360A"/>
    <w:rsid w:val="001B21BD"/>
    <w:rsid w:val="001B25C1"/>
    <w:rsid w:val="001C5122"/>
    <w:rsid w:val="001C784F"/>
    <w:rsid w:val="001D0874"/>
    <w:rsid w:val="001D1A5D"/>
    <w:rsid w:val="001D2464"/>
    <w:rsid w:val="001D31A2"/>
    <w:rsid w:val="001D52B2"/>
    <w:rsid w:val="001D7486"/>
    <w:rsid w:val="001E0BD5"/>
    <w:rsid w:val="001E1433"/>
    <w:rsid w:val="001E28DC"/>
    <w:rsid w:val="001E2DEC"/>
    <w:rsid w:val="001E31EC"/>
    <w:rsid w:val="001E4486"/>
    <w:rsid w:val="001E4CAF"/>
    <w:rsid w:val="001F0921"/>
    <w:rsid w:val="001F17FE"/>
    <w:rsid w:val="001F6B2C"/>
    <w:rsid w:val="002012BD"/>
    <w:rsid w:val="002013C8"/>
    <w:rsid w:val="00203B39"/>
    <w:rsid w:val="00206507"/>
    <w:rsid w:val="00206730"/>
    <w:rsid w:val="0020718E"/>
    <w:rsid w:val="00207BB5"/>
    <w:rsid w:val="0021091A"/>
    <w:rsid w:val="0021192E"/>
    <w:rsid w:val="00212ACE"/>
    <w:rsid w:val="00212B49"/>
    <w:rsid w:val="00215D7D"/>
    <w:rsid w:val="0021686A"/>
    <w:rsid w:val="00223072"/>
    <w:rsid w:val="0022334A"/>
    <w:rsid w:val="00223AE6"/>
    <w:rsid w:val="00225357"/>
    <w:rsid w:val="002258BD"/>
    <w:rsid w:val="00225954"/>
    <w:rsid w:val="00226505"/>
    <w:rsid w:val="002409E8"/>
    <w:rsid w:val="00240AF0"/>
    <w:rsid w:val="00242EE7"/>
    <w:rsid w:val="00243596"/>
    <w:rsid w:val="00255138"/>
    <w:rsid w:val="002554FB"/>
    <w:rsid w:val="00256D9F"/>
    <w:rsid w:val="00256F51"/>
    <w:rsid w:val="0026206E"/>
    <w:rsid w:val="0026408B"/>
    <w:rsid w:val="002709EA"/>
    <w:rsid w:val="0027212E"/>
    <w:rsid w:val="00275FBC"/>
    <w:rsid w:val="00276535"/>
    <w:rsid w:val="00276C63"/>
    <w:rsid w:val="002846DA"/>
    <w:rsid w:val="00284F57"/>
    <w:rsid w:val="0028556E"/>
    <w:rsid w:val="00287076"/>
    <w:rsid w:val="0029353D"/>
    <w:rsid w:val="00295650"/>
    <w:rsid w:val="00297576"/>
    <w:rsid w:val="00297E8F"/>
    <w:rsid w:val="002A00C2"/>
    <w:rsid w:val="002A18CB"/>
    <w:rsid w:val="002A2189"/>
    <w:rsid w:val="002A223C"/>
    <w:rsid w:val="002A43A0"/>
    <w:rsid w:val="002A5041"/>
    <w:rsid w:val="002A5678"/>
    <w:rsid w:val="002A5F47"/>
    <w:rsid w:val="002A635B"/>
    <w:rsid w:val="002A743D"/>
    <w:rsid w:val="002A7668"/>
    <w:rsid w:val="002B2042"/>
    <w:rsid w:val="002B24A3"/>
    <w:rsid w:val="002B281E"/>
    <w:rsid w:val="002B6DA7"/>
    <w:rsid w:val="002C221D"/>
    <w:rsid w:val="002C29CD"/>
    <w:rsid w:val="002C29EC"/>
    <w:rsid w:val="002C2C86"/>
    <w:rsid w:val="002C31D2"/>
    <w:rsid w:val="002C7272"/>
    <w:rsid w:val="002D1091"/>
    <w:rsid w:val="002D2F53"/>
    <w:rsid w:val="002D3EFE"/>
    <w:rsid w:val="002D445B"/>
    <w:rsid w:val="002D45C3"/>
    <w:rsid w:val="002D7BDE"/>
    <w:rsid w:val="002D7F49"/>
    <w:rsid w:val="002E0ADB"/>
    <w:rsid w:val="002E198B"/>
    <w:rsid w:val="002E33DB"/>
    <w:rsid w:val="002E4455"/>
    <w:rsid w:val="002E71D9"/>
    <w:rsid w:val="002E7E4C"/>
    <w:rsid w:val="0030406C"/>
    <w:rsid w:val="00304625"/>
    <w:rsid w:val="003061F1"/>
    <w:rsid w:val="00306F29"/>
    <w:rsid w:val="00310539"/>
    <w:rsid w:val="003106B3"/>
    <w:rsid w:val="0032085A"/>
    <w:rsid w:val="003223AF"/>
    <w:rsid w:val="0032353A"/>
    <w:rsid w:val="00323752"/>
    <w:rsid w:val="00327822"/>
    <w:rsid w:val="00330D00"/>
    <w:rsid w:val="00330F40"/>
    <w:rsid w:val="00331E8F"/>
    <w:rsid w:val="003345C5"/>
    <w:rsid w:val="00334688"/>
    <w:rsid w:val="00340D8C"/>
    <w:rsid w:val="0034136C"/>
    <w:rsid w:val="00344596"/>
    <w:rsid w:val="00345389"/>
    <w:rsid w:val="0034693C"/>
    <w:rsid w:val="00350B86"/>
    <w:rsid w:val="00354010"/>
    <w:rsid w:val="0036126F"/>
    <w:rsid w:val="00363529"/>
    <w:rsid w:val="00363BFA"/>
    <w:rsid w:val="00363F5D"/>
    <w:rsid w:val="0036516A"/>
    <w:rsid w:val="003670F1"/>
    <w:rsid w:val="00367E9F"/>
    <w:rsid w:val="00373A6C"/>
    <w:rsid w:val="00377C83"/>
    <w:rsid w:val="00382477"/>
    <w:rsid w:val="003835AF"/>
    <w:rsid w:val="00384463"/>
    <w:rsid w:val="00386962"/>
    <w:rsid w:val="00390CDA"/>
    <w:rsid w:val="00390E81"/>
    <w:rsid w:val="0039115C"/>
    <w:rsid w:val="003917D7"/>
    <w:rsid w:val="0039258E"/>
    <w:rsid w:val="00394826"/>
    <w:rsid w:val="00394EA9"/>
    <w:rsid w:val="00397DC6"/>
    <w:rsid w:val="003A1F1E"/>
    <w:rsid w:val="003A3829"/>
    <w:rsid w:val="003B1361"/>
    <w:rsid w:val="003B17C8"/>
    <w:rsid w:val="003B589D"/>
    <w:rsid w:val="003B6724"/>
    <w:rsid w:val="003B7167"/>
    <w:rsid w:val="003C07ED"/>
    <w:rsid w:val="003C0852"/>
    <w:rsid w:val="003C25F4"/>
    <w:rsid w:val="003D0A1F"/>
    <w:rsid w:val="003D10A0"/>
    <w:rsid w:val="003D3C0E"/>
    <w:rsid w:val="003D445D"/>
    <w:rsid w:val="003D4EA5"/>
    <w:rsid w:val="003D52C6"/>
    <w:rsid w:val="003D7DE3"/>
    <w:rsid w:val="003E0FE4"/>
    <w:rsid w:val="003E1817"/>
    <w:rsid w:val="003E66A3"/>
    <w:rsid w:val="003E6F12"/>
    <w:rsid w:val="003F4200"/>
    <w:rsid w:val="003F56A6"/>
    <w:rsid w:val="00400C1D"/>
    <w:rsid w:val="00405004"/>
    <w:rsid w:val="004077D4"/>
    <w:rsid w:val="00411976"/>
    <w:rsid w:val="00412096"/>
    <w:rsid w:val="00413BFC"/>
    <w:rsid w:val="00413D34"/>
    <w:rsid w:val="00415874"/>
    <w:rsid w:val="00416BF5"/>
    <w:rsid w:val="0041792A"/>
    <w:rsid w:val="00421AC2"/>
    <w:rsid w:val="00422E2C"/>
    <w:rsid w:val="00424C1B"/>
    <w:rsid w:val="00431939"/>
    <w:rsid w:val="00431F7F"/>
    <w:rsid w:val="004339C0"/>
    <w:rsid w:val="00442836"/>
    <w:rsid w:val="004432A6"/>
    <w:rsid w:val="0044641E"/>
    <w:rsid w:val="00446920"/>
    <w:rsid w:val="00452ECC"/>
    <w:rsid w:val="00454F44"/>
    <w:rsid w:val="00455350"/>
    <w:rsid w:val="00455709"/>
    <w:rsid w:val="00455A4F"/>
    <w:rsid w:val="00455DE2"/>
    <w:rsid w:val="00456A88"/>
    <w:rsid w:val="00457D6C"/>
    <w:rsid w:val="0046366B"/>
    <w:rsid w:val="00464C3B"/>
    <w:rsid w:val="00464DB1"/>
    <w:rsid w:val="00466080"/>
    <w:rsid w:val="0046614D"/>
    <w:rsid w:val="004661BF"/>
    <w:rsid w:val="00470BB7"/>
    <w:rsid w:val="00471B93"/>
    <w:rsid w:val="004727F1"/>
    <w:rsid w:val="0047308E"/>
    <w:rsid w:val="004822D6"/>
    <w:rsid w:val="004847AC"/>
    <w:rsid w:val="00485737"/>
    <w:rsid w:val="00485FFA"/>
    <w:rsid w:val="00487191"/>
    <w:rsid w:val="0048779F"/>
    <w:rsid w:val="00492109"/>
    <w:rsid w:val="0049245B"/>
    <w:rsid w:val="00492844"/>
    <w:rsid w:val="00493DE5"/>
    <w:rsid w:val="004945B0"/>
    <w:rsid w:val="00494B13"/>
    <w:rsid w:val="00496606"/>
    <w:rsid w:val="0049760C"/>
    <w:rsid w:val="00497E09"/>
    <w:rsid w:val="004A0CD1"/>
    <w:rsid w:val="004A1E8F"/>
    <w:rsid w:val="004A2A7F"/>
    <w:rsid w:val="004A50C9"/>
    <w:rsid w:val="004A52EE"/>
    <w:rsid w:val="004A5F42"/>
    <w:rsid w:val="004A67FB"/>
    <w:rsid w:val="004B0519"/>
    <w:rsid w:val="004B15D7"/>
    <w:rsid w:val="004B297A"/>
    <w:rsid w:val="004B2A0D"/>
    <w:rsid w:val="004B4EAE"/>
    <w:rsid w:val="004B4EB0"/>
    <w:rsid w:val="004C0D70"/>
    <w:rsid w:val="004C1610"/>
    <w:rsid w:val="004C24E3"/>
    <w:rsid w:val="004C6D9D"/>
    <w:rsid w:val="004C75FF"/>
    <w:rsid w:val="004D260C"/>
    <w:rsid w:val="004D4F9A"/>
    <w:rsid w:val="004D6746"/>
    <w:rsid w:val="004D6A54"/>
    <w:rsid w:val="004D7BD9"/>
    <w:rsid w:val="004E0172"/>
    <w:rsid w:val="004E0182"/>
    <w:rsid w:val="004E1056"/>
    <w:rsid w:val="004E11C2"/>
    <w:rsid w:val="004E1DC8"/>
    <w:rsid w:val="004E4F04"/>
    <w:rsid w:val="004E5B09"/>
    <w:rsid w:val="004F2575"/>
    <w:rsid w:val="004F5196"/>
    <w:rsid w:val="004F5A19"/>
    <w:rsid w:val="00501DE7"/>
    <w:rsid w:val="00502204"/>
    <w:rsid w:val="005048AE"/>
    <w:rsid w:val="00505360"/>
    <w:rsid w:val="00507A4C"/>
    <w:rsid w:val="00507B55"/>
    <w:rsid w:val="0051359D"/>
    <w:rsid w:val="00514AF9"/>
    <w:rsid w:val="00517A3A"/>
    <w:rsid w:val="005204CF"/>
    <w:rsid w:val="005224C5"/>
    <w:rsid w:val="00523094"/>
    <w:rsid w:val="00524D72"/>
    <w:rsid w:val="00530482"/>
    <w:rsid w:val="005308ED"/>
    <w:rsid w:val="00531B57"/>
    <w:rsid w:val="00532A98"/>
    <w:rsid w:val="00536F53"/>
    <w:rsid w:val="00537327"/>
    <w:rsid w:val="005377BB"/>
    <w:rsid w:val="00540621"/>
    <w:rsid w:val="00540B85"/>
    <w:rsid w:val="00543BFC"/>
    <w:rsid w:val="0054485E"/>
    <w:rsid w:val="005512FB"/>
    <w:rsid w:val="0055368A"/>
    <w:rsid w:val="00554BFA"/>
    <w:rsid w:val="00556197"/>
    <w:rsid w:val="0056184E"/>
    <w:rsid w:val="00565BB1"/>
    <w:rsid w:val="005674D8"/>
    <w:rsid w:val="00567882"/>
    <w:rsid w:val="00571811"/>
    <w:rsid w:val="005718B6"/>
    <w:rsid w:val="0057237A"/>
    <w:rsid w:val="00573734"/>
    <w:rsid w:val="005748E8"/>
    <w:rsid w:val="0057689D"/>
    <w:rsid w:val="00581909"/>
    <w:rsid w:val="005867C0"/>
    <w:rsid w:val="005921A2"/>
    <w:rsid w:val="005A2D2E"/>
    <w:rsid w:val="005A2E18"/>
    <w:rsid w:val="005A3081"/>
    <w:rsid w:val="005A50D1"/>
    <w:rsid w:val="005A54A8"/>
    <w:rsid w:val="005A6595"/>
    <w:rsid w:val="005B3F94"/>
    <w:rsid w:val="005B77EA"/>
    <w:rsid w:val="005C084E"/>
    <w:rsid w:val="005C0D91"/>
    <w:rsid w:val="005C3875"/>
    <w:rsid w:val="005C4ABB"/>
    <w:rsid w:val="005D1E20"/>
    <w:rsid w:val="005D1E44"/>
    <w:rsid w:val="005D544C"/>
    <w:rsid w:val="005D72B5"/>
    <w:rsid w:val="005D7B16"/>
    <w:rsid w:val="005E0991"/>
    <w:rsid w:val="005E0A70"/>
    <w:rsid w:val="005E2028"/>
    <w:rsid w:val="005E460A"/>
    <w:rsid w:val="005E7D67"/>
    <w:rsid w:val="005F26D9"/>
    <w:rsid w:val="005F52A7"/>
    <w:rsid w:val="005F6A95"/>
    <w:rsid w:val="005F7E9D"/>
    <w:rsid w:val="00601FDE"/>
    <w:rsid w:val="00604DDC"/>
    <w:rsid w:val="00604E53"/>
    <w:rsid w:val="00605747"/>
    <w:rsid w:val="0060604F"/>
    <w:rsid w:val="00612A15"/>
    <w:rsid w:val="0061771D"/>
    <w:rsid w:val="00620C91"/>
    <w:rsid w:val="00621B51"/>
    <w:rsid w:val="00621DCE"/>
    <w:rsid w:val="00622DE7"/>
    <w:rsid w:val="006240A8"/>
    <w:rsid w:val="006249FD"/>
    <w:rsid w:val="00627FD2"/>
    <w:rsid w:val="006308F5"/>
    <w:rsid w:val="00631CE8"/>
    <w:rsid w:val="00632300"/>
    <w:rsid w:val="00633D51"/>
    <w:rsid w:val="0063478A"/>
    <w:rsid w:val="00634933"/>
    <w:rsid w:val="00634D46"/>
    <w:rsid w:val="00636595"/>
    <w:rsid w:val="00636E15"/>
    <w:rsid w:val="006378CC"/>
    <w:rsid w:val="00640409"/>
    <w:rsid w:val="0064776F"/>
    <w:rsid w:val="006538DF"/>
    <w:rsid w:val="00654417"/>
    <w:rsid w:val="0065775B"/>
    <w:rsid w:val="006630ED"/>
    <w:rsid w:val="006643DB"/>
    <w:rsid w:val="00664BAA"/>
    <w:rsid w:val="00670359"/>
    <w:rsid w:val="00672CD6"/>
    <w:rsid w:val="006734FC"/>
    <w:rsid w:val="0067432F"/>
    <w:rsid w:val="006759C7"/>
    <w:rsid w:val="00675FA7"/>
    <w:rsid w:val="00675FC3"/>
    <w:rsid w:val="00677944"/>
    <w:rsid w:val="00681EA2"/>
    <w:rsid w:val="00681F5C"/>
    <w:rsid w:val="00682151"/>
    <w:rsid w:val="006832C0"/>
    <w:rsid w:val="00683508"/>
    <w:rsid w:val="00683680"/>
    <w:rsid w:val="00684628"/>
    <w:rsid w:val="00684E02"/>
    <w:rsid w:val="00684EC7"/>
    <w:rsid w:val="00686D7F"/>
    <w:rsid w:val="00687225"/>
    <w:rsid w:val="006934DB"/>
    <w:rsid w:val="006A672B"/>
    <w:rsid w:val="006A6EF5"/>
    <w:rsid w:val="006B13FA"/>
    <w:rsid w:val="006B1928"/>
    <w:rsid w:val="006B63FA"/>
    <w:rsid w:val="006C1DDD"/>
    <w:rsid w:val="006C1E22"/>
    <w:rsid w:val="006C29F1"/>
    <w:rsid w:val="006C2B34"/>
    <w:rsid w:val="006C38AA"/>
    <w:rsid w:val="006C3A5F"/>
    <w:rsid w:val="006C40A4"/>
    <w:rsid w:val="006E1BC6"/>
    <w:rsid w:val="006E2C4B"/>
    <w:rsid w:val="006E5A30"/>
    <w:rsid w:val="006E5D03"/>
    <w:rsid w:val="006E60E9"/>
    <w:rsid w:val="006E79B0"/>
    <w:rsid w:val="006F4D94"/>
    <w:rsid w:val="00700D32"/>
    <w:rsid w:val="00701253"/>
    <w:rsid w:val="007056FC"/>
    <w:rsid w:val="00706B34"/>
    <w:rsid w:val="00707CE8"/>
    <w:rsid w:val="00711E2F"/>
    <w:rsid w:val="007123E4"/>
    <w:rsid w:val="007134F7"/>
    <w:rsid w:val="007139F8"/>
    <w:rsid w:val="00713C5A"/>
    <w:rsid w:val="00714628"/>
    <w:rsid w:val="0071604E"/>
    <w:rsid w:val="007169C1"/>
    <w:rsid w:val="00716D7D"/>
    <w:rsid w:val="00721B92"/>
    <w:rsid w:val="00723D97"/>
    <w:rsid w:val="00724D74"/>
    <w:rsid w:val="007301B7"/>
    <w:rsid w:val="00730418"/>
    <w:rsid w:val="0073041C"/>
    <w:rsid w:val="007307B1"/>
    <w:rsid w:val="00731A35"/>
    <w:rsid w:val="00733693"/>
    <w:rsid w:val="00734D5E"/>
    <w:rsid w:val="00736892"/>
    <w:rsid w:val="00737615"/>
    <w:rsid w:val="007379D1"/>
    <w:rsid w:val="007402E1"/>
    <w:rsid w:val="007409D0"/>
    <w:rsid w:val="00741158"/>
    <w:rsid w:val="00742053"/>
    <w:rsid w:val="007471D0"/>
    <w:rsid w:val="007472AD"/>
    <w:rsid w:val="0075115B"/>
    <w:rsid w:val="007533E4"/>
    <w:rsid w:val="00754375"/>
    <w:rsid w:val="007553CB"/>
    <w:rsid w:val="0075549A"/>
    <w:rsid w:val="0075558F"/>
    <w:rsid w:val="00764316"/>
    <w:rsid w:val="00765BE6"/>
    <w:rsid w:val="00771BF1"/>
    <w:rsid w:val="007741BA"/>
    <w:rsid w:val="007746CA"/>
    <w:rsid w:val="007747FC"/>
    <w:rsid w:val="00780075"/>
    <w:rsid w:val="00780C13"/>
    <w:rsid w:val="007825BB"/>
    <w:rsid w:val="00782CD2"/>
    <w:rsid w:val="00782F4E"/>
    <w:rsid w:val="00784AA5"/>
    <w:rsid w:val="0078674C"/>
    <w:rsid w:val="0078772A"/>
    <w:rsid w:val="00791A3C"/>
    <w:rsid w:val="00794D46"/>
    <w:rsid w:val="00797889"/>
    <w:rsid w:val="007A0637"/>
    <w:rsid w:val="007A1147"/>
    <w:rsid w:val="007A1B81"/>
    <w:rsid w:val="007A422F"/>
    <w:rsid w:val="007A4993"/>
    <w:rsid w:val="007A4C68"/>
    <w:rsid w:val="007A6DB3"/>
    <w:rsid w:val="007A6FE4"/>
    <w:rsid w:val="007A73A5"/>
    <w:rsid w:val="007B0F39"/>
    <w:rsid w:val="007B1AFA"/>
    <w:rsid w:val="007B1F65"/>
    <w:rsid w:val="007B77D7"/>
    <w:rsid w:val="007C0126"/>
    <w:rsid w:val="007C0CFE"/>
    <w:rsid w:val="007C1616"/>
    <w:rsid w:val="007C36B3"/>
    <w:rsid w:val="007C564E"/>
    <w:rsid w:val="007D0AB9"/>
    <w:rsid w:val="007D0C74"/>
    <w:rsid w:val="007D0F78"/>
    <w:rsid w:val="007D285A"/>
    <w:rsid w:val="007D366C"/>
    <w:rsid w:val="007D4706"/>
    <w:rsid w:val="007D4DA2"/>
    <w:rsid w:val="007D5A1D"/>
    <w:rsid w:val="007D74A5"/>
    <w:rsid w:val="007D778F"/>
    <w:rsid w:val="007E7295"/>
    <w:rsid w:val="007E736D"/>
    <w:rsid w:val="007E74F3"/>
    <w:rsid w:val="007F22CE"/>
    <w:rsid w:val="0080071D"/>
    <w:rsid w:val="00800BCA"/>
    <w:rsid w:val="00800F25"/>
    <w:rsid w:val="00801603"/>
    <w:rsid w:val="0080607C"/>
    <w:rsid w:val="008065B0"/>
    <w:rsid w:val="00811585"/>
    <w:rsid w:val="00814226"/>
    <w:rsid w:val="00816B3D"/>
    <w:rsid w:val="00817FB0"/>
    <w:rsid w:val="00822DD5"/>
    <w:rsid w:val="008256F6"/>
    <w:rsid w:val="00825BD6"/>
    <w:rsid w:val="008306C3"/>
    <w:rsid w:val="008337F7"/>
    <w:rsid w:val="008351A0"/>
    <w:rsid w:val="008354F9"/>
    <w:rsid w:val="00840315"/>
    <w:rsid w:val="00854F54"/>
    <w:rsid w:val="00857A89"/>
    <w:rsid w:val="00861C6F"/>
    <w:rsid w:val="00862F57"/>
    <w:rsid w:val="00862FC1"/>
    <w:rsid w:val="0086529D"/>
    <w:rsid w:val="00866E7C"/>
    <w:rsid w:val="00867097"/>
    <w:rsid w:val="00873AE9"/>
    <w:rsid w:val="008802B2"/>
    <w:rsid w:val="00882777"/>
    <w:rsid w:val="00884831"/>
    <w:rsid w:val="00884E61"/>
    <w:rsid w:val="00887F28"/>
    <w:rsid w:val="00891C78"/>
    <w:rsid w:val="00892C11"/>
    <w:rsid w:val="00893123"/>
    <w:rsid w:val="00894CF3"/>
    <w:rsid w:val="008954B7"/>
    <w:rsid w:val="008961EF"/>
    <w:rsid w:val="00896287"/>
    <w:rsid w:val="008A01C2"/>
    <w:rsid w:val="008A0AB1"/>
    <w:rsid w:val="008A4DDD"/>
    <w:rsid w:val="008A4F6A"/>
    <w:rsid w:val="008B1662"/>
    <w:rsid w:val="008B6496"/>
    <w:rsid w:val="008B7D21"/>
    <w:rsid w:val="008C1D01"/>
    <w:rsid w:val="008C339C"/>
    <w:rsid w:val="008C3527"/>
    <w:rsid w:val="008C4BFF"/>
    <w:rsid w:val="008D12C3"/>
    <w:rsid w:val="008D1EFB"/>
    <w:rsid w:val="008D5C79"/>
    <w:rsid w:val="008D60EA"/>
    <w:rsid w:val="008E24C8"/>
    <w:rsid w:val="008E250D"/>
    <w:rsid w:val="008E28A6"/>
    <w:rsid w:val="008E4109"/>
    <w:rsid w:val="008E518B"/>
    <w:rsid w:val="008E54F9"/>
    <w:rsid w:val="008E5594"/>
    <w:rsid w:val="008E61ED"/>
    <w:rsid w:val="008E62E9"/>
    <w:rsid w:val="008E7852"/>
    <w:rsid w:val="008F32D4"/>
    <w:rsid w:val="008F5620"/>
    <w:rsid w:val="008F5BDB"/>
    <w:rsid w:val="008F620F"/>
    <w:rsid w:val="009006A8"/>
    <w:rsid w:val="00901B40"/>
    <w:rsid w:val="009110FC"/>
    <w:rsid w:val="00911AC3"/>
    <w:rsid w:val="0091366F"/>
    <w:rsid w:val="0091745D"/>
    <w:rsid w:val="00920438"/>
    <w:rsid w:val="0092224C"/>
    <w:rsid w:val="0092348E"/>
    <w:rsid w:val="00925147"/>
    <w:rsid w:val="00926B41"/>
    <w:rsid w:val="00927CE3"/>
    <w:rsid w:val="00930AFD"/>
    <w:rsid w:val="00930D55"/>
    <w:rsid w:val="00933345"/>
    <w:rsid w:val="00935FDE"/>
    <w:rsid w:val="009405FA"/>
    <w:rsid w:val="009435C5"/>
    <w:rsid w:val="0094517C"/>
    <w:rsid w:val="00946367"/>
    <w:rsid w:val="00950A0A"/>
    <w:rsid w:val="00951D07"/>
    <w:rsid w:val="00951EB3"/>
    <w:rsid w:val="00952928"/>
    <w:rsid w:val="009600BE"/>
    <w:rsid w:val="00961481"/>
    <w:rsid w:val="00961A64"/>
    <w:rsid w:val="00963809"/>
    <w:rsid w:val="00972CA1"/>
    <w:rsid w:val="00974F20"/>
    <w:rsid w:val="009754CE"/>
    <w:rsid w:val="00976248"/>
    <w:rsid w:val="00985C29"/>
    <w:rsid w:val="0098670A"/>
    <w:rsid w:val="00991096"/>
    <w:rsid w:val="009947AF"/>
    <w:rsid w:val="00995228"/>
    <w:rsid w:val="00997143"/>
    <w:rsid w:val="0099789F"/>
    <w:rsid w:val="009A1C78"/>
    <w:rsid w:val="009A3F01"/>
    <w:rsid w:val="009A4784"/>
    <w:rsid w:val="009A5BE5"/>
    <w:rsid w:val="009A5F4A"/>
    <w:rsid w:val="009A6E38"/>
    <w:rsid w:val="009B3872"/>
    <w:rsid w:val="009B6DFB"/>
    <w:rsid w:val="009B79AA"/>
    <w:rsid w:val="009C032D"/>
    <w:rsid w:val="009C1F5A"/>
    <w:rsid w:val="009C40F8"/>
    <w:rsid w:val="009C7677"/>
    <w:rsid w:val="009D0FF8"/>
    <w:rsid w:val="009D3C60"/>
    <w:rsid w:val="009D6C26"/>
    <w:rsid w:val="009E0582"/>
    <w:rsid w:val="009E133B"/>
    <w:rsid w:val="009E2FE1"/>
    <w:rsid w:val="009E559C"/>
    <w:rsid w:val="009E5D35"/>
    <w:rsid w:val="009E5F17"/>
    <w:rsid w:val="009E71A8"/>
    <w:rsid w:val="009E7D8E"/>
    <w:rsid w:val="009F0DBB"/>
    <w:rsid w:val="009F48EC"/>
    <w:rsid w:val="00A01252"/>
    <w:rsid w:val="00A025A0"/>
    <w:rsid w:val="00A03202"/>
    <w:rsid w:val="00A05146"/>
    <w:rsid w:val="00A05248"/>
    <w:rsid w:val="00A07F69"/>
    <w:rsid w:val="00A1167A"/>
    <w:rsid w:val="00A122C7"/>
    <w:rsid w:val="00A165A9"/>
    <w:rsid w:val="00A16FA0"/>
    <w:rsid w:val="00A17172"/>
    <w:rsid w:val="00A175D8"/>
    <w:rsid w:val="00A20214"/>
    <w:rsid w:val="00A241E5"/>
    <w:rsid w:val="00A2605C"/>
    <w:rsid w:val="00A278E1"/>
    <w:rsid w:val="00A30A56"/>
    <w:rsid w:val="00A3231C"/>
    <w:rsid w:val="00A41579"/>
    <w:rsid w:val="00A43D52"/>
    <w:rsid w:val="00A45312"/>
    <w:rsid w:val="00A4619E"/>
    <w:rsid w:val="00A463EB"/>
    <w:rsid w:val="00A46F65"/>
    <w:rsid w:val="00A51A2C"/>
    <w:rsid w:val="00A51FF0"/>
    <w:rsid w:val="00A52C5B"/>
    <w:rsid w:val="00A56365"/>
    <w:rsid w:val="00A56C8F"/>
    <w:rsid w:val="00A607CF"/>
    <w:rsid w:val="00A66858"/>
    <w:rsid w:val="00A66882"/>
    <w:rsid w:val="00A67EB9"/>
    <w:rsid w:val="00A719FE"/>
    <w:rsid w:val="00A75E38"/>
    <w:rsid w:val="00A76E6C"/>
    <w:rsid w:val="00A8062F"/>
    <w:rsid w:val="00A86774"/>
    <w:rsid w:val="00A90ED4"/>
    <w:rsid w:val="00A94987"/>
    <w:rsid w:val="00A9526B"/>
    <w:rsid w:val="00A95A97"/>
    <w:rsid w:val="00A978B6"/>
    <w:rsid w:val="00AA0599"/>
    <w:rsid w:val="00AA08E4"/>
    <w:rsid w:val="00AA0F04"/>
    <w:rsid w:val="00AA360B"/>
    <w:rsid w:val="00AA36BF"/>
    <w:rsid w:val="00AA4CA2"/>
    <w:rsid w:val="00AB0CD8"/>
    <w:rsid w:val="00AB17A0"/>
    <w:rsid w:val="00AB2530"/>
    <w:rsid w:val="00AB33D0"/>
    <w:rsid w:val="00AC0EE1"/>
    <w:rsid w:val="00AC14C6"/>
    <w:rsid w:val="00AC2D27"/>
    <w:rsid w:val="00AC6E28"/>
    <w:rsid w:val="00AC7760"/>
    <w:rsid w:val="00AD2B1B"/>
    <w:rsid w:val="00AD3B90"/>
    <w:rsid w:val="00AD62C6"/>
    <w:rsid w:val="00AD6792"/>
    <w:rsid w:val="00AD7C44"/>
    <w:rsid w:val="00AD7FA2"/>
    <w:rsid w:val="00AE08B6"/>
    <w:rsid w:val="00AE0E1A"/>
    <w:rsid w:val="00AE13B3"/>
    <w:rsid w:val="00AE2F65"/>
    <w:rsid w:val="00AE72EA"/>
    <w:rsid w:val="00AE731E"/>
    <w:rsid w:val="00AF28AC"/>
    <w:rsid w:val="00B0106A"/>
    <w:rsid w:val="00B0114D"/>
    <w:rsid w:val="00B0181B"/>
    <w:rsid w:val="00B10866"/>
    <w:rsid w:val="00B108DB"/>
    <w:rsid w:val="00B130C7"/>
    <w:rsid w:val="00B13389"/>
    <w:rsid w:val="00B142CC"/>
    <w:rsid w:val="00B14407"/>
    <w:rsid w:val="00B148DC"/>
    <w:rsid w:val="00B1499E"/>
    <w:rsid w:val="00B16AA0"/>
    <w:rsid w:val="00B17747"/>
    <w:rsid w:val="00B20116"/>
    <w:rsid w:val="00B2281A"/>
    <w:rsid w:val="00B24B1C"/>
    <w:rsid w:val="00B30609"/>
    <w:rsid w:val="00B342D2"/>
    <w:rsid w:val="00B34B8E"/>
    <w:rsid w:val="00B36F53"/>
    <w:rsid w:val="00B40E33"/>
    <w:rsid w:val="00B42312"/>
    <w:rsid w:val="00B4426A"/>
    <w:rsid w:val="00B44613"/>
    <w:rsid w:val="00B528B3"/>
    <w:rsid w:val="00B530A6"/>
    <w:rsid w:val="00B55D4F"/>
    <w:rsid w:val="00B56B45"/>
    <w:rsid w:val="00B56ED4"/>
    <w:rsid w:val="00B5705B"/>
    <w:rsid w:val="00B61BA2"/>
    <w:rsid w:val="00B65845"/>
    <w:rsid w:val="00B6733B"/>
    <w:rsid w:val="00B7113F"/>
    <w:rsid w:val="00B73924"/>
    <w:rsid w:val="00B771E2"/>
    <w:rsid w:val="00B77246"/>
    <w:rsid w:val="00B7750E"/>
    <w:rsid w:val="00B81F1F"/>
    <w:rsid w:val="00B8224D"/>
    <w:rsid w:val="00B84567"/>
    <w:rsid w:val="00B85BF5"/>
    <w:rsid w:val="00B90DFE"/>
    <w:rsid w:val="00B921DC"/>
    <w:rsid w:val="00B963BE"/>
    <w:rsid w:val="00B96838"/>
    <w:rsid w:val="00B97495"/>
    <w:rsid w:val="00B97655"/>
    <w:rsid w:val="00BA5FA0"/>
    <w:rsid w:val="00BA793D"/>
    <w:rsid w:val="00BB05C1"/>
    <w:rsid w:val="00BB284F"/>
    <w:rsid w:val="00BB5434"/>
    <w:rsid w:val="00BB65E0"/>
    <w:rsid w:val="00BC0598"/>
    <w:rsid w:val="00BC0F3C"/>
    <w:rsid w:val="00BC104D"/>
    <w:rsid w:val="00BC2735"/>
    <w:rsid w:val="00BC370A"/>
    <w:rsid w:val="00BC38B3"/>
    <w:rsid w:val="00BC3EF3"/>
    <w:rsid w:val="00BC4FD1"/>
    <w:rsid w:val="00BC5100"/>
    <w:rsid w:val="00BC564F"/>
    <w:rsid w:val="00BC608A"/>
    <w:rsid w:val="00BC62D9"/>
    <w:rsid w:val="00BC6723"/>
    <w:rsid w:val="00BD0F81"/>
    <w:rsid w:val="00BD13EF"/>
    <w:rsid w:val="00BD1643"/>
    <w:rsid w:val="00BD6FA4"/>
    <w:rsid w:val="00BD7293"/>
    <w:rsid w:val="00BD7463"/>
    <w:rsid w:val="00BE09F3"/>
    <w:rsid w:val="00BE35F4"/>
    <w:rsid w:val="00BE3E39"/>
    <w:rsid w:val="00BE6413"/>
    <w:rsid w:val="00BE70A6"/>
    <w:rsid w:val="00BE74EE"/>
    <w:rsid w:val="00BF45C8"/>
    <w:rsid w:val="00BF4BD5"/>
    <w:rsid w:val="00BF7D6A"/>
    <w:rsid w:val="00C0072F"/>
    <w:rsid w:val="00C01594"/>
    <w:rsid w:val="00C02301"/>
    <w:rsid w:val="00C03ECD"/>
    <w:rsid w:val="00C058F5"/>
    <w:rsid w:val="00C10305"/>
    <w:rsid w:val="00C218BA"/>
    <w:rsid w:val="00C21F63"/>
    <w:rsid w:val="00C2277C"/>
    <w:rsid w:val="00C2467E"/>
    <w:rsid w:val="00C327FC"/>
    <w:rsid w:val="00C33044"/>
    <w:rsid w:val="00C34D3D"/>
    <w:rsid w:val="00C369F5"/>
    <w:rsid w:val="00C432E8"/>
    <w:rsid w:val="00C43B6C"/>
    <w:rsid w:val="00C4744E"/>
    <w:rsid w:val="00C60612"/>
    <w:rsid w:val="00C60D4C"/>
    <w:rsid w:val="00C61910"/>
    <w:rsid w:val="00C62DC7"/>
    <w:rsid w:val="00C678DC"/>
    <w:rsid w:val="00C75F48"/>
    <w:rsid w:val="00C836D2"/>
    <w:rsid w:val="00C855F0"/>
    <w:rsid w:val="00C913F1"/>
    <w:rsid w:val="00C93239"/>
    <w:rsid w:val="00C96E9A"/>
    <w:rsid w:val="00C97627"/>
    <w:rsid w:val="00C97716"/>
    <w:rsid w:val="00CA041E"/>
    <w:rsid w:val="00CA0DCE"/>
    <w:rsid w:val="00CA1E89"/>
    <w:rsid w:val="00CA7C2E"/>
    <w:rsid w:val="00CB21E7"/>
    <w:rsid w:val="00CB2677"/>
    <w:rsid w:val="00CB29A8"/>
    <w:rsid w:val="00CB29B5"/>
    <w:rsid w:val="00CB36FE"/>
    <w:rsid w:val="00CB3D5A"/>
    <w:rsid w:val="00CB4C97"/>
    <w:rsid w:val="00CB59B3"/>
    <w:rsid w:val="00CB6095"/>
    <w:rsid w:val="00CB77E0"/>
    <w:rsid w:val="00CC03FE"/>
    <w:rsid w:val="00CC5CBB"/>
    <w:rsid w:val="00CC6520"/>
    <w:rsid w:val="00CC6F1F"/>
    <w:rsid w:val="00CD4C77"/>
    <w:rsid w:val="00CE0B07"/>
    <w:rsid w:val="00CE1818"/>
    <w:rsid w:val="00CE1CF0"/>
    <w:rsid w:val="00CE31CF"/>
    <w:rsid w:val="00CE42F8"/>
    <w:rsid w:val="00CE4C9F"/>
    <w:rsid w:val="00CE552A"/>
    <w:rsid w:val="00CE5E6C"/>
    <w:rsid w:val="00CE6745"/>
    <w:rsid w:val="00CE786F"/>
    <w:rsid w:val="00CF4418"/>
    <w:rsid w:val="00CF7998"/>
    <w:rsid w:val="00D058C0"/>
    <w:rsid w:val="00D068A4"/>
    <w:rsid w:val="00D1075C"/>
    <w:rsid w:val="00D13B4F"/>
    <w:rsid w:val="00D14311"/>
    <w:rsid w:val="00D145C7"/>
    <w:rsid w:val="00D178A5"/>
    <w:rsid w:val="00D221B8"/>
    <w:rsid w:val="00D250E8"/>
    <w:rsid w:val="00D2589A"/>
    <w:rsid w:val="00D25F49"/>
    <w:rsid w:val="00D2650D"/>
    <w:rsid w:val="00D309F3"/>
    <w:rsid w:val="00D34112"/>
    <w:rsid w:val="00D34A28"/>
    <w:rsid w:val="00D4106D"/>
    <w:rsid w:val="00D41D76"/>
    <w:rsid w:val="00D42FB0"/>
    <w:rsid w:val="00D441F5"/>
    <w:rsid w:val="00D447AE"/>
    <w:rsid w:val="00D51EA8"/>
    <w:rsid w:val="00D5247C"/>
    <w:rsid w:val="00D531AA"/>
    <w:rsid w:val="00D5704D"/>
    <w:rsid w:val="00D60B11"/>
    <w:rsid w:val="00D6788A"/>
    <w:rsid w:val="00D72359"/>
    <w:rsid w:val="00D74C8F"/>
    <w:rsid w:val="00D7550C"/>
    <w:rsid w:val="00D7713D"/>
    <w:rsid w:val="00D82FD0"/>
    <w:rsid w:val="00D83CE5"/>
    <w:rsid w:val="00D84411"/>
    <w:rsid w:val="00D90E69"/>
    <w:rsid w:val="00D927A3"/>
    <w:rsid w:val="00D92CB1"/>
    <w:rsid w:val="00D9600E"/>
    <w:rsid w:val="00DA3A27"/>
    <w:rsid w:val="00DA6057"/>
    <w:rsid w:val="00DA74FB"/>
    <w:rsid w:val="00DB2463"/>
    <w:rsid w:val="00DB38F5"/>
    <w:rsid w:val="00DB59E5"/>
    <w:rsid w:val="00DB5B15"/>
    <w:rsid w:val="00DB5C84"/>
    <w:rsid w:val="00DB6FB5"/>
    <w:rsid w:val="00DC0859"/>
    <w:rsid w:val="00DC1EBF"/>
    <w:rsid w:val="00DC3C89"/>
    <w:rsid w:val="00DC3ED3"/>
    <w:rsid w:val="00DC7977"/>
    <w:rsid w:val="00DD0A5F"/>
    <w:rsid w:val="00DD1539"/>
    <w:rsid w:val="00DE291A"/>
    <w:rsid w:val="00DE3D11"/>
    <w:rsid w:val="00DE7027"/>
    <w:rsid w:val="00DE7F77"/>
    <w:rsid w:val="00DF3E7B"/>
    <w:rsid w:val="00DF473E"/>
    <w:rsid w:val="00DF529F"/>
    <w:rsid w:val="00E007C9"/>
    <w:rsid w:val="00E028F2"/>
    <w:rsid w:val="00E03A59"/>
    <w:rsid w:val="00E04311"/>
    <w:rsid w:val="00E05628"/>
    <w:rsid w:val="00E05B57"/>
    <w:rsid w:val="00E07001"/>
    <w:rsid w:val="00E0766A"/>
    <w:rsid w:val="00E07FF9"/>
    <w:rsid w:val="00E106E9"/>
    <w:rsid w:val="00E1304E"/>
    <w:rsid w:val="00E14562"/>
    <w:rsid w:val="00E149C9"/>
    <w:rsid w:val="00E16F4C"/>
    <w:rsid w:val="00E22EB0"/>
    <w:rsid w:val="00E24289"/>
    <w:rsid w:val="00E2506B"/>
    <w:rsid w:val="00E25EBF"/>
    <w:rsid w:val="00E27601"/>
    <w:rsid w:val="00E305F6"/>
    <w:rsid w:val="00E30DC6"/>
    <w:rsid w:val="00E31993"/>
    <w:rsid w:val="00E31DDA"/>
    <w:rsid w:val="00E32715"/>
    <w:rsid w:val="00E33807"/>
    <w:rsid w:val="00E33E22"/>
    <w:rsid w:val="00E34452"/>
    <w:rsid w:val="00E35263"/>
    <w:rsid w:val="00E35C90"/>
    <w:rsid w:val="00E4056B"/>
    <w:rsid w:val="00E40673"/>
    <w:rsid w:val="00E40FC2"/>
    <w:rsid w:val="00E410F1"/>
    <w:rsid w:val="00E413C5"/>
    <w:rsid w:val="00E419FB"/>
    <w:rsid w:val="00E43B03"/>
    <w:rsid w:val="00E45AD9"/>
    <w:rsid w:val="00E45FB8"/>
    <w:rsid w:val="00E46BE7"/>
    <w:rsid w:val="00E47C11"/>
    <w:rsid w:val="00E50004"/>
    <w:rsid w:val="00E5169C"/>
    <w:rsid w:val="00E5279E"/>
    <w:rsid w:val="00E52AE0"/>
    <w:rsid w:val="00E558AE"/>
    <w:rsid w:val="00E63373"/>
    <w:rsid w:val="00E66101"/>
    <w:rsid w:val="00E67850"/>
    <w:rsid w:val="00E67FFB"/>
    <w:rsid w:val="00E70DD1"/>
    <w:rsid w:val="00E717D4"/>
    <w:rsid w:val="00E719E2"/>
    <w:rsid w:val="00E74983"/>
    <w:rsid w:val="00E75173"/>
    <w:rsid w:val="00E758D3"/>
    <w:rsid w:val="00E759CC"/>
    <w:rsid w:val="00E76855"/>
    <w:rsid w:val="00E8583C"/>
    <w:rsid w:val="00E87B9D"/>
    <w:rsid w:val="00E91346"/>
    <w:rsid w:val="00E93EB1"/>
    <w:rsid w:val="00EA1682"/>
    <w:rsid w:val="00EA4539"/>
    <w:rsid w:val="00EB052F"/>
    <w:rsid w:val="00EB0672"/>
    <w:rsid w:val="00EB44E8"/>
    <w:rsid w:val="00EC0C51"/>
    <w:rsid w:val="00EC2C6C"/>
    <w:rsid w:val="00EC4064"/>
    <w:rsid w:val="00EC6323"/>
    <w:rsid w:val="00ED10D2"/>
    <w:rsid w:val="00ED1FB9"/>
    <w:rsid w:val="00ED2179"/>
    <w:rsid w:val="00ED3163"/>
    <w:rsid w:val="00ED3746"/>
    <w:rsid w:val="00ED5794"/>
    <w:rsid w:val="00ED6B02"/>
    <w:rsid w:val="00EE2450"/>
    <w:rsid w:val="00EE4A19"/>
    <w:rsid w:val="00EE6D00"/>
    <w:rsid w:val="00EF17FF"/>
    <w:rsid w:val="00EF1BEA"/>
    <w:rsid w:val="00EF2BB0"/>
    <w:rsid w:val="00EF38D5"/>
    <w:rsid w:val="00EF6EC4"/>
    <w:rsid w:val="00EF7847"/>
    <w:rsid w:val="00EF7D6E"/>
    <w:rsid w:val="00F001E5"/>
    <w:rsid w:val="00F0513E"/>
    <w:rsid w:val="00F0525B"/>
    <w:rsid w:val="00F06C0A"/>
    <w:rsid w:val="00F07F84"/>
    <w:rsid w:val="00F132D1"/>
    <w:rsid w:val="00F16B0A"/>
    <w:rsid w:val="00F16F12"/>
    <w:rsid w:val="00F21A5E"/>
    <w:rsid w:val="00F21DEF"/>
    <w:rsid w:val="00F26258"/>
    <w:rsid w:val="00F2724A"/>
    <w:rsid w:val="00F27294"/>
    <w:rsid w:val="00F304C4"/>
    <w:rsid w:val="00F30D13"/>
    <w:rsid w:val="00F322D3"/>
    <w:rsid w:val="00F3543A"/>
    <w:rsid w:val="00F40147"/>
    <w:rsid w:val="00F42207"/>
    <w:rsid w:val="00F441DC"/>
    <w:rsid w:val="00F46B51"/>
    <w:rsid w:val="00F4791B"/>
    <w:rsid w:val="00F549F6"/>
    <w:rsid w:val="00F57B8F"/>
    <w:rsid w:val="00F608C8"/>
    <w:rsid w:val="00F62BA1"/>
    <w:rsid w:val="00F65246"/>
    <w:rsid w:val="00F65F5E"/>
    <w:rsid w:val="00F6620A"/>
    <w:rsid w:val="00F7285A"/>
    <w:rsid w:val="00F74169"/>
    <w:rsid w:val="00F7498E"/>
    <w:rsid w:val="00F7555A"/>
    <w:rsid w:val="00F75BCA"/>
    <w:rsid w:val="00F75FB2"/>
    <w:rsid w:val="00F84BF0"/>
    <w:rsid w:val="00F854D5"/>
    <w:rsid w:val="00F85BE3"/>
    <w:rsid w:val="00F8740C"/>
    <w:rsid w:val="00F904B0"/>
    <w:rsid w:val="00F92474"/>
    <w:rsid w:val="00F94396"/>
    <w:rsid w:val="00F94421"/>
    <w:rsid w:val="00F9724C"/>
    <w:rsid w:val="00F97A66"/>
    <w:rsid w:val="00FA0D62"/>
    <w:rsid w:val="00FA15E3"/>
    <w:rsid w:val="00FA1864"/>
    <w:rsid w:val="00FA1CBB"/>
    <w:rsid w:val="00FA3D76"/>
    <w:rsid w:val="00FA3F11"/>
    <w:rsid w:val="00FA626D"/>
    <w:rsid w:val="00FA7F74"/>
    <w:rsid w:val="00FB0893"/>
    <w:rsid w:val="00FB0BF4"/>
    <w:rsid w:val="00FB195F"/>
    <w:rsid w:val="00FB28A3"/>
    <w:rsid w:val="00FB3E7D"/>
    <w:rsid w:val="00FB4A49"/>
    <w:rsid w:val="00FB5762"/>
    <w:rsid w:val="00FB655F"/>
    <w:rsid w:val="00FC24D9"/>
    <w:rsid w:val="00FC3126"/>
    <w:rsid w:val="00FD0A4A"/>
    <w:rsid w:val="00FD1857"/>
    <w:rsid w:val="00FD35DA"/>
    <w:rsid w:val="00FD37A5"/>
    <w:rsid w:val="00FD3EFE"/>
    <w:rsid w:val="00FD6754"/>
    <w:rsid w:val="00FE04AB"/>
    <w:rsid w:val="00FE0EEE"/>
    <w:rsid w:val="00FE145F"/>
    <w:rsid w:val="00FE1BFA"/>
    <w:rsid w:val="00FE74EE"/>
    <w:rsid w:val="00FF2746"/>
    <w:rsid w:val="00FF43EB"/>
    <w:rsid w:val="00FF4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B5FED"/>
  <w15:chartTrackingRefBased/>
  <w15:docId w15:val="{C1EC9827-9AAB-4918-8740-5CE6CC58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BFA"/>
    <w:pPr>
      <w:spacing w:line="489" w:lineRule="exact"/>
    </w:pPr>
    <w:rPr>
      <w:rFonts w:ascii="Courier New" w:hAnsi="Courier New"/>
    </w:rPr>
  </w:style>
  <w:style w:type="paragraph" w:styleId="Heading1">
    <w:name w:val="heading 1"/>
    <w:basedOn w:val="Normal"/>
    <w:next w:val="Normal"/>
    <w:qFormat/>
    <w:rsid w:val="00EB052F"/>
    <w:pPr>
      <w:keepNext/>
      <w:spacing w:line="240" w:lineRule="auto"/>
      <w:outlineLvl w:val="0"/>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link w:val="SingleSpacingChar"/>
    <w:pPr>
      <w:spacing w:line="245" w:lineRule="exact"/>
    </w:pPr>
  </w:style>
  <w:style w:type="paragraph" w:styleId="FootnoteText">
    <w:name w:val="footnote text"/>
    <w:basedOn w:val="Normal"/>
    <w:link w:val="FootnoteTextChar"/>
    <w:semiHidden/>
    <w:rsid w:val="00EB052F"/>
    <w:pPr>
      <w:spacing w:line="240" w:lineRule="auto"/>
    </w:pPr>
    <w:rPr>
      <w:rFonts w:ascii="Times New Roman" w:hAnsi="Times New Roman"/>
    </w:rPr>
  </w:style>
  <w:style w:type="character" w:styleId="FootnoteReference">
    <w:name w:val="footnote reference"/>
    <w:semiHidden/>
    <w:rsid w:val="00EB052F"/>
    <w:rPr>
      <w:vertAlign w:val="superscript"/>
    </w:rPr>
  </w:style>
  <w:style w:type="paragraph" w:customStyle="1" w:styleId="AttorneyName">
    <w:name w:val="Attorney Name"/>
    <w:basedOn w:val="SingleSpacing"/>
  </w:style>
  <w:style w:type="paragraph" w:customStyle="1" w:styleId="FirmName">
    <w:name w:val="Firm Name"/>
    <w:basedOn w:val="SingleSpacing"/>
    <w:pPr>
      <w:jc w:val="center"/>
    </w:pPr>
  </w:style>
  <w:style w:type="character" w:customStyle="1" w:styleId="vi1">
    <w:name w:val="vi1"/>
    <w:rsid w:val="00ED2179"/>
    <w:rPr>
      <w:rFonts w:ascii="Times New Roman" w:hAnsi="Times New Roman" w:cs="Times New Roman" w:hint="defaul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gnatureblockdate">
    <w:name w:val="Signature block date"/>
    <w:basedOn w:val="Normal"/>
    <w:rsid w:val="00256D9F"/>
    <w:pPr>
      <w:spacing w:line="245" w:lineRule="exact"/>
      <w:ind w:left="4680"/>
    </w:pPr>
  </w:style>
  <w:style w:type="paragraph" w:customStyle="1" w:styleId="Signatureblockline">
    <w:name w:val="Signature block line"/>
    <w:basedOn w:val="Normal"/>
    <w:rsid w:val="00256D9F"/>
    <w:pPr>
      <w:tabs>
        <w:tab w:val="left" w:leader="underscore" w:pos="9360"/>
      </w:tabs>
      <w:spacing w:line="245" w:lineRule="exact"/>
      <w:ind w:left="6000"/>
    </w:pPr>
  </w:style>
  <w:style w:type="paragraph" w:customStyle="1" w:styleId="DocID">
    <w:name w:val="DocID"/>
    <w:basedOn w:val="Footer"/>
    <w:next w:val="Footer"/>
    <w:link w:val="DocIDChar"/>
    <w:rsid w:val="00E5169C"/>
    <w:pPr>
      <w:tabs>
        <w:tab w:val="clear" w:pos="4320"/>
        <w:tab w:val="clear" w:pos="8640"/>
      </w:tabs>
      <w:spacing w:line="240" w:lineRule="auto"/>
    </w:pPr>
    <w:rPr>
      <w:rFonts w:ascii="Times New Roman" w:hAnsi="Times New Roman"/>
      <w:sz w:val="16"/>
    </w:rPr>
  </w:style>
  <w:style w:type="character" w:customStyle="1" w:styleId="SingleSpacingChar">
    <w:name w:val="Single Spacing Char"/>
    <w:link w:val="SingleSpacing"/>
    <w:rsid w:val="008065B0"/>
    <w:rPr>
      <w:rFonts w:ascii="Courier New" w:hAnsi="Courier New"/>
    </w:rPr>
  </w:style>
  <w:style w:type="character" w:styleId="Hyperlink">
    <w:name w:val="Hyperlink"/>
    <w:rsid w:val="00CA1E89"/>
    <w:rPr>
      <w:color w:val="0000FF"/>
      <w:u w:val="single"/>
    </w:rPr>
  </w:style>
  <w:style w:type="paragraph" w:styleId="ListParagraph">
    <w:name w:val="List Paragraph"/>
    <w:basedOn w:val="Normal"/>
    <w:link w:val="ListParagraphChar"/>
    <w:uiPriority w:val="34"/>
    <w:qFormat/>
    <w:rsid w:val="003E6F12"/>
    <w:pPr>
      <w:spacing w:line="240" w:lineRule="auto"/>
      <w:ind w:left="720"/>
    </w:pPr>
    <w:rPr>
      <w:rFonts w:ascii="Calibri" w:eastAsia="Calibri" w:hAnsi="Calibri"/>
      <w:sz w:val="22"/>
      <w:szCs w:val="22"/>
    </w:rPr>
  </w:style>
  <w:style w:type="paragraph" w:styleId="BalloonText">
    <w:name w:val="Balloon Text"/>
    <w:basedOn w:val="Normal"/>
    <w:link w:val="BalloonTextChar"/>
    <w:rsid w:val="00C93239"/>
    <w:pPr>
      <w:spacing w:line="240" w:lineRule="auto"/>
    </w:pPr>
    <w:rPr>
      <w:rFonts w:ascii="Tahoma" w:hAnsi="Tahoma" w:cs="Tahoma"/>
      <w:sz w:val="16"/>
      <w:szCs w:val="16"/>
    </w:rPr>
  </w:style>
  <w:style w:type="character" w:customStyle="1" w:styleId="BalloonTextChar">
    <w:name w:val="Balloon Text Char"/>
    <w:link w:val="BalloonText"/>
    <w:rsid w:val="00C93239"/>
    <w:rPr>
      <w:rFonts w:ascii="Tahoma" w:hAnsi="Tahoma" w:cs="Tahoma"/>
      <w:sz w:val="16"/>
      <w:szCs w:val="16"/>
    </w:rPr>
  </w:style>
  <w:style w:type="character" w:customStyle="1" w:styleId="ListParagraphChar">
    <w:name w:val="List Paragraph Char"/>
    <w:link w:val="ListParagraph"/>
    <w:uiPriority w:val="34"/>
    <w:rsid w:val="00B0106A"/>
    <w:rPr>
      <w:rFonts w:ascii="Calibri" w:eastAsia="Calibri" w:hAnsi="Calibri"/>
      <w:sz w:val="22"/>
      <w:szCs w:val="22"/>
    </w:rPr>
  </w:style>
  <w:style w:type="paragraph" w:customStyle="1" w:styleId="paragraph">
    <w:name w:val="paragraph"/>
    <w:basedOn w:val="Normal"/>
    <w:rsid w:val="00327822"/>
    <w:pPr>
      <w:spacing w:line="240" w:lineRule="auto"/>
    </w:pPr>
    <w:rPr>
      <w:rFonts w:ascii="Times New Roman" w:eastAsia="Calibri" w:hAnsi="Times New Roman"/>
      <w:sz w:val="24"/>
      <w:szCs w:val="24"/>
    </w:rPr>
  </w:style>
  <w:style w:type="character" w:customStyle="1" w:styleId="normaltextrun">
    <w:name w:val="normaltextrun"/>
    <w:rsid w:val="00327822"/>
  </w:style>
  <w:style w:type="character" w:customStyle="1" w:styleId="eop">
    <w:name w:val="eop"/>
    <w:rsid w:val="00327822"/>
  </w:style>
  <w:style w:type="paragraph" w:styleId="BodyText">
    <w:name w:val="Body Text"/>
    <w:basedOn w:val="Normal"/>
    <w:link w:val="BodyTextChar"/>
    <w:rsid w:val="002C29EC"/>
    <w:pPr>
      <w:spacing w:after="240" w:line="240" w:lineRule="auto"/>
      <w:jc w:val="both"/>
    </w:pPr>
    <w:rPr>
      <w:rFonts w:ascii="Times New Roman" w:hAnsi="Times New Roman"/>
      <w:sz w:val="24"/>
      <w:szCs w:val="24"/>
    </w:rPr>
  </w:style>
  <w:style w:type="character" w:customStyle="1" w:styleId="BodyTextChar">
    <w:name w:val="Body Text Char"/>
    <w:link w:val="BodyText"/>
    <w:rsid w:val="002C29EC"/>
    <w:rPr>
      <w:sz w:val="24"/>
      <w:szCs w:val="24"/>
    </w:rPr>
  </w:style>
  <w:style w:type="character" w:styleId="UnresolvedMention">
    <w:name w:val="Unresolved Mention"/>
    <w:uiPriority w:val="99"/>
    <w:semiHidden/>
    <w:unhideWhenUsed/>
    <w:rsid w:val="00C2467E"/>
    <w:rPr>
      <w:color w:val="605E5C"/>
      <w:shd w:val="clear" w:color="auto" w:fill="E1DFDD"/>
    </w:rPr>
  </w:style>
  <w:style w:type="paragraph" w:styleId="CommentText">
    <w:name w:val="annotation text"/>
    <w:basedOn w:val="Normal"/>
    <w:link w:val="CommentTextChar"/>
    <w:unhideWhenUsed/>
    <w:rsid w:val="00187212"/>
    <w:pPr>
      <w:spacing w:line="240" w:lineRule="auto"/>
    </w:pPr>
    <w:rPr>
      <w:rFonts w:ascii="Times New Roman" w:hAnsi="Times New Roman"/>
    </w:rPr>
  </w:style>
  <w:style w:type="character" w:customStyle="1" w:styleId="CommentTextChar">
    <w:name w:val="Comment Text Char"/>
    <w:basedOn w:val="DefaultParagraphFont"/>
    <w:link w:val="CommentText"/>
    <w:rsid w:val="00187212"/>
  </w:style>
  <w:style w:type="character" w:styleId="CommentReference">
    <w:name w:val="annotation reference"/>
    <w:unhideWhenUsed/>
    <w:rsid w:val="00187212"/>
    <w:rPr>
      <w:sz w:val="16"/>
      <w:szCs w:val="16"/>
    </w:rPr>
  </w:style>
  <w:style w:type="character" w:customStyle="1" w:styleId="FootnoteTextChar">
    <w:name w:val="Footnote Text Char"/>
    <w:basedOn w:val="DefaultParagraphFont"/>
    <w:link w:val="FootnoteText"/>
    <w:semiHidden/>
    <w:rsid w:val="00E5169C"/>
  </w:style>
  <w:style w:type="character" w:customStyle="1" w:styleId="DocIDChar">
    <w:name w:val="DocID Char"/>
    <w:link w:val="DocID"/>
    <w:rsid w:val="00E5169C"/>
    <w:rPr>
      <w:sz w:val="16"/>
    </w:rPr>
  </w:style>
  <w:style w:type="paragraph" w:styleId="Revision">
    <w:name w:val="Revision"/>
    <w:hidden/>
    <w:uiPriority w:val="99"/>
    <w:semiHidden/>
    <w:rsid w:val="00CC03FE"/>
    <w:rPr>
      <w:rFonts w:ascii="Courier New" w:hAnsi="Courier New"/>
    </w:rPr>
  </w:style>
  <w:style w:type="paragraph" w:styleId="CommentSubject">
    <w:name w:val="annotation subject"/>
    <w:basedOn w:val="CommentText"/>
    <w:next w:val="CommentText"/>
    <w:link w:val="CommentSubjectChar"/>
    <w:rsid w:val="00BC0F3C"/>
    <w:pPr>
      <w:spacing w:line="489" w:lineRule="exact"/>
    </w:pPr>
    <w:rPr>
      <w:rFonts w:ascii="Courier New" w:hAnsi="Courier New"/>
      <w:b/>
      <w:bCs/>
    </w:rPr>
  </w:style>
  <w:style w:type="character" w:customStyle="1" w:styleId="CommentSubjectChar">
    <w:name w:val="Comment Subject Char"/>
    <w:link w:val="CommentSubject"/>
    <w:rsid w:val="00BC0F3C"/>
    <w:rPr>
      <w:rFonts w:ascii="Courier New" w:hAnsi="Courier New"/>
      <w:b/>
      <w:bCs/>
    </w:rPr>
  </w:style>
  <w:style w:type="character" w:styleId="FollowedHyperlink">
    <w:name w:val="FollowedHyperlink"/>
    <w:rsid w:val="006308F5"/>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3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stlaw.com/Document/N6F931911B0D111F082178BC9E2229610/View/FullText.html?transitionType=Default&amp;contextData=(sc.Default)&amp;VR=3.0&amp;RS=cblt1.0" TargetMode="External"/><Relationship Id="rId18" Type="http://schemas.openxmlformats.org/officeDocument/2006/relationships/hyperlink" Target="https://www.westlaw.com/Document/NF60E113045F011F0AF92AA0892E2753C/View/FullText.html?transitionType=Default&amp;contextData=(sc.Default)&amp;VR=3.0&amp;RS=cblt1.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1.next.westlaw.com/Document/Ia9c30e505b9911ed942a9fe69e38db32/View/FullText.html?transitionType=Default&amp;contextData=(oc.Default)&amp;documentSection=co_pp_sp_804_545%E2%80%9346%2Cco_pp_sp_4645_217" TargetMode="External"/><Relationship Id="rId7" Type="http://schemas.openxmlformats.org/officeDocument/2006/relationships/settings" Target="settings.xml"/><Relationship Id="rId12" Type="http://schemas.openxmlformats.org/officeDocument/2006/relationships/hyperlink" Target="https://www.westlaw.com/Document/N6F931911B0D111F082178BC9E2229610/View/FullText.html?transitionType=Default&amp;contextData=(sc.Default)&amp;VR=3.0&amp;RS=cblt1.0" TargetMode="External"/><Relationship Id="rId17" Type="http://schemas.openxmlformats.org/officeDocument/2006/relationships/hyperlink" Target="https://www.westlaw.com/Document/ND551CE106E7211EF8198CC868B2DF6D5/View/FullText.html?transitionType=Default&amp;contextData=(sc.Default)&amp;VR=3.0&amp;RS=cblt1.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westlaw.com/Document/ND551CE106E7211EF8198CC868B2DF6D5/View/FullText.html?transitionType=Default&amp;contextData=(sc.Default)&amp;VR=3.0&amp;RS=cblt1.0" TargetMode="External"/><Relationship Id="rId20" Type="http://schemas.openxmlformats.org/officeDocument/2006/relationships/hyperlink" Target="https://www.westlaw.com/Document/I91c45a0906a011dba2529ff4f933adbe/View/FullText.html?transitionType=Default&amp;contextData=(sc.Default)&amp;VR=3.0&amp;RS=cblt1.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stlaw.com/Document/N6F931911B0D111F082178BC9E2229610/View/FullText.html?transitionType=Default&amp;contextData=(sc.Default)&amp;VR=3.0&amp;RS=cblt1.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estlaw.com/Document/ND551CE106E7211EF8198CC868B2DF6D5/View/FullText.html?transitionType=Default&amp;contextData=(sc.Default)&amp;VR=3.0&amp;RS=cblt1.0" TargetMode="External"/><Relationship Id="rId23" Type="http://schemas.openxmlformats.org/officeDocument/2006/relationships/hyperlink" Target="https://1.next.westlaw.com/Document/Ia9c30e505b9911ed942a9fe69e38db32/View/FullText.html?transitionType=Default&amp;contextData=(oc.Default)&amp;documentSection=co_pp_sp_804_566%2Cco_pp_sp_4645_226"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1.next.westlaw.com/Link/Document/FullText?findType=Y&amp;serNum=2007830688&amp;pubNum=0000156&amp;originatingDoc=Ia9c30e505b9911ed942a9fe69e38db32&amp;refType=RP&amp;originationContext=document&amp;transitionType=DocumentItem&amp;ppcid=4202d6b1a93746c9be2dbba3d97e9048&amp;contextData=(sc.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lesforum.azcourts.gov/Rules-Forum/aft/1583" TargetMode="External"/><Relationship Id="rId22" Type="http://schemas.openxmlformats.org/officeDocument/2006/relationships/hyperlink" Target="https://www.westlaw.com/Document/Ia9c30e505b9911ed942a9fe69e38db32/View/FullText.html?transitionType=Default&amp;contextData=(sc.Default)&amp;VR=3.0&amp;RS=cblt1.0"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2" ma:contentTypeDescription="Create a new document." ma:contentTypeScope="" ma:versionID="16ccdb456b276af0c995866108aa714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3db07bd007a3bfead96c1d6a9c49491b"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1AC2F-96FE-4E29-9666-439CABCEEAD1}">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2.xml><?xml version="1.0" encoding="utf-8"?>
<ds:datastoreItem xmlns:ds="http://schemas.openxmlformats.org/officeDocument/2006/customXml" ds:itemID="{F8841E30-D8DD-4757-8C77-E922305884CF}">
  <ds:schemaRefs>
    <ds:schemaRef ds:uri="http://schemas.microsoft.com/sharepoint/v3/contenttype/forms"/>
  </ds:schemaRefs>
</ds:datastoreItem>
</file>

<file path=customXml/itemProps3.xml><?xml version="1.0" encoding="utf-8"?>
<ds:datastoreItem xmlns:ds="http://schemas.openxmlformats.org/officeDocument/2006/customXml" ds:itemID="{BF595B80-3DFB-4169-BF0D-FAD6482B22C4}">
  <ds:schemaRefs>
    <ds:schemaRef ds:uri="http://schemas.openxmlformats.org/officeDocument/2006/bibliography"/>
  </ds:schemaRefs>
</ds:datastoreItem>
</file>

<file path=customXml/itemProps4.xml><?xml version="1.0" encoding="utf-8"?>
<ds:datastoreItem xmlns:ds="http://schemas.openxmlformats.org/officeDocument/2006/customXml" ds:itemID="{F415BFC4-6E2A-46DC-90E5-AFCC3CEC2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2257</Words>
  <Characters>12869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15096</CharactersWithSpaces>
  <SharedDoc>false</SharedDoc>
  <HLinks>
    <vt:vector size="24" baseType="variant">
      <vt:variant>
        <vt:i4>3473513</vt:i4>
      </vt:variant>
      <vt:variant>
        <vt:i4>9</vt:i4>
      </vt:variant>
      <vt:variant>
        <vt:i4>0</vt:i4>
      </vt:variant>
      <vt:variant>
        <vt:i4>5</vt:i4>
      </vt:variant>
      <vt:variant>
        <vt:lpwstr>https://1.next.westlaw.com/Document/Ia9c30e505b9911ed942a9fe69e38db32/View/FullText.html?transitionType=Default&amp;contextData=(oc.Default)&amp;documentSection=co_pp_sp_804_566%2Cco_pp_sp_4645_226</vt:lpwstr>
      </vt:variant>
      <vt:variant>
        <vt:lpwstr/>
      </vt:variant>
      <vt:variant>
        <vt:i4>7798892</vt:i4>
      </vt:variant>
      <vt:variant>
        <vt:i4>6</vt:i4>
      </vt:variant>
      <vt:variant>
        <vt:i4>0</vt:i4>
      </vt:variant>
      <vt:variant>
        <vt:i4>5</vt:i4>
      </vt:variant>
      <vt:variant>
        <vt:lpwstr>https://1.next.westlaw.com/Document/Ia9c30e505b9911ed942a9fe69e38db32/View/FullText.html?transitionType=Default&amp;contextData=(oc.Default)&amp;documentSection=co_pp_sp_804_545%E2%80%9346%2Cco_pp_sp_4645_217</vt:lpwstr>
      </vt:variant>
      <vt:variant>
        <vt:lpwstr/>
      </vt:variant>
      <vt:variant>
        <vt:i4>7798892</vt:i4>
      </vt:variant>
      <vt:variant>
        <vt:i4>3</vt:i4>
      </vt:variant>
      <vt:variant>
        <vt:i4>0</vt:i4>
      </vt:variant>
      <vt:variant>
        <vt:i4>5</vt:i4>
      </vt:variant>
      <vt:variant>
        <vt:lpwstr>https://1.next.westlaw.com/Document/Ia9c30e505b9911ed942a9fe69e38db32/View/FullText.html?transitionType=Default&amp;contextData=(oc.Default)&amp;documentSection=co_pp_sp_804_545%E2%80%9346%2Cco_pp_sp_4645_217</vt:lpwstr>
      </vt:variant>
      <vt:variant>
        <vt:lpwstr/>
      </vt:variant>
      <vt:variant>
        <vt:i4>2621477</vt:i4>
      </vt:variant>
      <vt:variant>
        <vt:i4>0</vt:i4>
      </vt:variant>
      <vt:variant>
        <vt:i4>0</vt:i4>
      </vt:variant>
      <vt:variant>
        <vt:i4>5</vt:i4>
      </vt:variant>
      <vt:variant>
        <vt:lpwstr>https://1.next.westlaw.com/Link/Document/FullText?findType=Y&amp;serNum=2007830688&amp;pubNum=0000156&amp;originatingDoc=Ia9c30e505b9911ed942a9fe69e38db32&amp;refType=RP&amp;originationContext=document&amp;transitionType=DocumentItem&amp;ppcid=4202d6b1a93746c9be2dbba3d97e9048&amp;contextData=(sc.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James</dc:creator>
  <cp:keywords/>
  <cp:lastModifiedBy>Becke, Andrew J.</cp:lastModifiedBy>
  <cp:revision>6</cp:revision>
  <cp:lastPrinted>1900-01-01T07:00:00Z</cp:lastPrinted>
  <dcterms:created xsi:type="dcterms:W3CDTF">2026-04-09T22:20:00Z</dcterms:created>
  <dcterms:modified xsi:type="dcterms:W3CDTF">2026-04-09T23:04:00Z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Chunk0">
    <vt:lpwstr>88837179.1</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88837179.1</vt:lpwstr>
  </property>
  <property fmtid="{D5CDD505-2E9C-101B-9397-08002B2CF9AE}" pid="7" name="_TemplateID">
    <vt:lpwstr>TC060869971033</vt:lpwstr>
  </property>
  <property fmtid="{D5CDD505-2E9C-101B-9397-08002B2CF9AE}" pid="8" name="MediaServiceImageTags">
    <vt:lpwstr/>
  </property>
  <property fmtid="{D5CDD505-2E9C-101B-9397-08002B2CF9AE}" pid="9" name="ContentTypeId">
    <vt:lpwstr>0x010100BE1908DCF6E0674D9FE2E4BCA00F3807</vt:lpwstr>
  </property>
</Properties>
</file>