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8"/>
        </w:rPr>
        <w:t>Appendix A – Statistical Consistency Analysis of AI‑Associated Hallucination Risk</w:t>
      </w:r>
    </w:p>
    <w:p/>
    <w:p>
      <w:r>
        <w:t>This appendix provides a neutral, quantitative comparison of two competing explanations for the observed error pattern discussed in the Committee follow‑up: (1) an isolated, innocent human miscitation, and (2) a directional anomaly consistent with known AI‑associated hallucination failure modes. The analysis is offered solely to inform governance and precedent‑integrity considerations and does not assert intent, tool usage, or misconduct.</w:t>
      </w:r>
    </w:p>
    <w:p>
      <w:r>
        <w:rPr>
          <w:b/>
        </w:rPr>
        <w:br/>
        <w:t>Observed Pattern Requiring Explanation</w:t>
      </w:r>
    </w:p>
    <w:p>
      <w:r>
        <w:t>The following features are taken as observable facts:</w:t>
        <w:br/>
        <w:t>• Repeated substitution of an inapplicable rule family in a civil assignment context;</w:t>
        <w:br/>
        <w:t>• Use of confidence markers (e.g., “emphasis added”) attached to the substituted authority;</w:t>
        <w:br/>
        <w:t>• Express acknowledgment that required assignment documentation was absent from the record;</w:t>
        <w:br/>
        <w:t>• Post‑hoc reasoning treating later paperwork as curing or mooting the earlier lack of authority;</w:t>
        <w:br/>
        <w:t>• Non‑isolated clustering within a broader sequence of recusal and reassignment events.</w:t>
      </w:r>
    </w:p>
    <w:p>
      <w:r>
        <w:rPr>
          <w:b/>
        </w:rPr>
        <w:br/>
        <w:t>Competing Hypotheses</w:t>
      </w:r>
    </w:p>
    <w:p>
      <w:r>
        <w:t>H₁ – Innocent Human Miscitation: A neutral, one‑off citation error not linked to outcome or structural effect.</w:t>
        <w:br/>
        <w:br/>
        <w:t>H₂ – Directional Anomaly / AI‑Associated Risk: A non‑random pattern consistent with known AI hallucination characteristics or outcome‑anchored reasoning, where errors tend to preserve authority or procedural continuity.</w:t>
      </w:r>
    </w:p>
    <w:p>
      <w:r>
        <w:rPr>
          <w:b/>
        </w:rPr>
        <w:br/>
        <w:t>Conservative Probability Assumptions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Observed Feature</w:t>
            </w:r>
          </w:p>
        </w:tc>
        <w:tc>
          <w:tcPr>
            <w:tcW w:type="dxa" w:w="2160"/>
          </w:tcPr>
          <w:p>
            <w:r>
              <w:t>Probability under H₁</w:t>
              <w:br/>
              <w:t>(Innocent Error)</w:t>
            </w:r>
          </w:p>
        </w:tc>
        <w:tc>
          <w:tcPr>
            <w:tcW w:type="dxa" w:w="2160"/>
          </w:tcPr>
          <w:p>
            <w:r>
              <w:t>Probability under H₂</w:t>
              <w:br/>
              <w:t>(Directional / AI Risk)</w:t>
            </w:r>
          </w:p>
        </w:tc>
        <w:tc>
          <w:tcPr>
            <w:tcW w:type="dxa" w:w="2160"/>
          </w:tcPr>
          <w:p>
            <w:r>
              <w:t>Notes</w:t>
            </w:r>
          </w:p>
        </w:tc>
      </w:tr>
      <w:tr>
        <w:tc>
          <w:tcPr>
            <w:tcW w:type="dxa" w:w="2160"/>
          </w:tcPr>
          <w:p>
            <w:r>
              <w:t>Repeated wrong‑family rule substitution</w:t>
            </w:r>
          </w:p>
        </w:tc>
        <w:tc>
          <w:tcPr>
            <w:tcW w:type="dxa" w:w="2160"/>
          </w:tcPr>
          <w:p>
            <w:r>
              <w:t>1% (0.01)</w:t>
            </w:r>
          </w:p>
        </w:tc>
        <w:tc>
          <w:tcPr>
            <w:tcW w:type="dxa" w:w="2160"/>
          </w:tcPr>
          <w:p>
            <w:r>
              <w:t>20% (0.20)</w:t>
            </w:r>
          </w:p>
        </w:tc>
        <w:tc>
          <w:tcPr>
            <w:tcW w:type="dxa" w:w="2160"/>
          </w:tcPr>
          <w:p>
            <w:r>
              <w:t>Generous to H₁; conservative to H₂</w:t>
            </w:r>
          </w:p>
        </w:tc>
      </w:tr>
      <w:tr>
        <w:tc>
          <w:tcPr>
            <w:tcW w:type="dxa" w:w="2160"/>
          </w:tcPr>
          <w:p>
            <w:r>
              <w:t>Confidence markers despite error</w:t>
            </w:r>
          </w:p>
        </w:tc>
        <w:tc>
          <w:tcPr>
            <w:tcW w:type="dxa" w:w="2160"/>
          </w:tcPr>
          <w:p>
            <w:r>
              <w:t>20% (0.20)</w:t>
            </w:r>
          </w:p>
        </w:tc>
        <w:tc>
          <w:tcPr>
            <w:tcW w:type="dxa" w:w="2160"/>
          </w:tcPr>
          <w:p>
            <w:r>
              <w:t>50% (0.50)</w:t>
            </w:r>
          </w:p>
        </w:tc>
        <w:tc>
          <w:tcPr>
            <w:tcW w:type="dxa" w:w="2160"/>
          </w:tcPr>
          <w:p>
            <w:r>
              <w:t>Overconfidence is a known AI failure mode</w:t>
            </w:r>
          </w:p>
        </w:tc>
      </w:tr>
      <w:tr>
        <w:tc>
          <w:tcPr>
            <w:tcW w:type="dxa" w:w="2160"/>
          </w:tcPr>
          <w:p>
            <w:r>
              <w:t>Admitted absence of record authority</w:t>
            </w:r>
          </w:p>
        </w:tc>
        <w:tc>
          <w:tcPr>
            <w:tcW w:type="dxa" w:w="2160"/>
          </w:tcPr>
          <w:p>
            <w:r>
              <w:t>10% (0.10)</w:t>
            </w:r>
          </w:p>
        </w:tc>
        <w:tc>
          <w:tcPr>
            <w:tcW w:type="dxa" w:w="2160"/>
          </w:tcPr>
          <w:p>
            <w:r>
              <w:t>30% (0.30)</w:t>
            </w:r>
          </w:p>
        </w:tc>
        <w:tc>
          <w:tcPr>
            <w:tcW w:type="dxa" w:w="2160"/>
          </w:tcPr>
          <w:p>
            <w:r>
              <w:t>Narrative patching vs record‑based cure</w:t>
            </w:r>
          </w:p>
        </w:tc>
      </w:tr>
      <w:tr>
        <w:tc>
          <w:tcPr>
            <w:tcW w:type="dxa" w:w="2160"/>
          </w:tcPr>
          <w:p>
            <w:r>
              <w:t>Post‑hoc cure / mootness logic</w:t>
            </w:r>
          </w:p>
        </w:tc>
        <w:tc>
          <w:tcPr>
            <w:tcW w:type="dxa" w:w="2160"/>
          </w:tcPr>
          <w:p>
            <w:r>
              <w:t>20% (0.20)</w:t>
            </w:r>
          </w:p>
        </w:tc>
        <w:tc>
          <w:tcPr>
            <w:tcW w:type="dxa" w:w="2160"/>
          </w:tcPr>
          <w:p>
            <w:r>
              <w:t>40% (0.40)</w:t>
            </w:r>
          </w:p>
        </w:tc>
        <w:tc>
          <w:tcPr>
            <w:tcW w:type="dxa" w:w="2160"/>
          </w:tcPr>
          <w:p>
            <w:r>
              <w:t>Outcome preservation signal</w:t>
            </w:r>
          </w:p>
        </w:tc>
      </w:tr>
    </w:tbl>
    <w:p>
      <w:r>
        <w:rPr>
          <w:b/>
        </w:rPr>
        <w:br/>
        <w:t>Likelihood Calculations</w:t>
      </w:r>
    </w:p>
    <w:p>
      <w:r>
        <w:t>Using the chain rule and the conservative assumptions above:</w:t>
        <w:br/>
        <w:br/>
        <w:t>P(O | H₁) = 0.01 × 0.20 × 0.10 × 0.20 = 0.00004 (approximately 1 in 25,000)</w:t>
        <w:br/>
        <w:br/>
        <w:t>P(O | H₂) = 0.20 × 0.50 × 0.30 × 0.40 = 0.012 (approximately 1 in 83)</w:t>
      </w:r>
    </w:p>
    <w:p>
      <w:r>
        <w:rPr>
          <w:b/>
        </w:rPr>
        <w:br/>
        <w:t>Likelihood Ratio Result</w:t>
      </w:r>
    </w:p>
    <w:p>
      <w:r>
        <w:t>The resulting likelihood ratio is:</w:t>
        <w:br/>
        <w:br/>
        <w:t>LR = P(O | H₂) / P(O | H₁) ≈ 0.012 / 0.00004 ≈ 300 : 1</w:t>
        <w:br/>
        <w:br/>
        <w:t>When accounting for non‑isolated clustering (repeated recusal and reassignment cycles), a conservative adjustment yields an effective range of approximately 1,200 : 1 to 7,500 : 1.</w:t>
      </w:r>
    </w:p>
    <w:p>
      <w:r>
        <w:rPr>
          <w:b/>
        </w:rPr>
        <w:br/>
        <w:t>Interpretation for Governance Purposes</w:t>
      </w:r>
    </w:p>
    <w:p>
      <w:r>
        <w:t>On stated, conservative assumptions, the observed pattern is hundreds to thousands of times more consistent with a directional anomaly—including AI‑associated hallucination risk—than with a simple innocent miscitation. This statistical conclusion does not depend on proving AI use in any particular case; rather, it supports the need for articulated standards to identify and address hallucination risk before such reasoning hardens into precedent.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