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AB7D" w14:textId="77777777" w:rsidR="0013271D" w:rsidRPr="006E3367" w:rsidRDefault="0013271D" w:rsidP="0013271D">
      <w:pPr>
        <w:pStyle w:val="AttorneyName"/>
        <w:rPr>
          <w:sz w:val="28"/>
          <w:szCs w:val="28"/>
        </w:rPr>
      </w:pPr>
      <w:r w:rsidRPr="006E3367">
        <w:rPr>
          <w:sz w:val="28"/>
          <w:szCs w:val="28"/>
        </w:rPr>
        <w:t>The Law Office of Denise M. Quinterri, PLLC</w:t>
      </w:r>
    </w:p>
    <w:p w14:paraId="1F8BB3BA" w14:textId="77777777" w:rsidR="0013271D" w:rsidRPr="006E3367" w:rsidRDefault="0013271D" w:rsidP="0013271D">
      <w:pPr>
        <w:pStyle w:val="AttorneyName"/>
        <w:rPr>
          <w:sz w:val="28"/>
          <w:szCs w:val="28"/>
        </w:rPr>
      </w:pPr>
      <w:r w:rsidRPr="006E3367">
        <w:rPr>
          <w:sz w:val="28"/>
          <w:szCs w:val="28"/>
        </w:rPr>
        <w:t>161 E. Inverness Dr.</w:t>
      </w:r>
    </w:p>
    <w:p w14:paraId="4D7AADD4" w14:textId="77777777" w:rsidR="0013271D" w:rsidRPr="006E3367" w:rsidRDefault="0013271D" w:rsidP="0013271D">
      <w:pPr>
        <w:pStyle w:val="AttorneyName"/>
        <w:rPr>
          <w:sz w:val="28"/>
          <w:szCs w:val="28"/>
        </w:rPr>
      </w:pPr>
      <w:r w:rsidRPr="006E3367">
        <w:rPr>
          <w:sz w:val="28"/>
          <w:szCs w:val="28"/>
        </w:rPr>
        <w:t>Tucson, AZ 85737</w:t>
      </w:r>
    </w:p>
    <w:p w14:paraId="766B6DE3" w14:textId="77777777" w:rsidR="0013271D" w:rsidRPr="006E3367" w:rsidRDefault="0013271D" w:rsidP="0013271D">
      <w:pPr>
        <w:pStyle w:val="AttorneyName"/>
        <w:rPr>
          <w:sz w:val="28"/>
          <w:szCs w:val="28"/>
        </w:rPr>
      </w:pPr>
      <w:r w:rsidRPr="006E3367">
        <w:rPr>
          <w:sz w:val="28"/>
          <w:szCs w:val="28"/>
        </w:rPr>
        <w:t>Telephone: 480-239-9807</w:t>
      </w:r>
    </w:p>
    <w:p w14:paraId="12638F6F" w14:textId="77777777" w:rsidR="0013271D" w:rsidRPr="006E3367" w:rsidRDefault="0013271D" w:rsidP="0013271D">
      <w:pPr>
        <w:pStyle w:val="AttorneyName"/>
        <w:rPr>
          <w:sz w:val="28"/>
          <w:szCs w:val="28"/>
        </w:rPr>
      </w:pPr>
      <w:bookmarkStart w:id="0" w:name="AttorneyName"/>
      <w:bookmarkEnd w:id="0"/>
      <w:r w:rsidRPr="006E3367">
        <w:rPr>
          <w:sz w:val="28"/>
          <w:szCs w:val="28"/>
        </w:rPr>
        <w:t>dmq@azethicslaw.com</w:t>
      </w:r>
    </w:p>
    <w:p w14:paraId="10825371" w14:textId="77777777" w:rsidR="0013271D" w:rsidRPr="006E3367" w:rsidRDefault="0013271D" w:rsidP="0013271D">
      <w:pPr>
        <w:pStyle w:val="AttorneyName"/>
        <w:rPr>
          <w:sz w:val="28"/>
          <w:szCs w:val="28"/>
        </w:rPr>
      </w:pPr>
      <w:r w:rsidRPr="006E3367">
        <w:rPr>
          <w:sz w:val="28"/>
          <w:szCs w:val="28"/>
        </w:rPr>
        <w:t>Denise M. Quinterri, State Bar No. 020637</w:t>
      </w:r>
    </w:p>
    <w:p w14:paraId="72C7DFC7" w14:textId="39689EAC" w:rsidR="0013271D" w:rsidRPr="006E3367" w:rsidRDefault="0013271D" w:rsidP="0013271D">
      <w:pPr>
        <w:pStyle w:val="AttorneyName"/>
        <w:rPr>
          <w:sz w:val="28"/>
          <w:szCs w:val="28"/>
        </w:rPr>
      </w:pPr>
    </w:p>
    <w:p w14:paraId="61615623" w14:textId="3B5BF116" w:rsidR="009F0E74" w:rsidRPr="0013271D" w:rsidRDefault="009F0E74">
      <w:pPr>
        <w:pStyle w:val="AttorneyName"/>
        <w:rPr>
          <w:sz w:val="28"/>
          <w:szCs w:val="28"/>
        </w:rPr>
      </w:pPr>
    </w:p>
    <w:p w14:paraId="1E853C5C" w14:textId="7CA73AFD" w:rsidR="009F0E74" w:rsidRPr="0011213D" w:rsidRDefault="000C50F1" w:rsidP="0011213D">
      <w:pPr>
        <w:pStyle w:val="Court"/>
        <w:spacing w:line="240" w:lineRule="auto"/>
        <w:rPr>
          <w:rStyle w:val="CourtNameChar"/>
          <w:b/>
          <w:caps/>
          <w:sz w:val="28"/>
          <w:szCs w:val="28"/>
        </w:rPr>
      </w:pPr>
      <w:r w:rsidRPr="0011213D">
        <w:rPr>
          <w:b/>
          <w:sz w:val="28"/>
          <w:szCs w:val="28"/>
        </w:rPr>
        <w:t>IN THE SUPREME COURT</w:t>
      </w:r>
      <w:r w:rsidRPr="0011213D">
        <w:rPr>
          <w:b/>
          <w:sz w:val="28"/>
          <w:szCs w:val="28"/>
        </w:rPr>
        <w:br/>
      </w:r>
      <w:r w:rsidR="001B10D5">
        <w:rPr>
          <w:b/>
          <w:sz w:val="28"/>
          <w:szCs w:val="28"/>
        </w:rPr>
        <w:t xml:space="preserve">of the </w:t>
      </w:r>
      <w:r w:rsidRPr="0011213D">
        <w:rPr>
          <w:b/>
          <w:sz w:val="28"/>
          <w:szCs w:val="28"/>
        </w:rPr>
        <w:t>STATE OF ARIZONA</w:t>
      </w: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rsidRPr="0013271D" w14:paraId="0A124A82" w14:textId="77777777">
        <w:tc>
          <w:tcPr>
            <w:tcW w:w="2500" w:type="pct"/>
            <w:tcBorders>
              <w:bottom w:val="single" w:sz="4" w:space="0" w:color="auto"/>
              <w:right w:val="single" w:sz="4" w:space="0" w:color="auto"/>
            </w:tcBorders>
          </w:tcPr>
          <w:p w14:paraId="3FFB6D01" w14:textId="77777777" w:rsidR="00CE42C9" w:rsidRDefault="00CE42C9" w:rsidP="00414B87">
            <w:pPr>
              <w:spacing w:line="264" w:lineRule="auto"/>
              <w:ind w:firstLine="0"/>
              <w:rPr>
                <w:bCs/>
                <w:sz w:val="28"/>
                <w:szCs w:val="28"/>
              </w:rPr>
            </w:pPr>
          </w:p>
          <w:p w14:paraId="1E49D633" w14:textId="5E09FB52" w:rsidR="00414B87" w:rsidRPr="00414B87" w:rsidRDefault="00414B87" w:rsidP="00414B87">
            <w:pPr>
              <w:spacing w:line="264" w:lineRule="auto"/>
              <w:ind w:firstLine="0"/>
              <w:rPr>
                <w:bCs/>
                <w:sz w:val="28"/>
                <w:szCs w:val="28"/>
              </w:rPr>
            </w:pPr>
            <w:r w:rsidRPr="00414B87">
              <w:rPr>
                <w:bCs/>
                <w:sz w:val="28"/>
                <w:szCs w:val="28"/>
              </w:rPr>
              <w:t>In the Matter of:</w:t>
            </w:r>
          </w:p>
          <w:p w14:paraId="11AB1BDA" w14:textId="77777777" w:rsidR="00414B87" w:rsidRPr="00414B87" w:rsidRDefault="00414B87" w:rsidP="00414B87">
            <w:pPr>
              <w:spacing w:line="264" w:lineRule="auto"/>
              <w:ind w:firstLine="0"/>
              <w:rPr>
                <w:bCs/>
                <w:sz w:val="28"/>
                <w:szCs w:val="28"/>
              </w:rPr>
            </w:pPr>
          </w:p>
          <w:p w14:paraId="6C582BF2" w14:textId="77777777" w:rsidR="00414B87" w:rsidRPr="00414B87" w:rsidRDefault="00414B87" w:rsidP="00414B87">
            <w:pPr>
              <w:spacing w:line="264" w:lineRule="auto"/>
              <w:ind w:firstLine="0"/>
              <w:rPr>
                <w:bCs/>
                <w:sz w:val="28"/>
                <w:szCs w:val="28"/>
              </w:rPr>
            </w:pPr>
          </w:p>
          <w:p w14:paraId="3720D945" w14:textId="4B90259C" w:rsidR="009F0E74" w:rsidRPr="00DB0BD5" w:rsidRDefault="00414B87" w:rsidP="00414B87">
            <w:pPr>
              <w:spacing w:line="264" w:lineRule="auto"/>
              <w:ind w:firstLine="0"/>
              <w:rPr>
                <w:b/>
                <w:bCs/>
                <w:sz w:val="28"/>
                <w:szCs w:val="28"/>
              </w:rPr>
            </w:pPr>
            <w:r w:rsidRPr="00DB0BD5">
              <w:rPr>
                <w:b/>
                <w:bCs/>
                <w:sz w:val="28"/>
                <w:szCs w:val="28"/>
              </w:rPr>
              <w:t xml:space="preserve">PETITION TO AMEND RULE </w:t>
            </w:r>
            <w:r w:rsidR="00B94813" w:rsidRPr="00DB0BD5">
              <w:rPr>
                <w:b/>
                <w:bCs/>
                <w:sz w:val="28"/>
                <w:szCs w:val="28"/>
              </w:rPr>
              <w:t>36</w:t>
            </w:r>
            <w:r w:rsidR="00CE33A5">
              <w:rPr>
                <w:b/>
                <w:bCs/>
                <w:sz w:val="28"/>
                <w:szCs w:val="28"/>
              </w:rPr>
              <w:t>(e)</w:t>
            </w:r>
            <w:r w:rsidRPr="00DB0BD5">
              <w:rPr>
                <w:b/>
                <w:bCs/>
                <w:sz w:val="28"/>
                <w:szCs w:val="28"/>
              </w:rPr>
              <w:t xml:space="preserve">, </w:t>
            </w:r>
            <w:r w:rsidR="00260A2D">
              <w:rPr>
                <w:b/>
                <w:bCs/>
                <w:sz w:val="28"/>
                <w:szCs w:val="28"/>
              </w:rPr>
              <w:t xml:space="preserve">ARIZONA </w:t>
            </w:r>
            <w:r w:rsidRPr="00DB0BD5">
              <w:rPr>
                <w:b/>
                <w:bCs/>
                <w:sz w:val="28"/>
                <w:szCs w:val="28"/>
              </w:rPr>
              <w:t xml:space="preserve">RULES OF THE SUPREME COURT </w:t>
            </w:r>
          </w:p>
          <w:p w14:paraId="5F845EA1" w14:textId="4F3F3608" w:rsidR="00F4756B" w:rsidRPr="0013271D" w:rsidRDefault="00F4756B" w:rsidP="00414B87">
            <w:pPr>
              <w:spacing w:line="264" w:lineRule="auto"/>
              <w:ind w:firstLine="0"/>
              <w:rPr>
                <w:sz w:val="28"/>
                <w:szCs w:val="28"/>
              </w:rPr>
            </w:pPr>
          </w:p>
        </w:tc>
        <w:tc>
          <w:tcPr>
            <w:tcW w:w="2500" w:type="pct"/>
            <w:tcBorders>
              <w:left w:val="nil"/>
            </w:tcBorders>
            <w:tcMar>
              <w:left w:w="115" w:type="dxa"/>
            </w:tcMar>
          </w:tcPr>
          <w:p w14:paraId="742F3789" w14:textId="3CED4A6E" w:rsidR="009F0E74" w:rsidRPr="0013271D" w:rsidRDefault="005574BF">
            <w:pPr>
              <w:pStyle w:val="CaseNo"/>
              <w:rPr>
                <w:sz w:val="28"/>
                <w:szCs w:val="28"/>
              </w:rPr>
            </w:pPr>
            <w:r>
              <w:rPr>
                <w:sz w:val="28"/>
                <w:szCs w:val="28"/>
              </w:rPr>
              <w:t xml:space="preserve">Supreme Court No. </w:t>
            </w:r>
            <w:r w:rsidR="00B94813">
              <w:rPr>
                <w:sz w:val="28"/>
                <w:szCs w:val="28"/>
              </w:rPr>
              <w:t>______</w:t>
            </w:r>
            <w:r w:rsidR="00FE2E3F" w:rsidRPr="0013271D">
              <w:rPr>
                <w:sz w:val="28"/>
                <w:szCs w:val="28"/>
              </w:rPr>
              <w:t xml:space="preserve"> </w:t>
            </w:r>
          </w:p>
          <w:p w14:paraId="52726826" w14:textId="7CC3ED17" w:rsidR="009F0E74" w:rsidRPr="0013271D" w:rsidRDefault="00733EA8" w:rsidP="0077251F">
            <w:pPr>
              <w:pStyle w:val="Pleadingtitle"/>
              <w:rPr>
                <w:sz w:val="28"/>
                <w:szCs w:val="28"/>
              </w:rPr>
            </w:pPr>
            <w:r>
              <w:rPr>
                <w:b/>
                <w:bCs/>
                <w:sz w:val="28"/>
                <w:szCs w:val="28"/>
              </w:rPr>
              <w:t>Petition</w:t>
            </w:r>
          </w:p>
        </w:tc>
      </w:tr>
    </w:tbl>
    <w:p w14:paraId="7AC10263" w14:textId="77777777" w:rsidR="009F0E74" w:rsidRPr="0013271D" w:rsidRDefault="009F0E74">
      <w:pPr>
        <w:pStyle w:val="NoSpacing"/>
        <w:rPr>
          <w:sz w:val="28"/>
          <w:szCs w:val="28"/>
        </w:rPr>
      </w:pPr>
    </w:p>
    <w:p w14:paraId="5C6B2DC7" w14:textId="529284B8" w:rsidR="003E2189" w:rsidRDefault="000C3749" w:rsidP="007F4AC5">
      <w:pPr>
        <w:ind w:firstLine="720"/>
        <w:jc w:val="both"/>
        <w:rPr>
          <w:sz w:val="28"/>
          <w:szCs w:val="28"/>
        </w:rPr>
      </w:pPr>
      <w:r>
        <w:rPr>
          <w:sz w:val="28"/>
          <w:szCs w:val="28"/>
        </w:rPr>
        <w:t xml:space="preserve">Pursuant to </w:t>
      </w:r>
      <w:r w:rsidR="00E47C60">
        <w:rPr>
          <w:sz w:val="28"/>
          <w:szCs w:val="28"/>
        </w:rPr>
        <w:t>Rule</w:t>
      </w:r>
      <w:r w:rsidR="000E72F6">
        <w:rPr>
          <w:sz w:val="28"/>
          <w:szCs w:val="28"/>
        </w:rPr>
        <w:t xml:space="preserve"> 28</w:t>
      </w:r>
      <w:r w:rsidR="00967CA8">
        <w:rPr>
          <w:sz w:val="28"/>
          <w:szCs w:val="28"/>
        </w:rPr>
        <w:t xml:space="preserve">, Arizona Rules of the Supreme Court, undersigned counsel </w:t>
      </w:r>
      <w:r w:rsidR="00CB32B3">
        <w:rPr>
          <w:sz w:val="28"/>
          <w:szCs w:val="28"/>
        </w:rPr>
        <w:t xml:space="preserve">(“Petitioner”) </w:t>
      </w:r>
      <w:r w:rsidR="00032CF1">
        <w:rPr>
          <w:sz w:val="28"/>
          <w:szCs w:val="28"/>
        </w:rPr>
        <w:t xml:space="preserve">petitions the Supreme Court </w:t>
      </w:r>
      <w:r w:rsidR="00B42F3B">
        <w:rPr>
          <w:sz w:val="28"/>
          <w:szCs w:val="28"/>
        </w:rPr>
        <w:t xml:space="preserve">to amend Rule </w:t>
      </w:r>
      <w:r w:rsidR="00D92957">
        <w:rPr>
          <w:sz w:val="28"/>
          <w:szCs w:val="28"/>
        </w:rPr>
        <w:t>36(</w:t>
      </w:r>
      <w:r w:rsidR="00CE33A5">
        <w:rPr>
          <w:sz w:val="28"/>
          <w:szCs w:val="28"/>
        </w:rPr>
        <w:t>e</w:t>
      </w:r>
      <w:r w:rsidR="00D92957">
        <w:rPr>
          <w:sz w:val="28"/>
          <w:szCs w:val="28"/>
        </w:rPr>
        <w:t>), Ariz. R. Sup. Ct., to</w:t>
      </w:r>
      <w:r w:rsidR="00B271A3">
        <w:rPr>
          <w:sz w:val="28"/>
          <w:szCs w:val="28"/>
        </w:rPr>
        <w:t xml:space="preserve"> restore the disclosure requirement </w:t>
      </w:r>
      <w:r w:rsidR="00055356">
        <w:rPr>
          <w:sz w:val="28"/>
          <w:szCs w:val="28"/>
        </w:rPr>
        <w:t xml:space="preserve">for informal inquiries. </w:t>
      </w:r>
      <w:r w:rsidR="00195695">
        <w:rPr>
          <w:sz w:val="28"/>
          <w:szCs w:val="28"/>
        </w:rPr>
        <w:t xml:space="preserve"> </w:t>
      </w:r>
      <w:r w:rsidR="00604205">
        <w:rPr>
          <w:sz w:val="28"/>
          <w:szCs w:val="28"/>
        </w:rPr>
        <w:t xml:space="preserve">This </w:t>
      </w:r>
      <w:r w:rsidR="00A25DDD">
        <w:rPr>
          <w:sz w:val="28"/>
          <w:szCs w:val="28"/>
        </w:rPr>
        <w:t>would</w:t>
      </w:r>
      <w:r w:rsidR="008A736B">
        <w:rPr>
          <w:sz w:val="28"/>
          <w:szCs w:val="28"/>
        </w:rPr>
        <w:t xml:space="preserve"> </w:t>
      </w:r>
      <w:r w:rsidR="00261195">
        <w:rPr>
          <w:sz w:val="28"/>
          <w:szCs w:val="28"/>
        </w:rPr>
        <w:t>ensure</w:t>
      </w:r>
      <w:r w:rsidR="004F5948">
        <w:rPr>
          <w:sz w:val="28"/>
          <w:szCs w:val="28"/>
        </w:rPr>
        <w:t xml:space="preserve"> that applicants receive </w:t>
      </w:r>
      <w:r w:rsidR="00C61BC3">
        <w:rPr>
          <w:sz w:val="28"/>
          <w:szCs w:val="28"/>
        </w:rPr>
        <w:t xml:space="preserve">the </w:t>
      </w:r>
      <w:r w:rsidR="004F5948">
        <w:rPr>
          <w:sz w:val="28"/>
          <w:szCs w:val="28"/>
        </w:rPr>
        <w:t>due process</w:t>
      </w:r>
      <w:r w:rsidR="00FA6242">
        <w:rPr>
          <w:sz w:val="28"/>
          <w:szCs w:val="28"/>
        </w:rPr>
        <w:t xml:space="preserve"> they are entitled to under </w:t>
      </w:r>
      <w:r w:rsidR="000D1CF4">
        <w:rPr>
          <w:sz w:val="28"/>
          <w:szCs w:val="28"/>
        </w:rPr>
        <w:t>state and federal</w:t>
      </w:r>
      <w:r w:rsidR="00FA6242">
        <w:rPr>
          <w:sz w:val="28"/>
          <w:szCs w:val="28"/>
        </w:rPr>
        <w:t xml:space="preserve"> law</w:t>
      </w:r>
      <w:r w:rsidR="000D1CF4">
        <w:rPr>
          <w:sz w:val="28"/>
          <w:szCs w:val="28"/>
        </w:rPr>
        <w:t xml:space="preserve">. </w:t>
      </w:r>
      <w:r w:rsidR="00A0731C">
        <w:rPr>
          <w:sz w:val="28"/>
          <w:szCs w:val="28"/>
        </w:rPr>
        <w:t xml:space="preserve"> </w:t>
      </w:r>
      <w:r w:rsidR="007F4AC5">
        <w:rPr>
          <w:sz w:val="28"/>
          <w:szCs w:val="28"/>
        </w:rPr>
        <w:t>I</w:t>
      </w:r>
      <w:r w:rsidR="004F5948">
        <w:rPr>
          <w:sz w:val="28"/>
          <w:szCs w:val="28"/>
        </w:rPr>
        <w:t xml:space="preserve">n </w:t>
      </w:r>
      <w:r w:rsidR="004054B1">
        <w:rPr>
          <w:sz w:val="28"/>
          <w:szCs w:val="28"/>
        </w:rPr>
        <w:t>Petitioner’s</w:t>
      </w:r>
      <w:r w:rsidR="004F5948">
        <w:rPr>
          <w:sz w:val="28"/>
          <w:szCs w:val="28"/>
        </w:rPr>
        <w:t xml:space="preserve"> understanding</w:t>
      </w:r>
      <w:r w:rsidR="007F4AC5">
        <w:rPr>
          <w:sz w:val="28"/>
          <w:szCs w:val="28"/>
        </w:rPr>
        <w:t xml:space="preserve">, </w:t>
      </w:r>
      <w:r w:rsidR="0076002A">
        <w:rPr>
          <w:sz w:val="28"/>
          <w:szCs w:val="28"/>
        </w:rPr>
        <w:t xml:space="preserve">due process </w:t>
      </w:r>
      <w:r w:rsidR="00840A4C">
        <w:rPr>
          <w:sz w:val="28"/>
          <w:szCs w:val="28"/>
        </w:rPr>
        <w:t xml:space="preserve">protection </w:t>
      </w:r>
      <w:r w:rsidR="004F5948">
        <w:rPr>
          <w:sz w:val="28"/>
          <w:szCs w:val="28"/>
        </w:rPr>
        <w:t>was the reason the disclosure requirement was added in 201</w:t>
      </w:r>
      <w:r w:rsidR="00842217">
        <w:rPr>
          <w:sz w:val="28"/>
          <w:szCs w:val="28"/>
        </w:rPr>
        <w:t>1</w:t>
      </w:r>
      <w:r w:rsidR="004F5948">
        <w:rPr>
          <w:sz w:val="28"/>
          <w:szCs w:val="28"/>
        </w:rPr>
        <w:t>.</w:t>
      </w:r>
      <w:r w:rsidR="00FA6242">
        <w:rPr>
          <w:sz w:val="28"/>
          <w:szCs w:val="28"/>
        </w:rPr>
        <w:t xml:space="preserve">  </w:t>
      </w:r>
      <w:r w:rsidR="004054B1">
        <w:rPr>
          <w:sz w:val="28"/>
          <w:szCs w:val="28"/>
        </w:rPr>
        <w:t xml:space="preserve">Unfortunately, the disclosure requirement was removed from the rule </w:t>
      </w:r>
      <w:r w:rsidR="00840A4C">
        <w:rPr>
          <w:sz w:val="28"/>
          <w:szCs w:val="28"/>
        </w:rPr>
        <w:t xml:space="preserve">for informal inquiries </w:t>
      </w:r>
      <w:r w:rsidR="004054B1">
        <w:rPr>
          <w:sz w:val="28"/>
          <w:szCs w:val="28"/>
        </w:rPr>
        <w:t>in 2015.  That was a mistake, as discussed below.  The text of the proposed amendment is set forth in Appendix A (attached).</w:t>
      </w:r>
      <w:r w:rsidR="00055356">
        <w:rPr>
          <w:sz w:val="28"/>
          <w:szCs w:val="28"/>
        </w:rPr>
        <w:t xml:space="preserve"> </w:t>
      </w:r>
    </w:p>
    <w:p w14:paraId="146B04A7" w14:textId="05D36D9D" w:rsidR="003E2189" w:rsidRPr="004054B1" w:rsidRDefault="004054B1" w:rsidP="004054B1">
      <w:pPr>
        <w:ind w:firstLine="0"/>
        <w:jc w:val="center"/>
        <w:rPr>
          <w:b/>
          <w:bCs/>
          <w:sz w:val="28"/>
          <w:szCs w:val="28"/>
          <w:u w:val="single"/>
        </w:rPr>
      </w:pPr>
      <w:r w:rsidRPr="004054B1">
        <w:rPr>
          <w:b/>
          <w:bCs/>
          <w:sz w:val="28"/>
          <w:szCs w:val="28"/>
          <w:u w:val="single"/>
        </w:rPr>
        <w:lastRenderedPageBreak/>
        <w:t>DISCUSSION</w:t>
      </w:r>
    </w:p>
    <w:p w14:paraId="10DD3DA9" w14:textId="40372277" w:rsidR="004054B1" w:rsidRPr="00C839F4" w:rsidRDefault="005F2F20" w:rsidP="005F2F20">
      <w:pPr>
        <w:ind w:firstLine="0"/>
        <w:jc w:val="both"/>
        <w:rPr>
          <w:b/>
          <w:bCs/>
          <w:sz w:val="28"/>
          <w:szCs w:val="28"/>
        </w:rPr>
      </w:pPr>
      <w:r w:rsidRPr="00C839F4">
        <w:rPr>
          <w:b/>
          <w:bCs/>
          <w:sz w:val="28"/>
          <w:szCs w:val="28"/>
        </w:rPr>
        <w:t>A.</w:t>
      </w:r>
      <w:r w:rsidRPr="00C839F4">
        <w:rPr>
          <w:b/>
          <w:bCs/>
          <w:sz w:val="28"/>
          <w:szCs w:val="28"/>
        </w:rPr>
        <w:tab/>
      </w:r>
      <w:r w:rsidRPr="00C839F4">
        <w:rPr>
          <w:b/>
          <w:bCs/>
          <w:sz w:val="28"/>
          <w:szCs w:val="28"/>
          <w:u w:val="single"/>
        </w:rPr>
        <w:t>Background</w:t>
      </w:r>
    </w:p>
    <w:p w14:paraId="3CCE5A6A" w14:textId="6511F2AD" w:rsidR="00692CA5" w:rsidRDefault="001F7D3B" w:rsidP="002C5810">
      <w:pPr>
        <w:ind w:firstLine="720"/>
        <w:jc w:val="both"/>
        <w:rPr>
          <w:sz w:val="28"/>
          <w:szCs w:val="28"/>
        </w:rPr>
      </w:pPr>
      <w:r>
        <w:rPr>
          <w:sz w:val="28"/>
          <w:szCs w:val="28"/>
        </w:rPr>
        <w:t>The disclosure requirement was added to the ru</w:t>
      </w:r>
      <w:r w:rsidR="006A2B4C">
        <w:rPr>
          <w:sz w:val="28"/>
          <w:szCs w:val="28"/>
        </w:rPr>
        <w:t xml:space="preserve">le following </w:t>
      </w:r>
      <w:r w:rsidR="00865E7B">
        <w:rPr>
          <w:sz w:val="28"/>
          <w:szCs w:val="28"/>
        </w:rPr>
        <w:t xml:space="preserve">Rule </w:t>
      </w:r>
      <w:r w:rsidR="006A2B4C">
        <w:rPr>
          <w:sz w:val="28"/>
          <w:szCs w:val="28"/>
        </w:rPr>
        <w:t>Petition</w:t>
      </w:r>
      <w:r w:rsidR="0068635A">
        <w:rPr>
          <w:sz w:val="28"/>
          <w:szCs w:val="28"/>
        </w:rPr>
        <w:t xml:space="preserve"> R-10-0019, effective January 1, 2012.</w:t>
      </w:r>
      <w:r w:rsidR="00865E7B">
        <w:rPr>
          <w:sz w:val="28"/>
          <w:szCs w:val="28"/>
        </w:rPr>
        <w:t xml:space="preserve">  </w:t>
      </w:r>
      <w:r w:rsidR="000279AB">
        <w:rPr>
          <w:sz w:val="28"/>
          <w:szCs w:val="28"/>
        </w:rPr>
        <w:t xml:space="preserve">R-10-0019 was initially submitted by </w:t>
      </w:r>
      <w:r w:rsidR="00642F66">
        <w:rPr>
          <w:sz w:val="28"/>
          <w:szCs w:val="28"/>
        </w:rPr>
        <w:t>David Byers (Administrative Director</w:t>
      </w:r>
      <w:r w:rsidR="00847387">
        <w:rPr>
          <w:sz w:val="28"/>
          <w:szCs w:val="28"/>
        </w:rPr>
        <w:t xml:space="preserve"> of the Courts</w:t>
      </w:r>
      <w:r w:rsidR="00642F66">
        <w:rPr>
          <w:sz w:val="28"/>
          <w:szCs w:val="28"/>
        </w:rPr>
        <w:t>)</w:t>
      </w:r>
      <w:r w:rsidR="009405C6">
        <w:rPr>
          <w:sz w:val="28"/>
          <w:szCs w:val="28"/>
        </w:rPr>
        <w:t>.  Th</w:t>
      </w:r>
      <w:r w:rsidR="002A0A6B">
        <w:rPr>
          <w:sz w:val="28"/>
          <w:szCs w:val="28"/>
        </w:rPr>
        <w:t>at original Petition is no longer linked on the Court’s Rule Forum</w:t>
      </w:r>
      <w:r w:rsidR="00552C2C">
        <w:rPr>
          <w:sz w:val="28"/>
          <w:szCs w:val="28"/>
        </w:rPr>
        <w:t>—or it was under a different number</w:t>
      </w:r>
      <w:r w:rsidR="002A0A6B">
        <w:rPr>
          <w:sz w:val="28"/>
          <w:szCs w:val="28"/>
        </w:rPr>
        <w:t>.  However, a</w:t>
      </w:r>
      <w:r w:rsidR="00692CA5">
        <w:rPr>
          <w:sz w:val="28"/>
          <w:szCs w:val="28"/>
        </w:rPr>
        <w:t xml:space="preserve"> comment </w:t>
      </w:r>
      <w:r w:rsidR="00A310A5">
        <w:rPr>
          <w:sz w:val="28"/>
          <w:szCs w:val="28"/>
        </w:rPr>
        <w:t xml:space="preserve">from the Co-Chairs of the Committee on Character and Fitness (the Committee) </w:t>
      </w:r>
      <w:r w:rsidR="00692CA5">
        <w:rPr>
          <w:sz w:val="28"/>
          <w:szCs w:val="28"/>
        </w:rPr>
        <w:t xml:space="preserve">is </w:t>
      </w:r>
      <w:r w:rsidR="006B1DFC">
        <w:rPr>
          <w:sz w:val="28"/>
          <w:szCs w:val="28"/>
        </w:rPr>
        <w:t>linked</w:t>
      </w:r>
      <w:r w:rsidR="00842217">
        <w:rPr>
          <w:sz w:val="28"/>
          <w:szCs w:val="28"/>
        </w:rPr>
        <w:t xml:space="preserve"> and</w:t>
      </w:r>
      <w:r w:rsidR="00692CA5">
        <w:rPr>
          <w:sz w:val="28"/>
          <w:szCs w:val="28"/>
        </w:rPr>
        <w:t xml:space="preserve"> describes </w:t>
      </w:r>
      <w:r w:rsidR="0032534D">
        <w:rPr>
          <w:sz w:val="28"/>
          <w:szCs w:val="28"/>
        </w:rPr>
        <w:t>the history</w:t>
      </w:r>
      <w:r w:rsidR="00692CA5">
        <w:rPr>
          <w:sz w:val="28"/>
          <w:szCs w:val="28"/>
        </w:rPr>
        <w:t>.</w:t>
      </w:r>
    </w:p>
    <w:p w14:paraId="08488A42" w14:textId="77777777" w:rsidR="0006537E" w:rsidRPr="00330A2A" w:rsidRDefault="00692CA5" w:rsidP="00BF3531">
      <w:pPr>
        <w:spacing w:line="240" w:lineRule="auto"/>
        <w:ind w:left="720" w:right="720" w:firstLine="0"/>
        <w:jc w:val="both"/>
        <w:rPr>
          <w:sz w:val="26"/>
          <w:szCs w:val="26"/>
        </w:rPr>
      </w:pPr>
      <w:r w:rsidRPr="00330A2A">
        <w:rPr>
          <w:sz w:val="26"/>
          <w:szCs w:val="26"/>
        </w:rPr>
        <w:t xml:space="preserve">“On September 2, 2010, the Court adopted amendments to Rules 34-37 and </w:t>
      </w:r>
      <w:r w:rsidRPr="00552C2C">
        <w:rPr>
          <w:sz w:val="26"/>
          <w:szCs w:val="26"/>
          <w:u w:val="single"/>
        </w:rPr>
        <w:t>continued consideration of Rules 36(c)(7) and 36(f)(7) for further study</w:t>
      </w:r>
      <w:r w:rsidRPr="00330A2A">
        <w:rPr>
          <w:sz w:val="26"/>
          <w:szCs w:val="26"/>
        </w:rPr>
        <w:t xml:space="preserve">. </w:t>
      </w:r>
      <w:r w:rsidRPr="00330A2A">
        <w:rPr>
          <w:sz w:val="26"/>
          <w:szCs w:val="26"/>
          <w:u w:val="single"/>
        </w:rPr>
        <w:t>Staff of the Supreme Court proposed revisions to the rules</w:t>
      </w:r>
      <w:r w:rsidRPr="00330A2A">
        <w:rPr>
          <w:sz w:val="26"/>
          <w:szCs w:val="26"/>
        </w:rPr>
        <w:t xml:space="preserve"> and on December 10, 2010, the court ordered the matter reopened for public comment on proposed revisions to Rules 36(e), 36(f) and 37(c), Rules of the Supreme Court, titled </w:t>
      </w:r>
      <w:r w:rsidR="0032534D" w:rsidRPr="00330A2A">
        <w:rPr>
          <w:sz w:val="26"/>
          <w:szCs w:val="26"/>
        </w:rPr>
        <w:t>‘</w:t>
      </w:r>
      <w:r w:rsidRPr="00330A2A">
        <w:rPr>
          <w:sz w:val="26"/>
          <w:szCs w:val="26"/>
        </w:rPr>
        <w:t>Alternative Proposal</w:t>
      </w:r>
      <w:r w:rsidR="0032534D" w:rsidRPr="00330A2A">
        <w:rPr>
          <w:sz w:val="26"/>
          <w:szCs w:val="26"/>
        </w:rPr>
        <w:t>’</w:t>
      </w:r>
      <w:r w:rsidRPr="00330A2A">
        <w:rPr>
          <w:sz w:val="26"/>
          <w:szCs w:val="26"/>
        </w:rPr>
        <w:t>.</w:t>
      </w:r>
      <w:r w:rsidR="0032534D" w:rsidRPr="00330A2A">
        <w:rPr>
          <w:sz w:val="26"/>
          <w:szCs w:val="26"/>
        </w:rPr>
        <w:t>”</w:t>
      </w:r>
      <w:r w:rsidR="0063283D" w:rsidRPr="00330A2A">
        <w:rPr>
          <w:sz w:val="26"/>
          <w:szCs w:val="26"/>
        </w:rPr>
        <w:t xml:space="preserve">  </w:t>
      </w:r>
    </w:p>
    <w:p w14:paraId="02029F11" w14:textId="77777777" w:rsidR="00BF3531" w:rsidRDefault="00BF3531" w:rsidP="00BF3531">
      <w:pPr>
        <w:spacing w:line="240" w:lineRule="auto"/>
        <w:ind w:right="720" w:firstLine="0"/>
        <w:jc w:val="both"/>
        <w:rPr>
          <w:sz w:val="28"/>
          <w:szCs w:val="28"/>
        </w:rPr>
      </w:pPr>
    </w:p>
    <w:p w14:paraId="0479069E" w14:textId="48EBB65D" w:rsidR="004E6C9F" w:rsidRDefault="005E65EA" w:rsidP="00BF3531">
      <w:pPr>
        <w:ind w:firstLine="0"/>
        <w:jc w:val="both"/>
        <w:rPr>
          <w:sz w:val="28"/>
          <w:szCs w:val="28"/>
        </w:rPr>
      </w:pPr>
      <w:r w:rsidRPr="00F230A1">
        <w:rPr>
          <w:i/>
          <w:iCs/>
          <w:sz w:val="28"/>
          <w:szCs w:val="28"/>
        </w:rPr>
        <w:t>See</w:t>
      </w:r>
      <w:r>
        <w:rPr>
          <w:sz w:val="28"/>
          <w:szCs w:val="28"/>
        </w:rPr>
        <w:t xml:space="preserve"> Comment </w:t>
      </w:r>
      <w:r w:rsidR="002F1DBA">
        <w:rPr>
          <w:sz w:val="28"/>
          <w:szCs w:val="28"/>
        </w:rPr>
        <w:t xml:space="preserve">to R-10-0019 </w:t>
      </w:r>
      <w:r w:rsidR="00F230A1">
        <w:rPr>
          <w:sz w:val="28"/>
          <w:szCs w:val="28"/>
        </w:rPr>
        <w:t>posted on the Rule forum April 15, 2011</w:t>
      </w:r>
      <w:r w:rsidR="00985646">
        <w:rPr>
          <w:sz w:val="28"/>
          <w:szCs w:val="28"/>
        </w:rPr>
        <w:t xml:space="preserve"> (emphasis added)</w:t>
      </w:r>
      <w:r w:rsidR="00F230A1">
        <w:rPr>
          <w:sz w:val="28"/>
          <w:szCs w:val="28"/>
        </w:rPr>
        <w:t>.</w:t>
      </w:r>
      <w:r w:rsidR="00F20D21">
        <w:rPr>
          <w:sz w:val="28"/>
          <w:szCs w:val="28"/>
        </w:rPr>
        <w:t xml:space="preserve">  </w:t>
      </w:r>
      <w:r w:rsidR="004E6C9F">
        <w:rPr>
          <w:sz w:val="28"/>
          <w:szCs w:val="28"/>
        </w:rPr>
        <w:t>Th</w:t>
      </w:r>
      <w:r w:rsidR="00985646">
        <w:rPr>
          <w:sz w:val="28"/>
          <w:szCs w:val="28"/>
        </w:rPr>
        <w:t>e</w:t>
      </w:r>
      <w:r w:rsidR="004E6C9F">
        <w:rPr>
          <w:sz w:val="28"/>
          <w:szCs w:val="28"/>
        </w:rPr>
        <w:t xml:space="preserve"> “Alternative Proposal”</w:t>
      </w:r>
      <w:r w:rsidR="00A310A5">
        <w:rPr>
          <w:sz w:val="28"/>
          <w:szCs w:val="28"/>
        </w:rPr>
        <w:t xml:space="preserve"> is currently </w:t>
      </w:r>
      <w:r w:rsidR="00AD4392">
        <w:rPr>
          <w:sz w:val="28"/>
          <w:szCs w:val="28"/>
        </w:rPr>
        <w:t xml:space="preserve">linked </w:t>
      </w:r>
      <w:r w:rsidR="00A310A5">
        <w:rPr>
          <w:sz w:val="28"/>
          <w:szCs w:val="28"/>
        </w:rPr>
        <w:t>on the Rule Forum under R-</w:t>
      </w:r>
      <w:r w:rsidR="003454BF">
        <w:rPr>
          <w:sz w:val="28"/>
          <w:szCs w:val="28"/>
        </w:rPr>
        <w:t>10-0019</w:t>
      </w:r>
      <w:r w:rsidR="00F2183C">
        <w:rPr>
          <w:sz w:val="28"/>
          <w:szCs w:val="28"/>
        </w:rPr>
        <w:t xml:space="preserve">, and </w:t>
      </w:r>
      <w:r w:rsidR="00F2183C" w:rsidRPr="00D92BC3">
        <w:rPr>
          <w:sz w:val="28"/>
          <w:szCs w:val="28"/>
          <w:u w:val="single"/>
        </w:rPr>
        <w:t>it includes a disclosure requirement for both informal and formal proceedings</w:t>
      </w:r>
      <w:r w:rsidR="00F2183C">
        <w:rPr>
          <w:sz w:val="28"/>
          <w:szCs w:val="28"/>
        </w:rPr>
        <w:t>.</w:t>
      </w:r>
      <w:r w:rsidR="00A445E1">
        <w:rPr>
          <w:sz w:val="28"/>
          <w:szCs w:val="28"/>
        </w:rPr>
        <w:t xml:space="preserve"> </w:t>
      </w:r>
      <w:r w:rsidR="004E6C9F">
        <w:rPr>
          <w:sz w:val="28"/>
          <w:szCs w:val="28"/>
        </w:rPr>
        <w:t xml:space="preserve">     </w:t>
      </w:r>
    </w:p>
    <w:p w14:paraId="13A83171" w14:textId="38138E48" w:rsidR="00F2183C" w:rsidRDefault="00F8556C" w:rsidP="00EC58DD">
      <w:pPr>
        <w:ind w:firstLine="720"/>
        <w:jc w:val="both"/>
        <w:rPr>
          <w:sz w:val="28"/>
          <w:szCs w:val="28"/>
        </w:rPr>
      </w:pPr>
      <w:r>
        <w:rPr>
          <w:sz w:val="28"/>
          <w:szCs w:val="28"/>
        </w:rPr>
        <w:t>In its Comment, t</w:t>
      </w:r>
      <w:r w:rsidR="00E60415">
        <w:rPr>
          <w:sz w:val="28"/>
          <w:szCs w:val="28"/>
        </w:rPr>
        <w:t xml:space="preserve">he </w:t>
      </w:r>
      <w:r w:rsidR="00AC25AB">
        <w:rPr>
          <w:sz w:val="28"/>
          <w:szCs w:val="28"/>
        </w:rPr>
        <w:t xml:space="preserve">Committee </w:t>
      </w:r>
      <w:r w:rsidR="004C5F4D">
        <w:rPr>
          <w:sz w:val="28"/>
          <w:szCs w:val="28"/>
        </w:rPr>
        <w:t xml:space="preserve">described </w:t>
      </w:r>
      <w:r w:rsidR="00985646">
        <w:rPr>
          <w:sz w:val="28"/>
          <w:szCs w:val="28"/>
        </w:rPr>
        <w:t xml:space="preserve">admirable </w:t>
      </w:r>
      <w:r w:rsidR="004C5F4D">
        <w:rPr>
          <w:sz w:val="28"/>
          <w:szCs w:val="28"/>
        </w:rPr>
        <w:t>efforts t</w:t>
      </w:r>
      <w:r w:rsidR="001239F4">
        <w:rPr>
          <w:sz w:val="28"/>
          <w:szCs w:val="28"/>
        </w:rPr>
        <w:t>o research the issues presented</w:t>
      </w:r>
      <w:r w:rsidR="00F90F83">
        <w:rPr>
          <w:sz w:val="28"/>
          <w:szCs w:val="28"/>
        </w:rPr>
        <w:t>.</w:t>
      </w:r>
      <w:r>
        <w:rPr>
          <w:sz w:val="28"/>
          <w:szCs w:val="28"/>
        </w:rPr>
        <w:t xml:space="preserve">  What is not expressly described is the background that was taking place prior to</w:t>
      </w:r>
      <w:r w:rsidR="00F2183C">
        <w:rPr>
          <w:sz w:val="28"/>
          <w:szCs w:val="28"/>
        </w:rPr>
        <w:t xml:space="preserve"> and around the time of</w:t>
      </w:r>
      <w:r>
        <w:rPr>
          <w:sz w:val="28"/>
          <w:szCs w:val="28"/>
        </w:rPr>
        <w:t xml:space="preserve"> the </w:t>
      </w:r>
      <w:r w:rsidR="00617CDE">
        <w:rPr>
          <w:sz w:val="28"/>
          <w:szCs w:val="28"/>
        </w:rPr>
        <w:t xml:space="preserve">“Alternative Proposal.”  </w:t>
      </w:r>
      <w:r w:rsidR="00E05935">
        <w:rPr>
          <w:sz w:val="28"/>
          <w:szCs w:val="28"/>
        </w:rPr>
        <w:t xml:space="preserve">In 2009, </w:t>
      </w:r>
      <w:r w:rsidR="00BD184A">
        <w:rPr>
          <w:sz w:val="28"/>
          <w:szCs w:val="28"/>
        </w:rPr>
        <w:t xml:space="preserve">an Attorney Discipline Task Force </w:t>
      </w:r>
      <w:r w:rsidR="00015F84">
        <w:rPr>
          <w:sz w:val="28"/>
          <w:szCs w:val="28"/>
        </w:rPr>
        <w:t>was</w:t>
      </w:r>
      <w:r w:rsidR="00BD184A">
        <w:rPr>
          <w:sz w:val="28"/>
          <w:szCs w:val="28"/>
        </w:rPr>
        <w:t xml:space="preserve"> </w:t>
      </w:r>
      <w:r w:rsidR="00AA5170">
        <w:rPr>
          <w:sz w:val="28"/>
          <w:szCs w:val="28"/>
        </w:rPr>
        <w:t>formed</w:t>
      </w:r>
      <w:r w:rsidR="00E05935">
        <w:rPr>
          <w:sz w:val="28"/>
          <w:szCs w:val="28"/>
        </w:rPr>
        <w:t xml:space="preserve"> and during 2009/2010 that Task Force </w:t>
      </w:r>
      <w:r w:rsidR="00E05935">
        <w:rPr>
          <w:sz w:val="28"/>
          <w:szCs w:val="28"/>
        </w:rPr>
        <w:lastRenderedPageBreak/>
        <w:t>was</w:t>
      </w:r>
      <w:r w:rsidR="00AA5170">
        <w:rPr>
          <w:sz w:val="28"/>
          <w:szCs w:val="28"/>
        </w:rPr>
        <w:t xml:space="preserve"> meeting regularly concerning </w:t>
      </w:r>
      <w:r w:rsidR="002E3FA5">
        <w:rPr>
          <w:sz w:val="28"/>
          <w:szCs w:val="28"/>
        </w:rPr>
        <w:t xml:space="preserve">major changes to the </w:t>
      </w:r>
      <w:r w:rsidR="00AA5170">
        <w:rPr>
          <w:sz w:val="28"/>
          <w:szCs w:val="28"/>
        </w:rPr>
        <w:t xml:space="preserve">discipline system in Arizona.  </w:t>
      </w:r>
      <w:r w:rsidR="001D05CE">
        <w:rPr>
          <w:sz w:val="28"/>
          <w:szCs w:val="28"/>
        </w:rPr>
        <w:t>There was a rule change petition (</w:t>
      </w:r>
      <w:r w:rsidR="00015F84">
        <w:rPr>
          <w:sz w:val="28"/>
          <w:szCs w:val="28"/>
        </w:rPr>
        <w:t>R</w:t>
      </w:r>
      <w:r w:rsidR="00590DDB">
        <w:rPr>
          <w:sz w:val="28"/>
          <w:szCs w:val="28"/>
        </w:rPr>
        <w:t>-</w:t>
      </w:r>
      <w:r w:rsidR="001D05CE">
        <w:rPr>
          <w:sz w:val="28"/>
          <w:szCs w:val="28"/>
        </w:rPr>
        <w:t>09-</w:t>
      </w:r>
      <w:r w:rsidR="00E4660E">
        <w:rPr>
          <w:sz w:val="28"/>
          <w:szCs w:val="28"/>
        </w:rPr>
        <w:t>0044)</w:t>
      </w:r>
      <w:r w:rsidR="001D05CE">
        <w:rPr>
          <w:sz w:val="28"/>
          <w:szCs w:val="28"/>
        </w:rPr>
        <w:t xml:space="preserve">, </w:t>
      </w:r>
      <w:r w:rsidR="00E4660E">
        <w:rPr>
          <w:sz w:val="28"/>
          <w:szCs w:val="28"/>
        </w:rPr>
        <w:t>multiple comments to that petition</w:t>
      </w:r>
      <w:r w:rsidR="00F2183C">
        <w:rPr>
          <w:sz w:val="28"/>
          <w:szCs w:val="28"/>
        </w:rPr>
        <w:t xml:space="preserve"> (</w:t>
      </w:r>
      <w:r w:rsidR="00476E03">
        <w:rPr>
          <w:sz w:val="28"/>
          <w:szCs w:val="28"/>
        </w:rPr>
        <w:t xml:space="preserve">both written and </w:t>
      </w:r>
      <w:r w:rsidR="00F2183C">
        <w:rPr>
          <w:sz w:val="28"/>
          <w:szCs w:val="28"/>
        </w:rPr>
        <w:t xml:space="preserve">orally </w:t>
      </w:r>
      <w:r w:rsidR="00476E03">
        <w:rPr>
          <w:sz w:val="28"/>
          <w:szCs w:val="28"/>
        </w:rPr>
        <w:t>at public open meetings</w:t>
      </w:r>
      <w:r w:rsidR="00F2183C">
        <w:rPr>
          <w:sz w:val="28"/>
          <w:szCs w:val="28"/>
        </w:rPr>
        <w:t>)</w:t>
      </w:r>
      <w:r w:rsidR="00E4660E">
        <w:rPr>
          <w:sz w:val="28"/>
          <w:szCs w:val="28"/>
        </w:rPr>
        <w:t xml:space="preserve">, </w:t>
      </w:r>
      <w:r w:rsidR="00476E03">
        <w:rPr>
          <w:sz w:val="28"/>
          <w:szCs w:val="28"/>
        </w:rPr>
        <w:t xml:space="preserve">and </w:t>
      </w:r>
      <w:r w:rsidR="001D05CE">
        <w:rPr>
          <w:sz w:val="28"/>
          <w:szCs w:val="28"/>
        </w:rPr>
        <w:t>amendments to that petition</w:t>
      </w:r>
      <w:r w:rsidR="00E4660E">
        <w:rPr>
          <w:sz w:val="28"/>
          <w:szCs w:val="28"/>
        </w:rPr>
        <w:t>,</w:t>
      </w:r>
      <w:r w:rsidR="00476E03">
        <w:rPr>
          <w:sz w:val="28"/>
          <w:szCs w:val="28"/>
        </w:rPr>
        <w:t xml:space="preserve"> prior to </w:t>
      </w:r>
      <w:r w:rsidR="006B1DFC">
        <w:rPr>
          <w:sz w:val="28"/>
          <w:szCs w:val="28"/>
        </w:rPr>
        <w:t>the</w:t>
      </w:r>
      <w:r w:rsidR="00476E03">
        <w:rPr>
          <w:sz w:val="28"/>
          <w:szCs w:val="28"/>
        </w:rPr>
        <w:t xml:space="preserve"> </w:t>
      </w:r>
      <w:r w:rsidR="006548E0">
        <w:rPr>
          <w:sz w:val="28"/>
          <w:szCs w:val="28"/>
        </w:rPr>
        <w:t>final version</w:t>
      </w:r>
      <w:r w:rsidR="00F2183C">
        <w:rPr>
          <w:sz w:val="28"/>
          <w:szCs w:val="28"/>
        </w:rPr>
        <w:t xml:space="preserve"> which was</w:t>
      </w:r>
      <w:r w:rsidR="006B1DFC">
        <w:rPr>
          <w:sz w:val="28"/>
          <w:szCs w:val="28"/>
        </w:rPr>
        <w:t xml:space="preserve"> ordered </w:t>
      </w:r>
      <w:r w:rsidR="006548E0">
        <w:rPr>
          <w:sz w:val="28"/>
          <w:szCs w:val="28"/>
        </w:rPr>
        <w:t xml:space="preserve">effective January 1, 2011. </w:t>
      </w:r>
    </w:p>
    <w:p w14:paraId="1B93EC47" w14:textId="06AB806B" w:rsidR="00B11302" w:rsidRDefault="00F2183C" w:rsidP="00EC58DD">
      <w:pPr>
        <w:ind w:firstLine="720"/>
        <w:jc w:val="both"/>
        <w:rPr>
          <w:sz w:val="28"/>
          <w:szCs w:val="28"/>
        </w:rPr>
      </w:pPr>
      <w:r>
        <w:rPr>
          <w:sz w:val="28"/>
          <w:szCs w:val="28"/>
        </w:rPr>
        <w:t xml:space="preserve">During that time, </w:t>
      </w:r>
      <w:r w:rsidR="00370FB1">
        <w:rPr>
          <w:sz w:val="28"/>
          <w:szCs w:val="28"/>
        </w:rPr>
        <w:t xml:space="preserve">many respondents’ counsel </w:t>
      </w:r>
      <w:r w:rsidR="00C85635">
        <w:rPr>
          <w:sz w:val="28"/>
          <w:szCs w:val="28"/>
        </w:rPr>
        <w:t xml:space="preserve">(including myself) </w:t>
      </w:r>
      <w:r w:rsidR="00370FB1">
        <w:rPr>
          <w:sz w:val="28"/>
          <w:szCs w:val="28"/>
        </w:rPr>
        <w:t xml:space="preserve">attended various Task Force meetings and joined together to submit comments.  </w:t>
      </w:r>
      <w:r w:rsidR="00F101BD">
        <w:rPr>
          <w:sz w:val="28"/>
          <w:szCs w:val="28"/>
        </w:rPr>
        <w:t>The character and fitness process</w:t>
      </w:r>
      <w:r w:rsidR="005248D8">
        <w:rPr>
          <w:sz w:val="28"/>
          <w:szCs w:val="28"/>
        </w:rPr>
        <w:t xml:space="preserve"> also came up at some point during that period.  </w:t>
      </w:r>
      <w:r w:rsidR="004B6863">
        <w:rPr>
          <w:sz w:val="28"/>
          <w:szCs w:val="28"/>
        </w:rPr>
        <w:t xml:space="preserve">While </w:t>
      </w:r>
      <w:r w:rsidR="00590DDB">
        <w:rPr>
          <w:sz w:val="28"/>
          <w:szCs w:val="28"/>
        </w:rPr>
        <w:t xml:space="preserve">I </w:t>
      </w:r>
      <w:r w:rsidR="004B6863">
        <w:rPr>
          <w:sz w:val="28"/>
          <w:szCs w:val="28"/>
        </w:rPr>
        <w:t xml:space="preserve">cannot recall exactly how it happened and see no written record to refresh </w:t>
      </w:r>
      <w:r w:rsidR="00590DDB">
        <w:rPr>
          <w:sz w:val="28"/>
          <w:szCs w:val="28"/>
        </w:rPr>
        <w:t>my</w:t>
      </w:r>
      <w:r w:rsidR="004B6863">
        <w:rPr>
          <w:sz w:val="28"/>
          <w:szCs w:val="28"/>
        </w:rPr>
        <w:t xml:space="preserve"> recollection, </w:t>
      </w:r>
      <w:r w:rsidR="00590DDB">
        <w:rPr>
          <w:sz w:val="28"/>
          <w:szCs w:val="28"/>
        </w:rPr>
        <w:t>I</w:t>
      </w:r>
      <w:r w:rsidR="004B6863">
        <w:rPr>
          <w:sz w:val="28"/>
          <w:szCs w:val="28"/>
        </w:rPr>
        <w:t xml:space="preserve"> b</w:t>
      </w:r>
      <w:r w:rsidR="00004BF8">
        <w:rPr>
          <w:sz w:val="28"/>
          <w:szCs w:val="28"/>
        </w:rPr>
        <w:t xml:space="preserve">elieve that the Court staff’s </w:t>
      </w:r>
      <w:r w:rsidR="00391B48">
        <w:rPr>
          <w:sz w:val="28"/>
          <w:szCs w:val="28"/>
        </w:rPr>
        <w:t xml:space="preserve">September 2010 </w:t>
      </w:r>
      <w:r w:rsidR="00004BF8">
        <w:rPr>
          <w:sz w:val="28"/>
          <w:szCs w:val="28"/>
        </w:rPr>
        <w:t xml:space="preserve">proposed changes were the result of discussions </w:t>
      </w:r>
      <w:r w:rsidR="00391B48">
        <w:rPr>
          <w:sz w:val="28"/>
          <w:szCs w:val="28"/>
        </w:rPr>
        <w:t xml:space="preserve">between </w:t>
      </w:r>
      <w:r w:rsidR="00A50746">
        <w:rPr>
          <w:sz w:val="28"/>
          <w:szCs w:val="28"/>
        </w:rPr>
        <w:t>Court staff (such as Kathleen Currey)</w:t>
      </w:r>
      <w:r w:rsidR="00E3210B">
        <w:rPr>
          <w:sz w:val="28"/>
          <w:szCs w:val="28"/>
        </w:rPr>
        <w:t xml:space="preserve">, </w:t>
      </w:r>
      <w:r w:rsidR="000D30DD">
        <w:rPr>
          <w:sz w:val="28"/>
          <w:szCs w:val="28"/>
        </w:rPr>
        <w:t xml:space="preserve">the </w:t>
      </w:r>
      <w:r w:rsidR="00E3210B">
        <w:rPr>
          <w:sz w:val="28"/>
          <w:szCs w:val="28"/>
        </w:rPr>
        <w:t>Committee</w:t>
      </w:r>
      <w:r w:rsidR="00590DDB">
        <w:rPr>
          <w:sz w:val="28"/>
          <w:szCs w:val="28"/>
        </w:rPr>
        <w:t>,</w:t>
      </w:r>
      <w:r w:rsidR="00E3210B">
        <w:rPr>
          <w:sz w:val="28"/>
          <w:szCs w:val="28"/>
        </w:rPr>
        <w:t xml:space="preserve"> and respondents’ counsel who also work on admissions matters</w:t>
      </w:r>
      <w:r w:rsidR="008B0BB5">
        <w:rPr>
          <w:sz w:val="28"/>
          <w:szCs w:val="28"/>
        </w:rPr>
        <w:t xml:space="preserve"> (“applicants’ counsel</w:t>
      </w:r>
      <w:r w:rsidR="00C4311B">
        <w:rPr>
          <w:sz w:val="28"/>
          <w:szCs w:val="28"/>
        </w:rPr>
        <w:t>”</w:t>
      </w:r>
      <w:r w:rsidR="008B0BB5">
        <w:rPr>
          <w:sz w:val="28"/>
          <w:szCs w:val="28"/>
        </w:rPr>
        <w:t>)</w:t>
      </w:r>
      <w:r w:rsidR="00E3210B">
        <w:rPr>
          <w:sz w:val="28"/>
          <w:szCs w:val="28"/>
        </w:rPr>
        <w:t xml:space="preserve">.  </w:t>
      </w:r>
      <w:r w:rsidR="003E4B56">
        <w:rPr>
          <w:sz w:val="28"/>
          <w:szCs w:val="28"/>
        </w:rPr>
        <w:t>There may have been an in-person meeting</w:t>
      </w:r>
      <w:r w:rsidR="00C4311B">
        <w:rPr>
          <w:sz w:val="28"/>
          <w:szCs w:val="28"/>
        </w:rPr>
        <w:t xml:space="preserve"> or two</w:t>
      </w:r>
      <w:r w:rsidR="003E4B56">
        <w:rPr>
          <w:sz w:val="28"/>
          <w:szCs w:val="28"/>
        </w:rPr>
        <w:t xml:space="preserve">.  </w:t>
      </w:r>
      <w:r w:rsidR="00B11302">
        <w:rPr>
          <w:sz w:val="28"/>
          <w:szCs w:val="28"/>
        </w:rPr>
        <w:t>At any rate,</w:t>
      </w:r>
      <w:r w:rsidR="005F71F2">
        <w:rPr>
          <w:sz w:val="28"/>
          <w:szCs w:val="28"/>
        </w:rPr>
        <w:t xml:space="preserve"> </w:t>
      </w:r>
      <w:r w:rsidR="00552C2C">
        <w:rPr>
          <w:sz w:val="28"/>
          <w:szCs w:val="28"/>
        </w:rPr>
        <w:t>I</w:t>
      </w:r>
      <w:r w:rsidR="005F71F2">
        <w:rPr>
          <w:sz w:val="28"/>
          <w:szCs w:val="28"/>
        </w:rPr>
        <w:t xml:space="preserve"> know</w:t>
      </w:r>
      <w:r w:rsidR="00552C2C">
        <w:rPr>
          <w:sz w:val="28"/>
          <w:szCs w:val="28"/>
        </w:rPr>
        <w:t xml:space="preserve"> </w:t>
      </w:r>
      <w:r w:rsidR="00C4311B">
        <w:rPr>
          <w:sz w:val="28"/>
          <w:szCs w:val="28"/>
        </w:rPr>
        <w:t>that</w:t>
      </w:r>
      <w:r w:rsidR="005F71F2">
        <w:rPr>
          <w:sz w:val="28"/>
          <w:szCs w:val="28"/>
        </w:rPr>
        <w:t xml:space="preserve"> due process concerns expressed by </w:t>
      </w:r>
      <w:r w:rsidR="00D92BC3">
        <w:rPr>
          <w:sz w:val="28"/>
          <w:szCs w:val="28"/>
        </w:rPr>
        <w:t>applicants’</w:t>
      </w:r>
      <w:r w:rsidR="002E307B">
        <w:rPr>
          <w:sz w:val="28"/>
          <w:szCs w:val="28"/>
        </w:rPr>
        <w:t xml:space="preserve"> counsel were </w:t>
      </w:r>
      <w:r w:rsidR="00D92BC3">
        <w:rPr>
          <w:sz w:val="28"/>
          <w:szCs w:val="28"/>
        </w:rPr>
        <w:t>at least</w:t>
      </w:r>
      <w:r w:rsidR="00CF2700">
        <w:rPr>
          <w:sz w:val="28"/>
          <w:szCs w:val="28"/>
        </w:rPr>
        <w:t xml:space="preserve"> part of the reason behind the proposed changes to add a disclosure requirement to the rules.</w:t>
      </w:r>
    </w:p>
    <w:p w14:paraId="0E148C91" w14:textId="1684FFC2" w:rsidR="0030491B" w:rsidRDefault="00CF2700" w:rsidP="00EC58DD">
      <w:pPr>
        <w:ind w:firstLine="720"/>
        <w:jc w:val="both"/>
        <w:rPr>
          <w:sz w:val="28"/>
          <w:szCs w:val="28"/>
        </w:rPr>
      </w:pPr>
      <w:r>
        <w:rPr>
          <w:sz w:val="28"/>
          <w:szCs w:val="28"/>
        </w:rPr>
        <w:t>When t</w:t>
      </w:r>
      <w:r w:rsidR="006B1DFC">
        <w:rPr>
          <w:sz w:val="28"/>
          <w:szCs w:val="28"/>
        </w:rPr>
        <w:t>he Co-Chairs of the Committee</w:t>
      </w:r>
      <w:r>
        <w:rPr>
          <w:sz w:val="28"/>
          <w:szCs w:val="28"/>
        </w:rPr>
        <w:t xml:space="preserve"> filed their comment, they</w:t>
      </w:r>
      <w:r w:rsidR="003E4B56">
        <w:rPr>
          <w:sz w:val="28"/>
          <w:szCs w:val="28"/>
        </w:rPr>
        <w:t xml:space="preserve"> </w:t>
      </w:r>
      <w:r w:rsidR="00B11302">
        <w:rPr>
          <w:sz w:val="28"/>
          <w:szCs w:val="28"/>
        </w:rPr>
        <w:t>in</w:t>
      </w:r>
      <w:r w:rsidR="00D92BC3">
        <w:rPr>
          <w:sz w:val="28"/>
          <w:szCs w:val="28"/>
        </w:rPr>
        <w:t>vit</w:t>
      </w:r>
      <w:r w:rsidR="00B11302">
        <w:rPr>
          <w:sz w:val="28"/>
          <w:szCs w:val="28"/>
        </w:rPr>
        <w:t xml:space="preserve">ed </w:t>
      </w:r>
      <w:r>
        <w:rPr>
          <w:sz w:val="28"/>
          <w:szCs w:val="28"/>
        </w:rPr>
        <w:t xml:space="preserve">applicants’ </w:t>
      </w:r>
      <w:r w:rsidR="00D92BC3">
        <w:rPr>
          <w:sz w:val="28"/>
          <w:szCs w:val="28"/>
        </w:rPr>
        <w:t>counsel to submit comments</w:t>
      </w:r>
      <w:r w:rsidR="00330A2A">
        <w:rPr>
          <w:sz w:val="28"/>
          <w:szCs w:val="28"/>
        </w:rPr>
        <w:t xml:space="preserve"> as well</w:t>
      </w:r>
      <w:r w:rsidR="00D92BC3">
        <w:rPr>
          <w:sz w:val="28"/>
          <w:szCs w:val="28"/>
        </w:rPr>
        <w:t>.</w:t>
      </w:r>
      <w:r w:rsidR="00C4311B">
        <w:rPr>
          <w:sz w:val="28"/>
          <w:szCs w:val="28"/>
        </w:rPr>
        <w:t xml:space="preserve">  Mark Harrison’s comment is included as an exhibit here because it</w:t>
      </w:r>
      <w:r w:rsidR="00EE5E18">
        <w:rPr>
          <w:sz w:val="28"/>
          <w:szCs w:val="28"/>
        </w:rPr>
        <w:t xml:space="preserve"> </w:t>
      </w:r>
      <w:r w:rsidR="00413B27">
        <w:rPr>
          <w:sz w:val="28"/>
          <w:szCs w:val="28"/>
        </w:rPr>
        <w:t xml:space="preserve">perfectly </w:t>
      </w:r>
      <w:r w:rsidR="00EE5E18">
        <w:rPr>
          <w:sz w:val="28"/>
          <w:szCs w:val="28"/>
        </w:rPr>
        <w:t>states the issue</w:t>
      </w:r>
      <w:r w:rsidR="00B630FE">
        <w:rPr>
          <w:sz w:val="28"/>
          <w:szCs w:val="28"/>
        </w:rPr>
        <w:t xml:space="preserve"> at the time</w:t>
      </w:r>
      <w:r w:rsidR="00413B27">
        <w:rPr>
          <w:sz w:val="28"/>
          <w:szCs w:val="28"/>
        </w:rPr>
        <w:t>—which is unfortunately at issue again now</w:t>
      </w:r>
      <w:r w:rsidR="00EE5E18">
        <w:rPr>
          <w:sz w:val="28"/>
          <w:szCs w:val="28"/>
        </w:rPr>
        <w:t>.</w:t>
      </w:r>
      <w:r w:rsidR="00814119">
        <w:rPr>
          <w:sz w:val="28"/>
          <w:szCs w:val="28"/>
        </w:rPr>
        <w:t xml:space="preserve">  Mr. Harrison first noted</w:t>
      </w:r>
      <w:r w:rsidR="007923C2">
        <w:rPr>
          <w:sz w:val="28"/>
          <w:szCs w:val="28"/>
        </w:rPr>
        <w:t xml:space="preserve"> that applicants </w:t>
      </w:r>
      <w:r w:rsidR="00501992">
        <w:rPr>
          <w:sz w:val="28"/>
          <w:szCs w:val="28"/>
        </w:rPr>
        <w:t xml:space="preserve">are entitled to due process in the admissions process under </w:t>
      </w:r>
      <w:r w:rsidR="00077FC3">
        <w:rPr>
          <w:sz w:val="28"/>
          <w:szCs w:val="28"/>
        </w:rPr>
        <w:t xml:space="preserve">decisions of this Court as </w:t>
      </w:r>
      <w:r w:rsidR="00077FC3">
        <w:rPr>
          <w:sz w:val="28"/>
          <w:szCs w:val="28"/>
        </w:rPr>
        <w:lastRenderedPageBreak/>
        <w:t>well as of the Supreme Court of the United States.</w:t>
      </w:r>
      <w:r w:rsidR="00814119">
        <w:rPr>
          <w:sz w:val="28"/>
          <w:szCs w:val="28"/>
        </w:rPr>
        <w:t xml:space="preserve"> </w:t>
      </w:r>
      <w:r w:rsidR="00077FC3">
        <w:rPr>
          <w:sz w:val="28"/>
          <w:szCs w:val="28"/>
        </w:rPr>
        <w:t xml:space="preserve"> </w:t>
      </w:r>
      <w:r w:rsidR="00814119" w:rsidRPr="0054303D">
        <w:rPr>
          <w:i/>
          <w:iCs/>
          <w:sz w:val="28"/>
          <w:szCs w:val="28"/>
        </w:rPr>
        <w:t>See, e.g., Schware v. Board of Bar Examiners</w:t>
      </w:r>
      <w:r w:rsidR="00814119" w:rsidRPr="0054303D">
        <w:rPr>
          <w:sz w:val="28"/>
          <w:szCs w:val="28"/>
        </w:rPr>
        <w:t>,</w:t>
      </w:r>
      <w:r w:rsidR="00814119">
        <w:rPr>
          <w:sz w:val="28"/>
          <w:szCs w:val="28"/>
        </w:rPr>
        <w:t xml:space="preserve"> </w:t>
      </w:r>
      <w:r w:rsidR="00814119" w:rsidRPr="0054303D">
        <w:rPr>
          <w:sz w:val="28"/>
          <w:szCs w:val="28"/>
        </w:rPr>
        <w:t>353 U.S. 232, 238-39, 77 S.Ct. 752, 756 (1957)</w:t>
      </w:r>
      <w:r w:rsidR="00814119">
        <w:rPr>
          <w:sz w:val="28"/>
          <w:szCs w:val="28"/>
        </w:rPr>
        <w:t xml:space="preserve">; </w:t>
      </w:r>
      <w:r w:rsidR="00814119" w:rsidRPr="007F4AC5">
        <w:rPr>
          <w:i/>
          <w:iCs/>
          <w:sz w:val="28"/>
          <w:szCs w:val="28"/>
        </w:rPr>
        <w:t>Application of Burke</w:t>
      </w:r>
      <w:r w:rsidR="00814119" w:rsidRPr="007F4AC5">
        <w:rPr>
          <w:sz w:val="28"/>
          <w:szCs w:val="28"/>
        </w:rPr>
        <w:t>, 87 Ariz. 336, 351 P.2d 169, 172 (1960)</w:t>
      </w:r>
      <w:r w:rsidR="00814119">
        <w:rPr>
          <w:sz w:val="28"/>
          <w:szCs w:val="28"/>
        </w:rPr>
        <w:t>.</w:t>
      </w:r>
      <w:r w:rsidR="00077FC3">
        <w:rPr>
          <w:sz w:val="28"/>
          <w:szCs w:val="28"/>
        </w:rPr>
        <w:t xml:space="preserve">  He </w:t>
      </w:r>
      <w:r w:rsidR="00395B4D">
        <w:rPr>
          <w:sz w:val="28"/>
          <w:szCs w:val="28"/>
        </w:rPr>
        <w:t>went on to note that:</w:t>
      </w:r>
      <w:r w:rsidR="00814119">
        <w:rPr>
          <w:sz w:val="28"/>
          <w:szCs w:val="28"/>
        </w:rPr>
        <w:t xml:space="preserve">  </w:t>
      </w:r>
      <w:r w:rsidR="00F374FA">
        <w:rPr>
          <w:sz w:val="28"/>
          <w:szCs w:val="28"/>
        </w:rPr>
        <w:t xml:space="preserve"> </w:t>
      </w:r>
    </w:p>
    <w:p w14:paraId="59173681" w14:textId="77777777" w:rsidR="00FE5289" w:rsidRPr="00FE5289" w:rsidRDefault="0030491B" w:rsidP="00FE5289">
      <w:pPr>
        <w:autoSpaceDE w:val="0"/>
        <w:autoSpaceDN w:val="0"/>
        <w:adjustRightInd w:val="0"/>
        <w:spacing w:line="240" w:lineRule="auto"/>
        <w:ind w:left="720" w:right="720" w:firstLine="0"/>
        <w:rPr>
          <w:sz w:val="26"/>
          <w:szCs w:val="26"/>
        </w:rPr>
      </w:pPr>
      <w:r w:rsidRPr="00FE5289">
        <w:rPr>
          <w:rFonts w:ascii="Times New Roman" w:hAnsi="Times New Roman" w:cs="Times New Roman"/>
          <w:sz w:val="26"/>
          <w:szCs w:val="26"/>
        </w:rPr>
        <w:t>The current Arizona rules do not assure that applicants receive due process. The formal “Notice” typically issued by the Committee at the</w:t>
      </w:r>
      <w:r w:rsidR="00FE5289" w:rsidRPr="00FE5289">
        <w:rPr>
          <w:rFonts w:ascii="Times New Roman" w:hAnsi="Times New Roman" w:cs="Times New Roman"/>
          <w:sz w:val="26"/>
          <w:szCs w:val="26"/>
        </w:rPr>
        <w:t xml:space="preserve"> </w:t>
      </w:r>
      <w:r w:rsidRPr="00FE5289">
        <w:rPr>
          <w:rFonts w:ascii="Times New Roman" w:hAnsi="Times New Roman" w:cs="Times New Roman"/>
          <w:sz w:val="26"/>
          <w:szCs w:val="26"/>
        </w:rPr>
        <w:t>present time lists only very general “categories” of information (e.g., “Misconduct in</w:t>
      </w:r>
      <w:r w:rsidR="00FE5289" w:rsidRPr="00FE5289">
        <w:rPr>
          <w:rFonts w:ascii="Times New Roman" w:hAnsi="Times New Roman" w:cs="Times New Roman"/>
          <w:sz w:val="26"/>
          <w:szCs w:val="26"/>
        </w:rPr>
        <w:t xml:space="preserve"> </w:t>
      </w:r>
      <w:r w:rsidRPr="00FE5289">
        <w:rPr>
          <w:rFonts w:ascii="Times New Roman" w:hAnsi="Times New Roman" w:cs="Times New Roman"/>
          <w:sz w:val="26"/>
          <w:szCs w:val="26"/>
        </w:rPr>
        <w:t>employment”; “Acts involving dishonesty, fraud, deceit or mispresentation”; and typically</w:t>
      </w:r>
      <w:r w:rsidR="00FE5289" w:rsidRPr="00FE5289">
        <w:rPr>
          <w:rFonts w:ascii="Times New Roman" w:hAnsi="Times New Roman" w:cs="Times New Roman"/>
          <w:sz w:val="26"/>
          <w:szCs w:val="26"/>
        </w:rPr>
        <w:t xml:space="preserve"> </w:t>
      </w:r>
      <w:r w:rsidRPr="00FE5289">
        <w:rPr>
          <w:rFonts w:ascii="Times New Roman" w:hAnsi="Times New Roman" w:cs="Times New Roman"/>
          <w:sz w:val="26"/>
          <w:szCs w:val="26"/>
        </w:rPr>
        <w:t>includes a “catch-all” category (“All other matters that may bear upon your character and fitness</w:t>
      </w:r>
      <w:r w:rsidR="00FE5289" w:rsidRPr="00FE5289">
        <w:rPr>
          <w:rFonts w:ascii="Times New Roman" w:hAnsi="Times New Roman" w:cs="Times New Roman"/>
          <w:sz w:val="26"/>
          <w:szCs w:val="26"/>
        </w:rPr>
        <w:t xml:space="preserve"> </w:t>
      </w:r>
      <w:r w:rsidRPr="00FE5289">
        <w:rPr>
          <w:rFonts w:ascii="Times New Roman" w:hAnsi="Times New Roman" w:cs="Times New Roman"/>
          <w:sz w:val="26"/>
          <w:szCs w:val="26"/>
        </w:rPr>
        <w:t>to practice law”) which will be the subject of the Committee’s inquiry. It is self-evident that</w:t>
      </w:r>
      <w:r w:rsidR="00FE5289" w:rsidRPr="00FE5289">
        <w:rPr>
          <w:rFonts w:ascii="Times New Roman" w:hAnsi="Times New Roman" w:cs="Times New Roman"/>
          <w:sz w:val="26"/>
          <w:szCs w:val="26"/>
        </w:rPr>
        <w:t xml:space="preserve"> </w:t>
      </w:r>
      <w:r w:rsidRPr="00FE5289">
        <w:rPr>
          <w:rFonts w:ascii="Times New Roman" w:hAnsi="Times New Roman" w:cs="Times New Roman"/>
          <w:sz w:val="26"/>
          <w:szCs w:val="26"/>
        </w:rPr>
        <w:t xml:space="preserve">“Notices” of this kind are not notices that comport with due process. </w:t>
      </w:r>
      <w:r w:rsidRPr="007A7D7A">
        <w:rPr>
          <w:rFonts w:ascii="Times New Roman" w:hAnsi="Times New Roman" w:cs="Times New Roman"/>
          <w:sz w:val="26"/>
          <w:szCs w:val="26"/>
          <w:u w:val="single"/>
        </w:rPr>
        <w:t>Under the current rules, the</w:t>
      </w:r>
      <w:r w:rsidR="00FE5289" w:rsidRPr="007A7D7A">
        <w:rPr>
          <w:rFonts w:ascii="Times New Roman" w:hAnsi="Times New Roman" w:cs="Times New Roman"/>
          <w:sz w:val="26"/>
          <w:szCs w:val="26"/>
          <w:u w:val="single"/>
        </w:rPr>
        <w:t xml:space="preserve"> </w:t>
      </w:r>
      <w:r w:rsidRPr="007A7D7A">
        <w:rPr>
          <w:rFonts w:ascii="Times New Roman" w:hAnsi="Times New Roman" w:cs="Times New Roman"/>
          <w:sz w:val="26"/>
          <w:szCs w:val="26"/>
          <w:u w:val="single"/>
        </w:rPr>
        <w:t>Committee is not required to timely disclose to applicants in advance of either an informal or</w:t>
      </w:r>
      <w:r w:rsidR="00FE5289" w:rsidRPr="007A7D7A">
        <w:rPr>
          <w:rFonts w:ascii="Times New Roman" w:hAnsi="Times New Roman" w:cs="Times New Roman"/>
          <w:sz w:val="26"/>
          <w:szCs w:val="26"/>
          <w:u w:val="single"/>
        </w:rPr>
        <w:t xml:space="preserve"> </w:t>
      </w:r>
      <w:r w:rsidRPr="007A7D7A">
        <w:rPr>
          <w:rFonts w:ascii="Times New Roman" w:hAnsi="Times New Roman" w:cs="Times New Roman"/>
          <w:sz w:val="26"/>
          <w:szCs w:val="26"/>
          <w:u w:val="single"/>
        </w:rPr>
        <w:t>formal hearing (a) the names of adverse witnesses or (b) notice of the negative evidence (or even</w:t>
      </w:r>
      <w:r w:rsidR="00FE5289" w:rsidRPr="007A7D7A">
        <w:rPr>
          <w:rFonts w:ascii="Times New Roman" w:hAnsi="Times New Roman" w:cs="Times New Roman"/>
          <w:sz w:val="26"/>
          <w:szCs w:val="26"/>
          <w:u w:val="single"/>
        </w:rPr>
        <w:t xml:space="preserve"> </w:t>
      </w:r>
      <w:r w:rsidRPr="007A7D7A">
        <w:rPr>
          <w:rFonts w:ascii="Times New Roman" w:hAnsi="Times New Roman" w:cs="Times New Roman"/>
          <w:sz w:val="26"/>
          <w:szCs w:val="26"/>
          <w:u w:val="single"/>
        </w:rPr>
        <w:t>a summary of the negative evidence) that may adversely affect the applicant’s ability to secure</w:t>
      </w:r>
      <w:r w:rsidR="00FE5289" w:rsidRPr="007A7D7A">
        <w:rPr>
          <w:rFonts w:ascii="Times New Roman" w:hAnsi="Times New Roman" w:cs="Times New Roman"/>
          <w:sz w:val="26"/>
          <w:szCs w:val="26"/>
          <w:u w:val="single"/>
        </w:rPr>
        <w:t xml:space="preserve"> </w:t>
      </w:r>
      <w:r w:rsidRPr="007A7D7A">
        <w:rPr>
          <w:rFonts w:ascii="Times New Roman" w:hAnsi="Times New Roman" w:cs="Times New Roman"/>
          <w:sz w:val="26"/>
          <w:szCs w:val="26"/>
          <w:u w:val="single"/>
        </w:rPr>
        <w:t>admission to the Bar and enable the applicant to prepare for the hearing</w:t>
      </w:r>
      <w:r w:rsidRPr="00FE5289">
        <w:rPr>
          <w:rFonts w:ascii="Times New Roman" w:hAnsi="Times New Roman" w:cs="Times New Roman"/>
          <w:sz w:val="26"/>
          <w:szCs w:val="26"/>
        </w:rPr>
        <w:t xml:space="preserve">. </w:t>
      </w:r>
      <w:r w:rsidRPr="00FE5289">
        <w:rPr>
          <w:rFonts w:ascii="Times New Roman" w:hAnsi="Times New Roman" w:cs="Times New Roman"/>
          <w:sz w:val="26"/>
          <w:szCs w:val="26"/>
          <w:u w:val="single"/>
        </w:rPr>
        <w:t>Denying the applicant</w:t>
      </w:r>
      <w:r w:rsidR="00FE5289" w:rsidRPr="00FE5289">
        <w:rPr>
          <w:rFonts w:ascii="Times New Roman" w:hAnsi="Times New Roman" w:cs="Times New Roman"/>
          <w:sz w:val="26"/>
          <w:szCs w:val="26"/>
          <w:u w:val="single"/>
        </w:rPr>
        <w:t xml:space="preserve"> </w:t>
      </w:r>
      <w:r w:rsidRPr="00FE5289">
        <w:rPr>
          <w:rFonts w:ascii="Times New Roman" w:hAnsi="Times New Roman" w:cs="Times New Roman"/>
          <w:sz w:val="26"/>
          <w:szCs w:val="26"/>
          <w:u w:val="single"/>
        </w:rPr>
        <w:t>this information in advance of the informal and formal hearings obviously deprives the applicant</w:t>
      </w:r>
      <w:r w:rsidR="00FE5289" w:rsidRPr="00FE5289">
        <w:rPr>
          <w:rFonts w:ascii="Times New Roman" w:hAnsi="Times New Roman" w:cs="Times New Roman"/>
          <w:sz w:val="26"/>
          <w:szCs w:val="26"/>
          <w:u w:val="single"/>
        </w:rPr>
        <w:t xml:space="preserve"> </w:t>
      </w:r>
      <w:r w:rsidRPr="00FE5289">
        <w:rPr>
          <w:rFonts w:ascii="Times New Roman" w:hAnsi="Times New Roman" w:cs="Times New Roman"/>
          <w:sz w:val="26"/>
          <w:szCs w:val="26"/>
          <w:u w:val="single"/>
        </w:rPr>
        <w:t>of due process and the ability to properly prepare to respond to negative evidence</w:t>
      </w:r>
      <w:r w:rsidRPr="00FE5289">
        <w:rPr>
          <w:rFonts w:ascii="Times New Roman" w:hAnsi="Times New Roman" w:cs="Times New Roman"/>
          <w:sz w:val="26"/>
          <w:szCs w:val="26"/>
        </w:rPr>
        <w:t>.</w:t>
      </w:r>
      <w:r w:rsidR="00F374FA" w:rsidRPr="00FE5289">
        <w:rPr>
          <w:sz w:val="26"/>
          <w:szCs w:val="26"/>
        </w:rPr>
        <w:t xml:space="preserve"> </w:t>
      </w:r>
    </w:p>
    <w:p w14:paraId="50F6B389" w14:textId="5FC9BAFC" w:rsidR="00D01AA5" w:rsidRDefault="00EE5E18" w:rsidP="00FE5289">
      <w:pPr>
        <w:autoSpaceDE w:val="0"/>
        <w:autoSpaceDN w:val="0"/>
        <w:adjustRightInd w:val="0"/>
        <w:spacing w:line="240" w:lineRule="auto"/>
        <w:ind w:firstLine="0"/>
        <w:rPr>
          <w:sz w:val="28"/>
          <w:szCs w:val="28"/>
        </w:rPr>
      </w:pPr>
      <w:r>
        <w:rPr>
          <w:sz w:val="28"/>
          <w:szCs w:val="28"/>
        </w:rPr>
        <w:t xml:space="preserve">  </w:t>
      </w:r>
    </w:p>
    <w:p w14:paraId="0CAE9C10" w14:textId="1AE02761" w:rsidR="00FE5289" w:rsidRDefault="00552C2C" w:rsidP="00FE5289">
      <w:pPr>
        <w:autoSpaceDE w:val="0"/>
        <w:autoSpaceDN w:val="0"/>
        <w:adjustRightInd w:val="0"/>
        <w:spacing w:line="240" w:lineRule="auto"/>
        <w:ind w:firstLine="0"/>
        <w:rPr>
          <w:sz w:val="28"/>
          <w:szCs w:val="28"/>
        </w:rPr>
      </w:pPr>
      <w:r w:rsidRPr="00552C2C">
        <w:rPr>
          <w:i/>
          <w:iCs/>
          <w:sz w:val="28"/>
          <w:szCs w:val="28"/>
        </w:rPr>
        <w:t>See</w:t>
      </w:r>
      <w:r>
        <w:rPr>
          <w:sz w:val="28"/>
          <w:szCs w:val="28"/>
        </w:rPr>
        <w:t xml:space="preserve"> </w:t>
      </w:r>
      <w:r w:rsidR="00FE5289">
        <w:rPr>
          <w:sz w:val="28"/>
          <w:szCs w:val="28"/>
        </w:rPr>
        <w:t>Harrison Comment, page 2, emphasis added.</w:t>
      </w:r>
    </w:p>
    <w:p w14:paraId="153791AD" w14:textId="77777777" w:rsidR="00395B4D" w:rsidRDefault="00395B4D" w:rsidP="00FE5289">
      <w:pPr>
        <w:autoSpaceDE w:val="0"/>
        <w:autoSpaceDN w:val="0"/>
        <w:adjustRightInd w:val="0"/>
        <w:spacing w:line="240" w:lineRule="auto"/>
        <w:ind w:firstLine="0"/>
        <w:rPr>
          <w:sz w:val="28"/>
          <w:szCs w:val="28"/>
        </w:rPr>
      </w:pPr>
    </w:p>
    <w:p w14:paraId="1E1C95C4" w14:textId="51697E11" w:rsidR="00552C2C" w:rsidRPr="00DF6586" w:rsidRDefault="00395B4D" w:rsidP="00DF6586">
      <w:pPr>
        <w:autoSpaceDE w:val="0"/>
        <w:autoSpaceDN w:val="0"/>
        <w:adjustRightInd w:val="0"/>
        <w:ind w:firstLine="0"/>
        <w:jc w:val="both"/>
        <w:rPr>
          <w:sz w:val="28"/>
          <w:szCs w:val="28"/>
        </w:rPr>
      </w:pPr>
      <w:r>
        <w:rPr>
          <w:sz w:val="28"/>
          <w:szCs w:val="28"/>
        </w:rPr>
        <w:tab/>
      </w:r>
      <w:r w:rsidR="00881E1F">
        <w:rPr>
          <w:sz w:val="28"/>
          <w:szCs w:val="28"/>
        </w:rPr>
        <w:t xml:space="preserve"> </w:t>
      </w:r>
      <w:r w:rsidR="00DF6586">
        <w:rPr>
          <w:sz w:val="28"/>
          <w:szCs w:val="28"/>
        </w:rPr>
        <w:t>By Order filed 09/01/2011</w:t>
      </w:r>
      <w:r w:rsidR="00881E1F">
        <w:rPr>
          <w:sz w:val="28"/>
          <w:szCs w:val="28"/>
        </w:rPr>
        <w:t xml:space="preserve">, this Court adopted the proposed amendments and required </w:t>
      </w:r>
      <w:r w:rsidR="00EB7A33">
        <w:rPr>
          <w:sz w:val="28"/>
          <w:szCs w:val="28"/>
        </w:rPr>
        <w:t xml:space="preserve">disclosure in advance of </w:t>
      </w:r>
      <w:r w:rsidR="00EB7A33" w:rsidRPr="00F97A33">
        <w:rPr>
          <w:sz w:val="28"/>
          <w:szCs w:val="28"/>
          <w:u w:val="single"/>
        </w:rPr>
        <w:t>both informal and informal proceedings</w:t>
      </w:r>
      <w:r w:rsidR="00EB7A33">
        <w:rPr>
          <w:sz w:val="28"/>
          <w:szCs w:val="28"/>
        </w:rPr>
        <w:t>.  This was a</w:t>
      </w:r>
      <w:r w:rsidR="00DF6586">
        <w:rPr>
          <w:sz w:val="28"/>
          <w:szCs w:val="28"/>
        </w:rPr>
        <w:t xml:space="preserve"> </w:t>
      </w:r>
      <w:r w:rsidR="00EB7A33">
        <w:rPr>
          <w:sz w:val="28"/>
          <w:szCs w:val="28"/>
        </w:rPr>
        <w:t>positive outcome that</w:t>
      </w:r>
      <w:r w:rsidR="00EE0E38">
        <w:rPr>
          <w:sz w:val="28"/>
          <w:szCs w:val="28"/>
        </w:rPr>
        <w:t xml:space="preserve"> ended </w:t>
      </w:r>
      <w:r w:rsidR="00DF6586">
        <w:rPr>
          <w:sz w:val="28"/>
          <w:szCs w:val="28"/>
        </w:rPr>
        <w:t>situations</w:t>
      </w:r>
      <w:r w:rsidR="007A7D7A">
        <w:rPr>
          <w:sz w:val="28"/>
          <w:szCs w:val="28"/>
        </w:rPr>
        <w:t xml:space="preserve"> </w:t>
      </w:r>
      <w:r w:rsidR="00DF6586">
        <w:rPr>
          <w:sz w:val="28"/>
          <w:szCs w:val="28"/>
        </w:rPr>
        <w:t>where</w:t>
      </w:r>
      <w:r w:rsidR="00EE0E38">
        <w:rPr>
          <w:sz w:val="28"/>
          <w:szCs w:val="28"/>
        </w:rPr>
        <w:t xml:space="preserve"> applicants </w:t>
      </w:r>
      <w:r w:rsidR="00DF6586">
        <w:rPr>
          <w:sz w:val="28"/>
          <w:szCs w:val="28"/>
        </w:rPr>
        <w:t xml:space="preserve">were </w:t>
      </w:r>
      <w:r w:rsidR="00EE0E38">
        <w:rPr>
          <w:sz w:val="28"/>
          <w:szCs w:val="28"/>
        </w:rPr>
        <w:t xml:space="preserve">surprised with </w:t>
      </w:r>
      <w:r w:rsidR="00DF6586">
        <w:rPr>
          <w:sz w:val="28"/>
          <w:szCs w:val="28"/>
        </w:rPr>
        <w:t xml:space="preserve">undisclosed </w:t>
      </w:r>
      <w:r w:rsidR="00F32626">
        <w:rPr>
          <w:sz w:val="28"/>
          <w:szCs w:val="28"/>
        </w:rPr>
        <w:t>negative evidence during their hearings.</w:t>
      </w:r>
    </w:p>
    <w:p w14:paraId="03EBEE32" w14:textId="305526E0" w:rsidR="00D637B1" w:rsidRPr="00552C2C" w:rsidRDefault="00D01AA5" w:rsidP="00EC58DD">
      <w:pPr>
        <w:ind w:firstLine="720"/>
        <w:jc w:val="both"/>
        <w:rPr>
          <w:b/>
          <w:bCs/>
          <w:sz w:val="28"/>
          <w:szCs w:val="28"/>
        </w:rPr>
      </w:pPr>
      <w:r w:rsidRPr="00552C2C">
        <w:rPr>
          <w:b/>
          <w:bCs/>
          <w:sz w:val="28"/>
          <w:szCs w:val="28"/>
        </w:rPr>
        <w:t>B.</w:t>
      </w:r>
      <w:r w:rsidRPr="00552C2C">
        <w:rPr>
          <w:b/>
          <w:bCs/>
          <w:sz w:val="28"/>
          <w:szCs w:val="28"/>
        </w:rPr>
        <w:tab/>
      </w:r>
      <w:r w:rsidRPr="00552C2C">
        <w:rPr>
          <w:b/>
          <w:bCs/>
          <w:sz w:val="28"/>
          <w:szCs w:val="28"/>
          <w:u w:val="single"/>
        </w:rPr>
        <w:t>Current Situation</w:t>
      </w:r>
      <w:r w:rsidR="006B1DFC" w:rsidRPr="00552C2C">
        <w:rPr>
          <w:b/>
          <w:bCs/>
          <w:sz w:val="28"/>
          <w:szCs w:val="28"/>
        </w:rPr>
        <w:t xml:space="preserve"> </w:t>
      </w:r>
      <w:r w:rsidR="00004BF8" w:rsidRPr="00552C2C">
        <w:rPr>
          <w:b/>
          <w:bCs/>
          <w:sz w:val="28"/>
          <w:szCs w:val="28"/>
        </w:rPr>
        <w:t xml:space="preserve"> </w:t>
      </w:r>
    </w:p>
    <w:p w14:paraId="60CB76E6" w14:textId="21CDE4FA" w:rsidR="00FC7312" w:rsidRDefault="0068635A" w:rsidP="00881E1F">
      <w:pPr>
        <w:ind w:firstLine="720"/>
        <w:jc w:val="both"/>
        <w:rPr>
          <w:sz w:val="28"/>
          <w:szCs w:val="28"/>
        </w:rPr>
      </w:pPr>
      <w:r>
        <w:rPr>
          <w:sz w:val="28"/>
          <w:szCs w:val="28"/>
        </w:rPr>
        <w:t>The disclosure requirement was removed from the</w:t>
      </w:r>
      <w:r w:rsidR="00C8684C">
        <w:rPr>
          <w:sz w:val="28"/>
          <w:szCs w:val="28"/>
        </w:rPr>
        <w:t xml:space="preserve"> informal inquiry portion of the</w:t>
      </w:r>
      <w:r>
        <w:rPr>
          <w:sz w:val="28"/>
          <w:szCs w:val="28"/>
        </w:rPr>
        <w:t xml:space="preserve"> rule as a result of Petition </w:t>
      </w:r>
      <w:r w:rsidR="00C839F4">
        <w:rPr>
          <w:sz w:val="28"/>
          <w:szCs w:val="28"/>
        </w:rPr>
        <w:t>R-</w:t>
      </w:r>
      <w:r w:rsidR="00B37030">
        <w:rPr>
          <w:sz w:val="28"/>
          <w:szCs w:val="28"/>
        </w:rPr>
        <w:t>14-</w:t>
      </w:r>
      <w:r w:rsidR="0082119A">
        <w:rPr>
          <w:sz w:val="28"/>
          <w:szCs w:val="28"/>
        </w:rPr>
        <w:t>0011, effective January 1, 2015.</w:t>
      </w:r>
      <w:r w:rsidR="00C8684C">
        <w:rPr>
          <w:sz w:val="28"/>
          <w:szCs w:val="28"/>
        </w:rPr>
        <w:t xml:space="preserve">  </w:t>
      </w:r>
      <w:r w:rsidR="00C839F4">
        <w:rPr>
          <w:sz w:val="28"/>
          <w:szCs w:val="28"/>
        </w:rPr>
        <w:t>R-</w:t>
      </w:r>
      <w:r w:rsidR="00203C7B">
        <w:rPr>
          <w:sz w:val="28"/>
          <w:szCs w:val="28"/>
        </w:rPr>
        <w:t>14-00</w:t>
      </w:r>
      <w:r w:rsidR="005D3AAA">
        <w:rPr>
          <w:sz w:val="28"/>
          <w:szCs w:val="28"/>
        </w:rPr>
        <w:t>1</w:t>
      </w:r>
      <w:r w:rsidR="006776B1">
        <w:rPr>
          <w:sz w:val="28"/>
          <w:szCs w:val="28"/>
        </w:rPr>
        <w:t xml:space="preserve">1 </w:t>
      </w:r>
      <w:r w:rsidR="006776B1">
        <w:rPr>
          <w:sz w:val="28"/>
          <w:szCs w:val="28"/>
        </w:rPr>
        <w:lastRenderedPageBreak/>
        <w:t xml:space="preserve">notes that it is the product of </w:t>
      </w:r>
      <w:r w:rsidR="00705901">
        <w:rPr>
          <w:sz w:val="28"/>
          <w:szCs w:val="28"/>
        </w:rPr>
        <w:t xml:space="preserve">meetings and review held in 2012 by </w:t>
      </w:r>
      <w:r w:rsidR="006776B1">
        <w:rPr>
          <w:sz w:val="28"/>
          <w:szCs w:val="28"/>
        </w:rPr>
        <w:t xml:space="preserve">an “Admissions Subcommittee” </w:t>
      </w:r>
      <w:r w:rsidR="003C4839">
        <w:rPr>
          <w:sz w:val="28"/>
          <w:szCs w:val="28"/>
        </w:rPr>
        <w:t>branch of the Attorney Regulation Advisory Committee (ARC)</w:t>
      </w:r>
      <w:r w:rsidR="00705901">
        <w:rPr>
          <w:sz w:val="28"/>
          <w:szCs w:val="28"/>
        </w:rPr>
        <w:t>.  The Petition contain</w:t>
      </w:r>
      <w:r w:rsidR="000C14FA">
        <w:rPr>
          <w:sz w:val="28"/>
          <w:szCs w:val="28"/>
        </w:rPr>
        <w:t xml:space="preserve">ed </w:t>
      </w:r>
      <w:r w:rsidR="002D7675">
        <w:rPr>
          <w:sz w:val="28"/>
          <w:szCs w:val="28"/>
        </w:rPr>
        <w:t xml:space="preserve">approximately 14 </w:t>
      </w:r>
      <w:r w:rsidR="000C14FA">
        <w:rPr>
          <w:sz w:val="28"/>
          <w:szCs w:val="28"/>
        </w:rPr>
        <w:t xml:space="preserve">proposed changes to the admissions </w:t>
      </w:r>
      <w:r w:rsidR="00A24312">
        <w:rPr>
          <w:sz w:val="28"/>
          <w:szCs w:val="28"/>
        </w:rPr>
        <w:t>rules</w:t>
      </w:r>
      <w:r w:rsidR="00180375">
        <w:rPr>
          <w:sz w:val="28"/>
          <w:szCs w:val="28"/>
        </w:rPr>
        <w:t>.</w:t>
      </w:r>
      <w:r w:rsidR="00982813">
        <w:rPr>
          <w:sz w:val="28"/>
          <w:szCs w:val="28"/>
        </w:rPr>
        <w:t xml:space="preserve">  </w:t>
      </w:r>
      <w:r w:rsidR="008A55C8">
        <w:rPr>
          <w:sz w:val="28"/>
          <w:szCs w:val="28"/>
        </w:rPr>
        <w:t xml:space="preserve">The </w:t>
      </w:r>
      <w:r w:rsidR="0003176F">
        <w:rPr>
          <w:sz w:val="28"/>
          <w:szCs w:val="28"/>
        </w:rPr>
        <w:t xml:space="preserve">reason for </w:t>
      </w:r>
      <w:r w:rsidR="008A55C8">
        <w:rPr>
          <w:sz w:val="28"/>
          <w:szCs w:val="28"/>
        </w:rPr>
        <w:t xml:space="preserve">removal of the disclosure requirement from informal inquiries was not </w:t>
      </w:r>
      <w:r w:rsidR="0003176F">
        <w:rPr>
          <w:sz w:val="28"/>
          <w:szCs w:val="28"/>
        </w:rPr>
        <w:t>addressed in any detail</w:t>
      </w:r>
      <w:r w:rsidR="008A55C8">
        <w:rPr>
          <w:sz w:val="28"/>
          <w:szCs w:val="28"/>
        </w:rPr>
        <w:t xml:space="preserve"> in the </w:t>
      </w:r>
      <w:r w:rsidR="00A41FAB">
        <w:rPr>
          <w:sz w:val="28"/>
          <w:szCs w:val="28"/>
        </w:rPr>
        <w:t xml:space="preserve">Petition. </w:t>
      </w:r>
      <w:r w:rsidR="00FC7312">
        <w:rPr>
          <w:sz w:val="28"/>
          <w:szCs w:val="28"/>
        </w:rPr>
        <w:t xml:space="preserve"> </w:t>
      </w:r>
      <w:r w:rsidR="00A24312">
        <w:rPr>
          <w:sz w:val="28"/>
          <w:szCs w:val="28"/>
        </w:rPr>
        <w:t xml:space="preserve">By the time the Petition was filed, I was living in Texas </w:t>
      </w:r>
      <w:r w:rsidR="004B52C4">
        <w:rPr>
          <w:sz w:val="28"/>
          <w:szCs w:val="28"/>
        </w:rPr>
        <w:t xml:space="preserve">with family, and I do not recall that there was any group discussion </w:t>
      </w:r>
      <w:r w:rsidR="004F69C3">
        <w:rPr>
          <w:sz w:val="28"/>
          <w:szCs w:val="28"/>
        </w:rPr>
        <w:t xml:space="preserve">about it </w:t>
      </w:r>
      <w:r w:rsidR="004B52C4">
        <w:rPr>
          <w:sz w:val="28"/>
          <w:szCs w:val="28"/>
        </w:rPr>
        <w:t>between applicants’ counsel</w:t>
      </w:r>
      <w:r w:rsidR="004F69C3">
        <w:rPr>
          <w:sz w:val="28"/>
          <w:szCs w:val="28"/>
        </w:rPr>
        <w:t xml:space="preserve">.  As I have noted, not all respondents’ counsel also do admissions work.  </w:t>
      </w:r>
      <w:r w:rsidR="00542245">
        <w:rPr>
          <w:sz w:val="28"/>
          <w:szCs w:val="28"/>
        </w:rPr>
        <w:t xml:space="preserve">The new </w:t>
      </w:r>
      <w:r w:rsidR="00F24095">
        <w:rPr>
          <w:sz w:val="28"/>
          <w:szCs w:val="28"/>
        </w:rPr>
        <w:t xml:space="preserve">Co-Chairs of the Committee did not notify applicants’ counsel of the Petition, as best as I can recall.  </w:t>
      </w:r>
      <w:r w:rsidR="00FC7312">
        <w:rPr>
          <w:sz w:val="28"/>
          <w:szCs w:val="28"/>
        </w:rPr>
        <w:t>At page 4, the Petition reads:</w:t>
      </w:r>
    </w:p>
    <w:p w14:paraId="1964464D" w14:textId="77777777" w:rsidR="00B82EE7" w:rsidRPr="00B82EE7" w:rsidRDefault="00B82EE7" w:rsidP="00B82EE7">
      <w:pPr>
        <w:spacing w:line="240" w:lineRule="auto"/>
        <w:ind w:left="720" w:right="720" w:firstLine="0"/>
        <w:jc w:val="both"/>
        <w:rPr>
          <w:sz w:val="26"/>
          <w:szCs w:val="26"/>
        </w:rPr>
      </w:pPr>
      <w:r w:rsidRPr="00B82EE7">
        <w:rPr>
          <w:sz w:val="26"/>
          <w:szCs w:val="26"/>
        </w:rPr>
        <w:t>ARC has determined that the Committee would benefit from less rigid informal proceedings for the first inquiry, to be held before a panel of exactly three Committee members who must attend in person.   Informal hearings will be more conversational and instructive, and will be handled by the investigating member before three other members of the Committee, to be assigned on a rotating basis by staff.   The three panel members will deliberate after the inquiry and reach a decision; the investigating member will not participate in deliberations or decision.  ARC intends this change to eliminate any appearance that a Committee member is acting as both advocate and judge.  To ensure a diverse composition of the panel, the proposal recommends that the panel include both a lawyer and a non-lawyer member.  At least two members must agree to reach a decision.  There are no discovery obligations and subpoenas may not be issued; a record may be made but is not required.</w:t>
      </w:r>
      <w:r w:rsidR="00A41FAB" w:rsidRPr="00B82EE7">
        <w:rPr>
          <w:sz w:val="26"/>
          <w:szCs w:val="26"/>
        </w:rPr>
        <w:t xml:space="preserve"> </w:t>
      </w:r>
      <w:r w:rsidR="00180375" w:rsidRPr="00B82EE7">
        <w:rPr>
          <w:sz w:val="26"/>
          <w:szCs w:val="26"/>
        </w:rPr>
        <w:t xml:space="preserve">  </w:t>
      </w:r>
    </w:p>
    <w:p w14:paraId="28B4C2B1" w14:textId="61F544FB" w:rsidR="00CC5A67" w:rsidRDefault="000C14FA" w:rsidP="00B82EE7">
      <w:pPr>
        <w:spacing w:line="240" w:lineRule="auto"/>
        <w:ind w:left="720" w:right="720" w:firstLine="0"/>
        <w:jc w:val="both"/>
        <w:rPr>
          <w:sz w:val="28"/>
          <w:szCs w:val="28"/>
        </w:rPr>
      </w:pPr>
      <w:r>
        <w:rPr>
          <w:sz w:val="28"/>
          <w:szCs w:val="28"/>
        </w:rPr>
        <w:t xml:space="preserve">  </w:t>
      </w:r>
      <w:r w:rsidR="00C8684C">
        <w:rPr>
          <w:sz w:val="28"/>
          <w:szCs w:val="28"/>
        </w:rPr>
        <w:t xml:space="preserve"> </w:t>
      </w:r>
      <w:r w:rsidR="00D01AA5">
        <w:rPr>
          <w:sz w:val="28"/>
          <w:szCs w:val="28"/>
        </w:rPr>
        <w:t xml:space="preserve">  </w:t>
      </w:r>
      <w:r w:rsidR="00B271A3">
        <w:rPr>
          <w:sz w:val="28"/>
          <w:szCs w:val="28"/>
        </w:rPr>
        <w:t xml:space="preserve"> </w:t>
      </w:r>
    </w:p>
    <w:p w14:paraId="73F514B8" w14:textId="78F4954E" w:rsidR="00CC5A67" w:rsidRDefault="002704AB" w:rsidP="00185917">
      <w:pPr>
        <w:ind w:firstLine="720"/>
        <w:jc w:val="both"/>
        <w:rPr>
          <w:sz w:val="28"/>
          <w:szCs w:val="28"/>
        </w:rPr>
      </w:pPr>
      <w:r>
        <w:rPr>
          <w:sz w:val="28"/>
          <w:szCs w:val="28"/>
        </w:rPr>
        <w:t>In reading this description</w:t>
      </w:r>
      <w:r w:rsidR="00053FD8">
        <w:rPr>
          <w:sz w:val="28"/>
          <w:szCs w:val="28"/>
        </w:rPr>
        <w:t xml:space="preserve">, the intent to make </w:t>
      </w:r>
      <w:r w:rsidR="00FC75CE">
        <w:rPr>
          <w:sz w:val="28"/>
          <w:szCs w:val="28"/>
        </w:rPr>
        <w:t>the proceeding</w:t>
      </w:r>
      <w:r w:rsidR="00D13A01">
        <w:rPr>
          <w:sz w:val="28"/>
          <w:szCs w:val="28"/>
        </w:rPr>
        <w:t xml:space="preserve"> more informal sounds harmless</w:t>
      </w:r>
      <w:r w:rsidR="00FC75CE">
        <w:rPr>
          <w:sz w:val="28"/>
          <w:szCs w:val="28"/>
        </w:rPr>
        <w:t>—possibly even pleasant</w:t>
      </w:r>
      <w:r w:rsidR="00D13A01">
        <w:rPr>
          <w:sz w:val="28"/>
          <w:szCs w:val="28"/>
        </w:rPr>
        <w:t xml:space="preserve">.  The only change that stood out was the </w:t>
      </w:r>
      <w:r w:rsidR="0002472E">
        <w:rPr>
          <w:sz w:val="28"/>
          <w:szCs w:val="28"/>
        </w:rPr>
        <w:lastRenderedPageBreak/>
        <w:t>addition of an investigating member who would not vote</w:t>
      </w:r>
      <w:r w:rsidR="008856FD">
        <w:rPr>
          <w:sz w:val="28"/>
          <w:szCs w:val="28"/>
        </w:rPr>
        <w:t xml:space="preserve">, and </w:t>
      </w:r>
      <w:r w:rsidR="00FD2CF8">
        <w:rPr>
          <w:sz w:val="28"/>
          <w:szCs w:val="28"/>
        </w:rPr>
        <w:t xml:space="preserve">Mark Harrison </w:t>
      </w:r>
      <w:r w:rsidR="00402EB2">
        <w:rPr>
          <w:sz w:val="28"/>
          <w:szCs w:val="28"/>
        </w:rPr>
        <w:t xml:space="preserve">had </w:t>
      </w:r>
      <w:r w:rsidR="0002472E">
        <w:rPr>
          <w:sz w:val="28"/>
          <w:szCs w:val="28"/>
        </w:rPr>
        <w:t>advocate</w:t>
      </w:r>
      <w:r w:rsidR="008856FD">
        <w:rPr>
          <w:sz w:val="28"/>
          <w:szCs w:val="28"/>
        </w:rPr>
        <w:t>d</w:t>
      </w:r>
      <w:r w:rsidR="00402EB2">
        <w:rPr>
          <w:sz w:val="28"/>
          <w:szCs w:val="28"/>
        </w:rPr>
        <w:t xml:space="preserve"> for that</w:t>
      </w:r>
      <w:r w:rsidR="00713036">
        <w:rPr>
          <w:sz w:val="28"/>
          <w:szCs w:val="28"/>
        </w:rPr>
        <w:t xml:space="preserve"> modification</w:t>
      </w:r>
      <w:r w:rsidR="0002472E">
        <w:rPr>
          <w:sz w:val="28"/>
          <w:szCs w:val="28"/>
        </w:rPr>
        <w:t xml:space="preserve">.  </w:t>
      </w:r>
      <w:r w:rsidR="00A62F73">
        <w:rPr>
          <w:sz w:val="28"/>
          <w:szCs w:val="28"/>
        </w:rPr>
        <w:t>However, t</w:t>
      </w:r>
      <w:r w:rsidR="000C5A44">
        <w:rPr>
          <w:sz w:val="28"/>
          <w:szCs w:val="28"/>
        </w:rPr>
        <w:t xml:space="preserve">hat change applied to </w:t>
      </w:r>
      <w:r w:rsidR="000C5A44" w:rsidRPr="008856FD">
        <w:rPr>
          <w:sz w:val="28"/>
          <w:szCs w:val="28"/>
          <w:u w:val="single"/>
        </w:rPr>
        <w:t>both</w:t>
      </w:r>
      <w:r w:rsidR="000C5A44">
        <w:rPr>
          <w:sz w:val="28"/>
          <w:szCs w:val="28"/>
        </w:rPr>
        <w:t xml:space="preserve"> informal inquiries and formal hearings.  The only </w:t>
      </w:r>
      <w:r w:rsidR="00A62F73">
        <w:rPr>
          <w:sz w:val="28"/>
          <w:szCs w:val="28"/>
        </w:rPr>
        <w:t xml:space="preserve">substantive change to informal inquiries </w:t>
      </w:r>
      <w:r w:rsidR="00713036">
        <w:rPr>
          <w:sz w:val="28"/>
          <w:szCs w:val="28"/>
        </w:rPr>
        <w:t>wa</w:t>
      </w:r>
      <w:r w:rsidR="00A62F73">
        <w:rPr>
          <w:sz w:val="28"/>
          <w:szCs w:val="28"/>
        </w:rPr>
        <w:t xml:space="preserve">s the removal of that disclosure requirement.  </w:t>
      </w:r>
      <w:r w:rsidR="00570977">
        <w:rPr>
          <w:sz w:val="28"/>
          <w:szCs w:val="28"/>
        </w:rPr>
        <w:t xml:space="preserve">Unfortunately, </w:t>
      </w:r>
      <w:r w:rsidR="00204E32">
        <w:rPr>
          <w:sz w:val="28"/>
          <w:szCs w:val="28"/>
        </w:rPr>
        <w:t xml:space="preserve">I am now </w:t>
      </w:r>
      <w:r w:rsidR="00185917">
        <w:rPr>
          <w:sz w:val="28"/>
          <w:szCs w:val="28"/>
        </w:rPr>
        <w:t>aware</w:t>
      </w:r>
      <w:r w:rsidR="006E6055">
        <w:rPr>
          <w:sz w:val="28"/>
          <w:szCs w:val="28"/>
        </w:rPr>
        <w:t xml:space="preserve"> (on information and belief)</w:t>
      </w:r>
      <w:r w:rsidR="00185917">
        <w:rPr>
          <w:sz w:val="28"/>
          <w:szCs w:val="28"/>
        </w:rPr>
        <w:t xml:space="preserve"> of multiple instances where </w:t>
      </w:r>
      <w:r w:rsidR="00F97A33">
        <w:rPr>
          <w:sz w:val="28"/>
          <w:szCs w:val="28"/>
        </w:rPr>
        <w:t xml:space="preserve">applicants are </w:t>
      </w:r>
      <w:r w:rsidR="00185917">
        <w:rPr>
          <w:sz w:val="28"/>
          <w:szCs w:val="28"/>
        </w:rPr>
        <w:t xml:space="preserve">again being </w:t>
      </w:r>
      <w:r w:rsidR="00F97A33">
        <w:rPr>
          <w:sz w:val="28"/>
          <w:szCs w:val="28"/>
        </w:rPr>
        <w:t xml:space="preserve">confronted with </w:t>
      </w:r>
      <w:r w:rsidR="00204E32">
        <w:rPr>
          <w:sz w:val="28"/>
          <w:szCs w:val="28"/>
        </w:rPr>
        <w:t xml:space="preserve">previously </w:t>
      </w:r>
      <w:r w:rsidR="00F97A33">
        <w:rPr>
          <w:sz w:val="28"/>
          <w:szCs w:val="28"/>
        </w:rPr>
        <w:t xml:space="preserve">undisclosed negative evidence </w:t>
      </w:r>
      <w:r w:rsidR="00185917">
        <w:rPr>
          <w:sz w:val="28"/>
          <w:szCs w:val="28"/>
        </w:rPr>
        <w:t>during</w:t>
      </w:r>
      <w:r w:rsidR="00F97A33">
        <w:rPr>
          <w:sz w:val="28"/>
          <w:szCs w:val="28"/>
        </w:rPr>
        <w:t xml:space="preserve"> informal inquiries</w:t>
      </w:r>
      <w:r w:rsidR="00185917">
        <w:rPr>
          <w:sz w:val="28"/>
          <w:szCs w:val="28"/>
        </w:rPr>
        <w:t xml:space="preserve">.  </w:t>
      </w:r>
      <w:r w:rsidR="00242DBB">
        <w:rPr>
          <w:sz w:val="28"/>
          <w:szCs w:val="28"/>
        </w:rPr>
        <w:t xml:space="preserve">Because there is no </w:t>
      </w:r>
      <w:r w:rsidR="006E19F1">
        <w:rPr>
          <w:sz w:val="28"/>
          <w:szCs w:val="28"/>
        </w:rPr>
        <w:t xml:space="preserve">longer a </w:t>
      </w:r>
      <w:r w:rsidR="00242DBB">
        <w:rPr>
          <w:sz w:val="28"/>
          <w:szCs w:val="28"/>
        </w:rPr>
        <w:t>disclosure requirement,</w:t>
      </w:r>
      <w:r w:rsidR="006E19F1">
        <w:rPr>
          <w:sz w:val="28"/>
          <w:szCs w:val="28"/>
        </w:rPr>
        <w:t xml:space="preserve"> the Committee is not disclosing the negative information ahead of time. </w:t>
      </w:r>
      <w:r w:rsidR="003C756E">
        <w:rPr>
          <w:sz w:val="28"/>
          <w:szCs w:val="28"/>
        </w:rPr>
        <w:t xml:space="preserve"> </w:t>
      </w:r>
      <w:r w:rsidR="006E19F1">
        <w:rPr>
          <w:sz w:val="28"/>
          <w:szCs w:val="28"/>
        </w:rPr>
        <w:t xml:space="preserve"> </w:t>
      </w:r>
      <w:r w:rsidR="00242DBB">
        <w:rPr>
          <w:sz w:val="28"/>
          <w:szCs w:val="28"/>
        </w:rPr>
        <w:t xml:space="preserve"> </w:t>
      </w:r>
    </w:p>
    <w:p w14:paraId="194EC466" w14:textId="34E716A8" w:rsidR="0080511B" w:rsidRDefault="00B149C7" w:rsidP="007A6833">
      <w:pPr>
        <w:ind w:firstLine="720"/>
        <w:jc w:val="both"/>
        <w:rPr>
          <w:color w:val="000000"/>
          <w:sz w:val="28"/>
          <w:szCs w:val="28"/>
        </w:rPr>
      </w:pPr>
      <w:r>
        <w:rPr>
          <w:sz w:val="28"/>
          <w:szCs w:val="28"/>
        </w:rPr>
        <w:t>Mo</w:t>
      </w:r>
      <w:r w:rsidR="006E6055">
        <w:rPr>
          <w:sz w:val="28"/>
          <w:szCs w:val="28"/>
        </w:rPr>
        <w:t xml:space="preserve">reover, </w:t>
      </w:r>
      <w:r w:rsidR="00204E32">
        <w:rPr>
          <w:sz w:val="28"/>
          <w:szCs w:val="28"/>
        </w:rPr>
        <w:t>I am</w:t>
      </w:r>
      <w:r w:rsidR="00E6056B">
        <w:rPr>
          <w:sz w:val="28"/>
          <w:szCs w:val="28"/>
        </w:rPr>
        <w:t xml:space="preserve"> aware of at least one </w:t>
      </w:r>
      <w:r w:rsidR="00E6056B">
        <w:rPr>
          <w:color w:val="000000"/>
          <w:sz w:val="28"/>
          <w:szCs w:val="28"/>
        </w:rPr>
        <w:t xml:space="preserve">instance where the </w:t>
      </w:r>
      <w:r w:rsidR="00D957D2">
        <w:rPr>
          <w:color w:val="000000"/>
          <w:sz w:val="28"/>
          <w:szCs w:val="28"/>
        </w:rPr>
        <w:t>Committee</w:t>
      </w:r>
      <w:r w:rsidR="00E6056B">
        <w:rPr>
          <w:color w:val="000000"/>
          <w:sz w:val="28"/>
          <w:szCs w:val="28"/>
        </w:rPr>
        <w:t xml:space="preserve"> received a </w:t>
      </w:r>
      <w:r w:rsidR="0064670A">
        <w:rPr>
          <w:color w:val="000000"/>
          <w:sz w:val="28"/>
          <w:szCs w:val="28"/>
        </w:rPr>
        <w:t xml:space="preserve">“confidential” </w:t>
      </w:r>
      <w:r w:rsidR="00E6056B">
        <w:rPr>
          <w:color w:val="000000"/>
          <w:sz w:val="28"/>
          <w:szCs w:val="28"/>
        </w:rPr>
        <w:t xml:space="preserve">report </w:t>
      </w:r>
      <w:r w:rsidR="0035614D">
        <w:rPr>
          <w:color w:val="000000"/>
          <w:sz w:val="28"/>
          <w:szCs w:val="28"/>
        </w:rPr>
        <w:t xml:space="preserve">of some sort about the applicant </w:t>
      </w:r>
      <w:r w:rsidR="002A09EB">
        <w:rPr>
          <w:color w:val="000000"/>
          <w:sz w:val="28"/>
          <w:szCs w:val="28"/>
        </w:rPr>
        <w:t xml:space="preserve">and </w:t>
      </w:r>
      <w:r w:rsidR="008B65B1">
        <w:rPr>
          <w:color w:val="000000"/>
          <w:sz w:val="28"/>
          <w:szCs w:val="28"/>
        </w:rPr>
        <w:t xml:space="preserve">inquired </w:t>
      </w:r>
      <w:r w:rsidR="00287D2C">
        <w:rPr>
          <w:color w:val="000000"/>
          <w:sz w:val="28"/>
          <w:szCs w:val="28"/>
        </w:rPr>
        <w:t xml:space="preserve">about it in </w:t>
      </w:r>
      <w:r w:rsidR="006E6055">
        <w:rPr>
          <w:color w:val="000000"/>
          <w:sz w:val="28"/>
          <w:szCs w:val="28"/>
        </w:rPr>
        <w:t>an</w:t>
      </w:r>
      <w:r w:rsidR="00287D2C">
        <w:rPr>
          <w:color w:val="000000"/>
          <w:sz w:val="28"/>
          <w:szCs w:val="28"/>
        </w:rPr>
        <w:t xml:space="preserve"> informal inquiry, without disclosing the </w:t>
      </w:r>
      <w:r w:rsidR="003412D2">
        <w:rPr>
          <w:color w:val="000000"/>
          <w:sz w:val="28"/>
          <w:szCs w:val="28"/>
        </w:rPr>
        <w:t xml:space="preserve">document or </w:t>
      </w:r>
      <w:r w:rsidR="00287D2C">
        <w:rPr>
          <w:color w:val="000000"/>
          <w:sz w:val="28"/>
          <w:szCs w:val="28"/>
        </w:rPr>
        <w:t>identi</w:t>
      </w:r>
      <w:r w:rsidR="006E6055">
        <w:rPr>
          <w:color w:val="000000"/>
          <w:sz w:val="28"/>
          <w:szCs w:val="28"/>
        </w:rPr>
        <w:t>t</w:t>
      </w:r>
      <w:r w:rsidR="00287D2C">
        <w:rPr>
          <w:color w:val="000000"/>
          <w:sz w:val="28"/>
          <w:szCs w:val="28"/>
        </w:rPr>
        <w:t xml:space="preserve">y of the reporting person.  </w:t>
      </w:r>
      <w:r w:rsidR="007A6833">
        <w:rPr>
          <w:color w:val="000000"/>
          <w:sz w:val="28"/>
          <w:szCs w:val="28"/>
        </w:rPr>
        <w:t xml:space="preserve">The rule applying to that situation </w:t>
      </w:r>
      <w:r w:rsidR="0080511B">
        <w:rPr>
          <w:color w:val="000000"/>
          <w:sz w:val="28"/>
          <w:szCs w:val="28"/>
        </w:rPr>
        <w:t>is as follows:</w:t>
      </w:r>
    </w:p>
    <w:p w14:paraId="287CF512" w14:textId="4EE99DB8" w:rsidR="00287D2C" w:rsidRDefault="002B5E3F" w:rsidP="003C00A3">
      <w:pPr>
        <w:spacing w:line="240" w:lineRule="auto"/>
        <w:ind w:left="720" w:right="720" w:firstLine="0"/>
        <w:jc w:val="both"/>
        <w:rPr>
          <w:color w:val="000000"/>
          <w:sz w:val="26"/>
          <w:szCs w:val="26"/>
        </w:rPr>
      </w:pPr>
      <w:r w:rsidRPr="003C00A3">
        <w:rPr>
          <w:color w:val="000000"/>
          <w:sz w:val="26"/>
          <w:szCs w:val="26"/>
        </w:rPr>
        <w:t xml:space="preserve">3. </w:t>
      </w:r>
      <w:r w:rsidR="003412D2" w:rsidRPr="003412D2">
        <w:rPr>
          <w:i/>
          <w:iCs/>
          <w:color w:val="000000"/>
          <w:sz w:val="26"/>
          <w:szCs w:val="26"/>
        </w:rPr>
        <w:t>Consideration of Documents or Information</w:t>
      </w:r>
      <w:r w:rsidR="003412D2" w:rsidRPr="003412D2">
        <w:rPr>
          <w:color w:val="000000"/>
          <w:sz w:val="26"/>
          <w:szCs w:val="26"/>
        </w:rPr>
        <w:t xml:space="preserve">. Documents or other information provided to the investigating member in confidence will remain confidential and may be referenced, shared or considered at the informal inquiry </w:t>
      </w:r>
      <w:r w:rsidR="003412D2" w:rsidRPr="003412D2">
        <w:rPr>
          <w:color w:val="000000"/>
          <w:sz w:val="26"/>
          <w:szCs w:val="26"/>
          <w:u w:val="single"/>
        </w:rPr>
        <w:t>only</w:t>
      </w:r>
      <w:r w:rsidR="003412D2" w:rsidRPr="003412D2">
        <w:rPr>
          <w:color w:val="000000"/>
          <w:sz w:val="26"/>
          <w:szCs w:val="26"/>
        </w:rPr>
        <w:t xml:space="preserve"> if the providing party agrees. </w:t>
      </w:r>
      <w:r w:rsidR="003412D2" w:rsidRPr="003412D2">
        <w:rPr>
          <w:color w:val="000000"/>
          <w:sz w:val="26"/>
          <w:szCs w:val="26"/>
          <w:u w:val="single"/>
        </w:rPr>
        <w:t>Absent such agreement</w:t>
      </w:r>
      <w:r w:rsidR="003412D2" w:rsidRPr="003412D2">
        <w:rPr>
          <w:color w:val="000000"/>
          <w:sz w:val="26"/>
          <w:szCs w:val="26"/>
        </w:rPr>
        <w:t xml:space="preserve">, confidential information </w:t>
      </w:r>
      <w:r w:rsidR="003412D2" w:rsidRPr="003412D2">
        <w:rPr>
          <w:color w:val="000000"/>
          <w:sz w:val="26"/>
          <w:szCs w:val="26"/>
          <w:u w:val="single"/>
        </w:rPr>
        <w:t>must not be referenced, shared or considered at the informal inquiry or otherwise considered by the panel in determining the applicant's character and fitness for admission to practice law</w:t>
      </w:r>
      <w:r w:rsidR="003412D2" w:rsidRPr="003412D2">
        <w:rPr>
          <w:color w:val="000000"/>
          <w:sz w:val="26"/>
          <w:szCs w:val="26"/>
        </w:rPr>
        <w:t>. Because the objective of the informal inquiry is to informally resolve the investigating member's concerns efficiently, there is no formal introduction of exhibits or other evidence into a record at an informal inquiry. Neither the panel nor the applicant may subpoena the appearance of witnesses at an informal inquiry.</w:t>
      </w:r>
      <w:r w:rsidR="00287D2C" w:rsidRPr="003C00A3">
        <w:rPr>
          <w:color w:val="000000"/>
          <w:sz w:val="26"/>
          <w:szCs w:val="26"/>
        </w:rPr>
        <w:t xml:space="preserve"> </w:t>
      </w:r>
    </w:p>
    <w:p w14:paraId="0F4ECF2C" w14:textId="77777777" w:rsidR="003C00A3" w:rsidRPr="003C00A3" w:rsidRDefault="003C00A3" w:rsidP="003C00A3">
      <w:pPr>
        <w:spacing w:line="240" w:lineRule="auto"/>
        <w:ind w:left="720" w:right="720" w:firstLine="0"/>
        <w:jc w:val="both"/>
        <w:rPr>
          <w:color w:val="000000"/>
          <w:sz w:val="26"/>
          <w:szCs w:val="26"/>
        </w:rPr>
      </w:pPr>
    </w:p>
    <w:p w14:paraId="031E8615" w14:textId="77777777" w:rsidR="003608DB" w:rsidRDefault="003412D2" w:rsidP="003412D2">
      <w:pPr>
        <w:ind w:firstLine="0"/>
        <w:jc w:val="both"/>
        <w:rPr>
          <w:color w:val="000000"/>
          <w:sz w:val="28"/>
          <w:szCs w:val="28"/>
        </w:rPr>
      </w:pPr>
      <w:r>
        <w:rPr>
          <w:color w:val="000000"/>
          <w:sz w:val="28"/>
          <w:szCs w:val="28"/>
        </w:rPr>
        <w:t>Rule 36</w:t>
      </w:r>
      <w:r w:rsidR="003608DB">
        <w:rPr>
          <w:color w:val="000000"/>
          <w:sz w:val="28"/>
          <w:szCs w:val="28"/>
        </w:rPr>
        <w:t xml:space="preserve"> (e)(3), Ariz. R. Sup. Ct. (emphasis added).  </w:t>
      </w:r>
    </w:p>
    <w:p w14:paraId="161A9477" w14:textId="09234CF5" w:rsidR="00FB49EF" w:rsidRDefault="000C797E" w:rsidP="00D04568">
      <w:pPr>
        <w:ind w:firstLine="720"/>
        <w:jc w:val="both"/>
        <w:rPr>
          <w:sz w:val="28"/>
          <w:szCs w:val="28"/>
        </w:rPr>
      </w:pPr>
      <w:r>
        <w:rPr>
          <w:sz w:val="28"/>
          <w:szCs w:val="28"/>
        </w:rPr>
        <w:lastRenderedPageBreak/>
        <w:t xml:space="preserve">The last two sentences were added after the </w:t>
      </w:r>
      <w:r w:rsidR="00FF5121">
        <w:rPr>
          <w:sz w:val="28"/>
          <w:szCs w:val="28"/>
        </w:rPr>
        <w:t xml:space="preserve">2015 </w:t>
      </w:r>
      <w:r>
        <w:rPr>
          <w:sz w:val="28"/>
          <w:szCs w:val="28"/>
        </w:rPr>
        <w:t xml:space="preserve">changes that removed disclosure.  </w:t>
      </w:r>
      <w:r w:rsidR="002B3CBD">
        <w:rPr>
          <w:sz w:val="28"/>
          <w:szCs w:val="28"/>
        </w:rPr>
        <w:t>Th</w:t>
      </w:r>
      <w:r w:rsidR="00DB674A">
        <w:rPr>
          <w:sz w:val="28"/>
          <w:szCs w:val="28"/>
        </w:rPr>
        <w:t xml:space="preserve">ose sentences </w:t>
      </w:r>
      <w:r w:rsidR="006326FE">
        <w:rPr>
          <w:sz w:val="28"/>
          <w:szCs w:val="28"/>
        </w:rPr>
        <w:t xml:space="preserve">may say there “is no formal introduction of exhibits” but they </w:t>
      </w:r>
      <w:r w:rsidR="00DB674A">
        <w:rPr>
          <w:sz w:val="28"/>
          <w:szCs w:val="28"/>
        </w:rPr>
        <w:t xml:space="preserve">do not change the language specifying that </w:t>
      </w:r>
      <w:r w:rsidR="006326FE">
        <w:rPr>
          <w:sz w:val="28"/>
          <w:szCs w:val="28"/>
        </w:rPr>
        <w:t>such information “must not be referenced</w:t>
      </w:r>
      <w:r w:rsidR="006A5B6A">
        <w:rPr>
          <w:sz w:val="28"/>
          <w:szCs w:val="28"/>
        </w:rPr>
        <w:t>” in the informal inquiry</w:t>
      </w:r>
      <w:r w:rsidR="006326FE">
        <w:rPr>
          <w:sz w:val="28"/>
          <w:szCs w:val="28"/>
        </w:rPr>
        <w:t>.</w:t>
      </w:r>
      <w:r w:rsidR="006E6055">
        <w:rPr>
          <w:sz w:val="28"/>
          <w:szCs w:val="28"/>
        </w:rPr>
        <w:t xml:space="preserve">  </w:t>
      </w:r>
      <w:r w:rsidR="006326FE">
        <w:rPr>
          <w:sz w:val="28"/>
          <w:szCs w:val="28"/>
        </w:rPr>
        <w:t xml:space="preserve">  </w:t>
      </w:r>
    </w:p>
    <w:p w14:paraId="5D0F47D8" w14:textId="3E5C80FA" w:rsidR="004A436B" w:rsidRDefault="00D04568" w:rsidP="00EC58DD">
      <w:pPr>
        <w:ind w:firstLine="720"/>
        <w:jc w:val="both"/>
        <w:rPr>
          <w:sz w:val="28"/>
          <w:szCs w:val="28"/>
        </w:rPr>
      </w:pPr>
      <w:r>
        <w:rPr>
          <w:sz w:val="28"/>
          <w:szCs w:val="28"/>
        </w:rPr>
        <w:t xml:space="preserve">This </w:t>
      </w:r>
      <w:r w:rsidR="00721C3E">
        <w:rPr>
          <w:sz w:val="28"/>
          <w:szCs w:val="28"/>
        </w:rPr>
        <w:t>concept</w:t>
      </w:r>
      <w:r>
        <w:rPr>
          <w:sz w:val="28"/>
          <w:szCs w:val="28"/>
        </w:rPr>
        <w:t xml:space="preserve"> stems directly from our case law.  </w:t>
      </w:r>
      <w:r w:rsidR="00392409" w:rsidRPr="00392409">
        <w:rPr>
          <w:i/>
          <w:iCs/>
          <w:sz w:val="28"/>
          <w:szCs w:val="28"/>
        </w:rPr>
        <w:t xml:space="preserve">See, e.g., </w:t>
      </w:r>
      <w:r w:rsidR="002A16DC">
        <w:rPr>
          <w:i/>
          <w:iCs/>
          <w:sz w:val="28"/>
          <w:szCs w:val="28"/>
        </w:rPr>
        <w:t>Application</w:t>
      </w:r>
      <w:r w:rsidR="005A0CF6">
        <w:rPr>
          <w:i/>
          <w:iCs/>
          <w:sz w:val="28"/>
          <w:szCs w:val="28"/>
        </w:rPr>
        <w:t xml:space="preserve"> </w:t>
      </w:r>
      <w:r w:rsidR="00CD0062" w:rsidRPr="00CD0062">
        <w:rPr>
          <w:i/>
          <w:iCs/>
          <w:sz w:val="28"/>
          <w:szCs w:val="28"/>
        </w:rPr>
        <w:t>of Burke, 87 Ariz. 336, 351 P.2d 169, 172 (1960</w:t>
      </w:r>
      <w:r w:rsidR="00CD0062">
        <w:rPr>
          <w:i/>
          <w:iCs/>
          <w:sz w:val="28"/>
          <w:szCs w:val="28"/>
        </w:rPr>
        <w:t>;</w:t>
      </w:r>
      <w:r w:rsidR="00CD0062" w:rsidRPr="00CD0062">
        <w:rPr>
          <w:i/>
          <w:iCs/>
          <w:sz w:val="28"/>
          <w:szCs w:val="28"/>
        </w:rPr>
        <w:t>)</w:t>
      </w:r>
      <w:r w:rsidR="00DA0E54">
        <w:rPr>
          <w:rStyle w:val="FootnoteReference"/>
          <w:i/>
          <w:iCs/>
          <w:sz w:val="28"/>
          <w:szCs w:val="28"/>
        </w:rPr>
        <w:footnoteReference w:id="1"/>
      </w:r>
      <w:r w:rsidR="002A16DC">
        <w:rPr>
          <w:i/>
          <w:iCs/>
          <w:sz w:val="28"/>
          <w:szCs w:val="28"/>
        </w:rPr>
        <w:t xml:space="preserve"> </w:t>
      </w:r>
      <w:r w:rsidR="00392409" w:rsidRPr="00392409">
        <w:rPr>
          <w:i/>
          <w:iCs/>
          <w:sz w:val="28"/>
          <w:szCs w:val="28"/>
        </w:rPr>
        <w:t>Application of Guberman</w:t>
      </w:r>
      <w:r w:rsidR="00392409" w:rsidRPr="00392409">
        <w:rPr>
          <w:sz w:val="28"/>
          <w:szCs w:val="28"/>
        </w:rPr>
        <w:t>, 90 Ariz. 27, 363 P.2d 617 (1961)</w:t>
      </w:r>
      <w:r w:rsidR="00280580">
        <w:rPr>
          <w:sz w:val="28"/>
          <w:szCs w:val="28"/>
        </w:rPr>
        <w:t xml:space="preserve">.  </w:t>
      </w:r>
      <w:r w:rsidR="004C39C9">
        <w:rPr>
          <w:sz w:val="28"/>
          <w:szCs w:val="28"/>
        </w:rPr>
        <w:t xml:space="preserve">Notably, Petition 10-0019 </w:t>
      </w:r>
      <w:r w:rsidR="00DF1CDE">
        <w:rPr>
          <w:sz w:val="28"/>
          <w:szCs w:val="28"/>
        </w:rPr>
        <w:t xml:space="preserve">included </w:t>
      </w:r>
      <w:r w:rsidR="000803A0">
        <w:rPr>
          <w:sz w:val="28"/>
          <w:szCs w:val="28"/>
        </w:rPr>
        <w:t xml:space="preserve">language </w:t>
      </w:r>
      <w:r w:rsidR="00DF1CDE">
        <w:rPr>
          <w:sz w:val="28"/>
          <w:szCs w:val="28"/>
        </w:rPr>
        <w:t>similar to that set forth above</w:t>
      </w:r>
      <w:r w:rsidR="00204E32">
        <w:rPr>
          <w:sz w:val="28"/>
          <w:szCs w:val="28"/>
        </w:rPr>
        <w:t xml:space="preserve"> (no use of “anonymous” information)</w:t>
      </w:r>
      <w:r w:rsidR="009B42C3">
        <w:rPr>
          <w:sz w:val="28"/>
          <w:szCs w:val="28"/>
        </w:rPr>
        <w:t>, yet Mark Harrison still had concerns that it was not strong enough.  He was concerned about something like this happening.</w:t>
      </w:r>
      <w:r w:rsidR="007147D9">
        <w:rPr>
          <w:sz w:val="28"/>
          <w:szCs w:val="28"/>
        </w:rPr>
        <w:t xml:space="preserve">  His comment</w:t>
      </w:r>
      <w:r w:rsidR="00010460">
        <w:rPr>
          <w:sz w:val="28"/>
          <w:szCs w:val="28"/>
        </w:rPr>
        <w:t xml:space="preserve"> recommended that the Court add specific language </w:t>
      </w:r>
      <w:r w:rsidR="003045F6">
        <w:rPr>
          <w:sz w:val="28"/>
          <w:szCs w:val="28"/>
        </w:rPr>
        <w:t>to Rule 36 (e) and (f) as follows:</w:t>
      </w:r>
    </w:p>
    <w:p w14:paraId="42BC0AD3" w14:textId="0BAF5FDC" w:rsidR="00A13319" w:rsidRDefault="003215DC" w:rsidP="00A13319">
      <w:pPr>
        <w:autoSpaceDE w:val="0"/>
        <w:autoSpaceDN w:val="0"/>
        <w:adjustRightInd w:val="0"/>
        <w:spacing w:line="240" w:lineRule="auto"/>
        <w:ind w:left="720" w:right="720" w:firstLine="0"/>
        <w:jc w:val="both"/>
        <w:rPr>
          <w:rFonts w:ascii="Times New Roman" w:hAnsi="Times New Roman" w:cs="Times New Roman"/>
          <w:sz w:val="26"/>
          <w:szCs w:val="26"/>
        </w:rPr>
      </w:pPr>
      <w:r w:rsidRPr="003215DC">
        <w:rPr>
          <w:rFonts w:ascii="Times New Roman" w:hAnsi="Times New Roman" w:cs="Times New Roman"/>
          <w:sz w:val="26"/>
          <w:szCs w:val="26"/>
        </w:rPr>
        <w:t>When information is submitted by potential witnesses, the staff should initially</w:t>
      </w:r>
      <w:r>
        <w:rPr>
          <w:rFonts w:ascii="Times New Roman" w:hAnsi="Times New Roman" w:cs="Times New Roman"/>
          <w:sz w:val="26"/>
          <w:szCs w:val="26"/>
        </w:rPr>
        <w:t xml:space="preserve"> </w:t>
      </w:r>
      <w:r w:rsidRPr="003215DC">
        <w:rPr>
          <w:rFonts w:ascii="Times New Roman" w:hAnsi="Times New Roman" w:cs="Times New Roman"/>
          <w:sz w:val="26"/>
          <w:szCs w:val="26"/>
        </w:rPr>
        <w:t>determine whether the witness will agree to have his or her identity disclosed to the</w:t>
      </w:r>
      <w:r>
        <w:rPr>
          <w:rFonts w:ascii="Times New Roman" w:hAnsi="Times New Roman" w:cs="Times New Roman"/>
          <w:sz w:val="26"/>
          <w:szCs w:val="26"/>
        </w:rPr>
        <w:t xml:space="preserve"> </w:t>
      </w:r>
      <w:r w:rsidRPr="003215DC">
        <w:rPr>
          <w:rFonts w:ascii="Times New Roman" w:hAnsi="Times New Roman" w:cs="Times New Roman"/>
          <w:sz w:val="26"/>
          <w:szCs w:val="26"/>
        </w:rPr>
        <w:t>applicant and agree to the disclosure of the information submitted by the witness. If</w:t>
      </w:r>
      <w:r>
        <w:rPr>
          <w:rFonts w:ascii="Times New Roman" w:hAnsi="Times New Roman" w:cs="Times New Roman"/>
          <w:sz w:val="26"/>
          <w:szCs w:val="26"/>
        </w:rPr>
        <w:t xml:space="preserve"> </w:t>
      </w:r>
      <w:r w:rsidRPr="003215DC">
        <w:rPr>
          <w:rFonts w:ascii="Times New Roman" w:hAnsi="Times New Roman" w:cs="Times New Roman"/>
          <w:sz w:val="26"/>
          <w:szCs w:val="26"/>
        </w:rPr>
        <w:t xml:space="preserve">the witness will not waive confidentiality and provide that agreement, </w:t>
      </w:r>
      <w:r w:rsidRPr="003215DC">
        <w:rPr>
          <w:rFonts w:ascii="Times New Roman" w:hAnsi="Times New Roman" w:cs="Times New Roman"/>
          <w:i/>
          <w:iCs/>
          <w:sz w:val="26"/>
          <w:szCs w:val="26"/>
        </w:rPr>
        <w:t>the</w:t>
      </w:r>
      <w:r>
        <w:rPr>
          <w:rFonts w:ascii="Times New Roman" w:hAnsi="Times New Roman" w:cs="Times New Roman"/>
          <w:sz w:val="26"/>
          <w:szCs w:val="26"/>
        </w:rPr>
        <w:t xml:space="preserve"> </w:t>
      </w:r>
      <w:r w:rsidRPr="003215DC">
        <w:rPr>
          <w:rFonts w:ascii="Times New Roman" w:hAnsi="Times New Roman" w:cs="Times New Roman"/>
          <w:i/>
          <w:iCs/>
          <w:sz w:val="26"/>
          <w:szCs w:val="26"/>
        </w:rPr>
        <w:t>information should not be distributed or accessible to members of the Committee.</w:t>
      </w:r>
    </w:p>
    <w:p w14:paraId="4C118C63" w14:textId="77777777" w:rsidR="00A13319" w:rsidRPr="00A13319" w:rsidRDefault="00A13319" w:rsidP="00A13319">
      <w:pPr>
        <w:autoSpaceDE w:val="0"/>
        <w:autoSpaceDN w:val="0"/>
        <w:adjustRightInd w:val="0"/>
        <w:spacing w:line="240" w:lineRule="auto"/>
        <w:ind w:left="720" w:right="720" w:firstLine="0"/>
        <w:jc w:val="both"/>
        <w:rPr>
          <w:rFonts w:ascii="Times New Roman" w:hAnsi="Times New Roman" w:cs="Times New Roman"/>
          <w:sz w:val="26"/>
          <w:szCs w:val="26"/>
        </w:rPr>
      </w:pPr>
    </w:p>
    <w:p w14:paraId="378C200F" w14:textId="6A6C92CE" w:rsidR="002B3CBD" w:rsidRDefault="00D957D2" w:rsidP="003215DC">
      <w:pPr>
        <w:ind w:firstLine="0"/>
        <w:jc w:val="both"/>
        <w:rPr>
          <w:sz w:val="28"/>
          <w:szCs w:val="28"/>
        </w:rPr>
      </w:pPr>
      <w:r w:rsidRPr="00D957D2">
        <w:rPr>
          <w:i/>
          <w:iCs/>
          <w:sz w:val="28"/>
          <w:szCs w:val="28"/>
        </w:rPr>
        <w:t>See</w:t>
      </w:r>
      <w:r>
        <w:rPr>
          <w:sz w:val="28"/>
          <w:szCs w:val="28"/>
        </w:rPr>
        <w:t xml:space="preserve"> </w:t>
      </w:r>
      <w:r w:rsidR="00A13319">
        <w:rPr>
          <w:sz w:val="28"/>
          <w:szCs w:val="28"/>
        </w:rPr>
        <w:t>Harrison Memo, April 15, 2011, available on the Rules Forum and copy included here.</w:t>
      </w:r>
      <w:r w:rsidR="00A04EB8">
        <w:rPr>
          <w:sz w:val="28"/>
          <w:szCs w:val="28"/>
        </w:rPr>
        <w:t xml:space="preserve">  My comment at the time echoed M</w:t>
      </w:r>
      <w:r w:rsidR="00C72052">
        <w:rPr>
          <w:sz w:val="28"/>
          <w:szCs w:val="28"/>
        </w:rPr>
        <w:t>r. Harrison’s concerns on that issue.</w:t>
      </w:r>
    </w:p>
    <w:p w14:paraId="2EECD40D" w14:textId="21F8B81E" w:rsidR="006E6055" w:rsidRDefault="006E6055" w:rsidP="00EC58DD">
      <w:pPr>
        <w:ind w:firstLine="720"/>
        <w:jc w:val="both"/>
        <w:rPr>
          <w:sz w:val="28"/>
          <w:szCs w:val="28"/>
        </w:rPr>
      </w:pPr>
      <w:r>
        <w:rPr>
          <w:sz w:val="28"/>
          <w:szCs w:val="28"/>
        </w:rPr>
        <w:t xml:space="preserve">The Court did not add the “extra” </w:t>
      </w:r>
      <w:r w:rsidR="00A73F6B">
        <w:rPr>
          <w:sz w:val="28"/>
          <w:szCs w:val="28"/>
        </w:rPr>
        <w:t>caution</w:t>
      </w:r>
      <w:r w:rsidR="00E30199">
        <w:rPr>
          <w:sz w:val="28"/>
          <w:szCs w:val="28"/>
        </w:rPr>
        <w:t>ary language</w:t>
      </w:r>
      <w:r w:rsidR="00A73F6B">
        <w:rPr>
          <w:sz w:val="28"/>
          <w:szCs w:val="28"/>
        </w:rPr>
        <w:t xml:space="preserve"> suggested by Mr. Harrison.  Perhaps </w:t>
      </w:r>
      <w:r w:rsidR="00E30199">
        <w:rPr>
          <w:sz w:val="28"/>
          <w:szCs w:val="28"/>
        </w:rPr>
        <w:t xml:space="preserve">the Court should consider it now.  In </w:t>
      </w:r>
      <w:r w:rsidR="00C72052">
        <w:rPr>
          <w:sz w:val="28"/>
          <w:szCs w:val="28"/>
        </w:rPr>
        <w:t>my</w:t>
      </w:r>
      <w:r w:rsidR="00E30199">
        <w:rPr>
          <w:sz w:val="28"/>
          <w:szCs w:val="28"/>
        </w:rPr>
        <w:t xml:space="preserve"> opinion, though, it is the loss of the disclosure requirement that </w:t>
      </w:r>
      <w:r w:rsidR="000A6819">
        <w:rPr>
          <w:sz w:val="28"/>
          <w:szCs w:val="28"/>
        </w:rPr>
        <w:t xml:space="preserve">is the main problem.  If that language were </w:t>
      </w:r>
      <w:r w:rsidR="001C306A">
        <w:rPr>
          <w:sz w:val="28"/>
          <w:szCs w:val="28"/>
        </w:rPr>
        <w:t xml:space="preserve">put back in, it seems that would reinforce that “confidential” negative reports cannot be </w:t>
      </w:r>
      <w:r w:rsidR="00E96E68">
        <w:rPr>
          <w:sz w:val="28"/>
          <w:szCs w:val="28"/>
        </w:rPr>
        <w:t>referenced if they cannot be disclosed</w:t>
      </w:r>
      <w:r w:rsidR="001C306A">
        <w:rPr>
          <w:sz w:val="28"/>
          <w:szCs w:val="28"/>
        </w:rPr>
        <w:t>.</w:t>
      </w:r>
      <w:r w:rsidR="00D957D2">
        <w:rPr>
          <w:sz w:val="28"/>
          <w:szCs w:val="28"/>
        </w:rPr>
        <w:t xml:space="preserve">  </w:t>
      </w:r>
      <w:r w:rsidR="00C72052">
        <w:rPr>
          <w:sz w:val="28"/>
          <w:szCs w:val="28"/>
        </w:rPr>
        <w:t xml:space="preserve">  </w:t>
      </w:r>
    </w:p>
    <w:p w14:paraId="43130183" w14:textId="4138DA5B" w:rsidR="00C31EED" w:rsidRDefault="00C03424" w:rsidP="00C31EED">
      <w:pPr>
        <w:ind w:firstLine="720"/>
        <w:jc w:val="both"/>
        <w:rPr>
          <w:sz w:val="28"/>
          <w:szCs w:val="28"/>
        </w:rPr>
      </w:pPr>
      <w:r>
        <w:rPr>
          <w:sz w:val="28"/>
          <w:szCs w:val="28"/>
        </w:rPr>
        <w:t xml:space="preserve">Because </w:t>
      </w:r>
      <w:r w:rsidR="005B3FAF">
        <w:rPr>
          <w:sz w:val="28"/>
          <w:szCs w:val="28"/>
        </w:rPr>
        <w:t xml:space="preserve">Petition </w:t>
      </w:r>
      <w:r w:rsidR="00542245">
        <w:rPr>
          <w:sz w:val="28"/>
          <w:szCs w:val="28"/>
        </w:rPr>
        <w:t>R-</w:t>
      </w:r>
      <w:r w:rsidR="005B3FAF">
        <w:rPr>
          <w:sz w:val="28"/>
          <w:szCs w:val="28"/>
        </w:rPr>
        <w:t xml:space="preserve">14-0011 did not </w:t>
      </w:r>
      <w:r w:rsidR="0008262E">
        <w:rPr>
          <w:sz w:val="28"/>
          <w:szCs w:val="28"/>
        </w:rPr>
        <w:t>discuss</w:t>
      </w:r>
      <w:r w:rsidR="005B3FAF">
        <w:rPr>
          <w:sz w:val="28"/>
          <w:szCs w:val="28"/>
        </w:rPr>
        <w:t xml:space="preserve"> </w:t>
      </w:r>
      <w:r w:rsidR="00F61C14">
        <w:rPr>
          <w:sz w:val="28"/>
          <w:szCs w:val="28"/>
        </w:rPr>
        <w:t xml:space="preserve">or analyze </w:t>
      </w:r>
      <w:r w:rsidR="005B3FAF">
        <w:rPr>
          <w:sz w:val="28"/>
          <w:szCs w:val="28"/>
        </w:rPr>
        <w:t xml:space="preserve">due process </w:t>
      </w:r>
      <w:r w:rsidR="00F61C14">
        <w:rPr>
          <w:sz w:val="28"/>
          <w:szCs w:val="28"/>
        </w:rPr>
        <w:t xml:space="preserve">concerns about </w:t>
      </w:r>
      <w:r w:rsidR="0008262E">
        <w:rPr>
          <w:sz w:val="28"/>
          <w:szCs w:val="28"/>
        </w:rPr>
        <w:t>removing disclosure</w:t>
      </w:r>
      <w:r w:rsidR="005B3FAF">
        <w:rPr>
          <w:sz w:val="28"/>
          <w:szCs w:val="28"/>
        </w:rPr>
        <w:t>, it is difficult</w:t>
      </w:r>
      <w:r w:rsidR="00F61C14">
        <w:rPr>
          <w:sz w:val="28"/>
          <w:szCs w:val="28"/>
        </w:rPr>
        <w:t xml:space="preserve"> to </w:t>
      </w:r>
      <w:r w:rsidR="00E81EB2">
        <w:rPr>
          <w:sz w:val="28"/>
          <w:szCs w:val="28"/>
        </w:rPr>
        <w:t xml:space="preserve">address any potential argument.  </w:t>
      </w:r>
      <w:r w:rsidR="00C31EED">
        <w:rPr>
          <w:sz w:val="28"/>
          <w:szCs w:val="28"/>
        </w:rPr>
        <w:t xml:space="preserve">It may have </w:t>
      </w:r>
      <w:r w:rsidR="00E37864">
        <w:rPr>
          <w:sz w:val="28"/>
          <w:szCs w:val="28"/>
        </w:rPr>
        <w:t xml:space="preserve">just </w:t>
      </w:r>
      <w:r w:rsidR="00C31EED">
        <w:rPr>
          <w:sz w:val="28"/>
          <w:szCs w:val="28"/>
        </w:rPr>
        <w:t xml:space="preserve">been an oversight.  However, if the Committee believes that due process does not apply to informal inquiries, presumably it will respond to this Petition with </w:t>
      </w:r>
      <w:r w:rsidR="00542245">
        <w:rPr>
          <w:sz w:val="28"/>
          <w:szCs w:val="28"/>
        </w:rPr>
        <w:t>its</w:t>
      </w:r>
      <w:r w:rsidR="00C31EED">
        <w:rPr>
          <w:sz w:val="28"/>
          <w:szCs w:val="28"/>
        </w:rPr>
        <w:t xml:space="preserve"> reasoning</w:t>
      </w:r>
      <w:r w:rsidR="007C33F8">
        <w:rPr>
          <w:sz w:val="28"/>
          <w:szCs w:val="28"/>
        </w:rPr>
        <w:t>.</w:t>
      </w:r>
    </w:p>
    <w:p w14:paraId="0912CAA2" w14:textId="723BBB16" w:rsidR="0016330E" w:rsidRDefault="00C31EED" w:rsidP="0069393D">
      <w:pPr>
        <w:ind w:firstLine="720"/>
        <w:jc w:val="both"/>
        <w:rPr>
          <w:sz w:val="28"/>
          <w:szCs w:val="28"/>
        </w:rPr>
      </w:pPr>
      <w:r>
        <w:rPr>
          <w:color w:val="000000"/>
          <w:sz w:val="28"/>
          <w:szCs w:val="28"/>
        </w:rPr>
        <w:t>In Petitioner’s opinion, t</w:t>
      </w:r>
      <w:r w:rsidR="0016330E">
        <w:rPr>
          <w:color w:val="000000"/>
          <w:sz w:val="28"/>
          <w:szCs w:val="28"/>
        </w:rPr>
        <w:t xml:space="preserve">he rules need to align with the case law.  There is no reason </w:t>
      </w:r>
      <w:r w:rsidR="00C04DC6">
        <w:rPr>
          <w:color w:val="000000"/>
          <w:sz w:val="28"/>
          <w:szCs w:val="28"/>
        </w:rPr>
        <w:t>P</w:t>
      </w:r>
      <w:r w:rsidR="0016330E">
        <w:rPr>
          <w:color w:val="000000"/>
          <w:sz w:val="28"/>
          <w:szCs w:val="28"/>
        </w:rPr>
        <w:t>etition</w:t>
      </w:r>
      <w:r w:rsidR="00C04DC6">
        <w:rPr>
          <w:color w:val="000000"/>
          <w:sz w:val="28"/>
          <w:szCs w:val="28"/>
        </w:rPr>
        <w:t>er</w:t>
      </w:r>
      <w:r w:rsidR="0016330E">
        <w:rPr>
          <w:color w:val="000000"/>
          <w:sz w:val="28"/>
          <w:szCs w:val="28"/>
        </w:rPr>
        <w:t xml:space="preserve"> can think of why the use of “secret” reports against an applicant should be acceptable in either an informal inquiry or a formal hearing</w:t>
      </w:r>
      <w:r w:rsidR="00C04DC6">
        <w:rPr>
          <w:color w:val="000000"/>
          <w:sz w:val="28"/>
          <w:szCs w:val="28"/>
        </w:rPr>
        <w:t xml:space="preserve">, or why negative </w:t>
      </w:r>
      <w:r w:rsidR="00B83978">
        <w:rPr>
          <w:color w:val="000000"/>
          <w:sz w:val="28"/>
          <w:szCs w:val="28"/>
        </w:rPr>
        <w:t xml:space="preserve">reports (such as job references or </w:t>
      </w:r>
      <w:r w:rsidR="00E41E3F">
        <w:rPr>
          <w:color w:val="000000"/>
          <w:sz w:val="28"/>
          <w:szCs w:val="28"/>
        </w:rPr>
        <w:t xml:space="preserve">letters about the applicant) should </w:t>
      </w:r>
      <w:r w:rsidR="003340EC">
        <w:rPr>
          <w:color w:val="000000"/>
          <w:sz w:val="28"/>
          <w:szCs w:val="28"/>
        </w:rPr>
        <w:t>not be disclosed to an applicant in advance of a hearing, “informal” or not</w:t>
      </w:r>
      <w:r w:rsidR="0016330E">
        <w:rPr>
          <w:color w:val="000000"/>
          <w:sz w:val="28"/>
          <w:szCs w:val="28"/>
        </w:rPr>
        <w:t>.</w:t>
      </w:r>
      <w:r w:rsidR="003340EC">
        <w:rPr>
          <w:color w:val="000000"/>
          <w:sz w:val="28"/>
          <w:szCs w:val="28"/>
        </w:rPr>
        <w:t xml:space="preserve">  Informal inquiries, regardless of their title, are not informal to the applicant.  The applicant has spent years of preparation and </w:t>
      </w:r>
      <w:r w:rsidR="00026227">
        <w:rPr>
          <w:color w:val="000000"/>
          <w:sz w:val="28"/>
          <w:szCs w:val="28"/>
        </w:rPr>
        <w:t>in m</w:t>
      </w:r>
      <w:r w:rsidR="00142F39">
        <w:rPr>
          <w:color w:val="000000"/>
          <w:sz w:val="28"/>
          <w:szCs w:val="28"/>
        </w:rPr>
        <w:t>ost</w:t>
      </w:r>
      <w:r w:rsidR="00026227">
        <w:rPr>
          <w:color w:val="000000"/>
          <w:sz w:val="28"/>
          <w:szCs w:val="28"/>
        </w:rPr>
        <w:t xml:space="preserve"> cases a lot of money to get to the point of </w:t>
      </w:r>
      <w:r w:rsidR="00026227">
        <w:rPr>
          <w:color w:val="000000"/>
          <w:sz w:val="28"/>
          <w:szCs w:val="28"/>
        </w:rPr>
        <w:lastRenderedPageBreak/>
        <w:t xml:space="preserve">applying for admission.  </w:t>
      </w:r>
      <w:r>
        <w:rPr>
          <w:color w:val="000000"/>
          <w:sz w:val="28"/>
          <w:szCs w:val="28"/>
        </w:rPr>
        <w:t xml:space="preserve">It is </w:t>
      </w:r>
      <w:r w:rsidR="000137E7">
        <w:rPr>
          <w:color w:val="000000"/>
          <w:sz w:val="28"/>
          <w:szCs w:val="28"/>
        </w:rPr>
        <w:t>extremely</w:t>
      </w:r>
      <w:r>
        <w:rPr>
          <w:color w:val="000000"/>
          <w:sz w:val="28"/>
          <w:szCs w:val="28"/>
        </w:rPr>
        <w:t xml:space="preserve"> serious to the applican</w:t>
      </w:r>
      <w:r w:rsidR="000D292E">
        <w:rPr>
          <w:color w:val="000000"/>
          <w:sz w:val="28"/>
          <w:szCs w:val="28"/>
        </w:rPr>
        <w:t>t, and t</w:t>
      </w:r>
      <w:r w:rsidR="00F62D28">
        <w:rPr>
          <w:color w:val="000000"/>
          <w:sz w:val="28"/>
          <w:szCs w:val="28"/>
        </w:rPr>
        <w:t xml:space="preserve">hey are </w:t>
      </w:r>
      <w:r w:rsidR="00F222FC">
        <w:rPr>
          <w:color w:val="000000"/>
          <w:sz w:val="28"/>
          <w:szCs w:val="28"/>
        </w:rPr>
        <w:t xml:space="preserve">usually very nervous about this “informal” meeting with </w:t>
      </w:r>
      <w:r w:rsidR="0069393D">
        <w:rPr>
          <w:color w:val="000000"/>
          <w:sz w:val="28"/>
          <w:szCs w:val="28"/>
        </w:rPr>
        <w:t>four members of the Committee</w:t>
      </w:r>
      <w:r w:rsidR="0001219F">
        <w:rPr>
          <w:sz w:val="28"/>
          <w:szCs w:val="28"/>
        </w:rPr>
        <w:t>.</w:t>
      </w:r>
      <w:r w:rsidR="00E37864">
        <w:rPr>
          <w:sz w:val="28"/>
          <w:szCs w:val="28"/>
        </w:rPr>
        <w:t xml:space="preserve">  If they are unsuccessful in the informal inquiry, </w:t>
      </w:r>
      <w:r w:rsidR="00B214B7">
        <w:rPr>
          <w:sz w:val="28"/>
          <w:szCs w:val="28"/>
        </w:rPr>
        <w:t>that has real consequences—it results in a formal hearin</w:t>
      </w:r>
      <w:r w:rsidR="008E4768">
        <w:rPr>
          <w:sz w:val="28"/>
          <w:szCs w:val="28"/>
        </w:rPr>
        <w:t>g, at minimum.</w:t>
      </w:r>
    </w:p>
    <w:p w14:paraId="73770A19" w14:textId="25FBE3C2" w:rsidR="00A170AA" w:rsidRPr="00AC427D" w:rsidRDefault="00A170AA" w:rsidP="00A170AA">
      <w:pPr>
        <w:ind w:firstLine="0"/>
        <w:jc w:val="center"/>
        <w:rPr>
          <w:b/>
          <w:bCs/>
          <w:color w:val="000000"/>
          <w:sz w:val="28"/>
          <w:szCs w:val="28"/>
          <w:u w:val="single"/>
        </w:rPr>
      </w:pPr>
      <w:r w:rsidRPr="00AC427D">
        <w:rPr>
          <w:b/>
          <w:bCs/>
          <w:color w:val="000000"/>
          <w:sz w:val="28"/>
          <w:szCs w:val="28"/>
          <w:u w:val="single"/>
        </w:rPr>
        <w:t>CONCLUSION</w:t>
      </w:r>
    </w:p>
    <w:p w14:paraId="5FF7374B" w14:textId="111E77C1" w:rsidR="009C3595" w:rsidRPr="00DE620B" w:rsidRDefault="00B630FE" w:rsidP="00DE620B">
      <w:pPr>
        <w:ind w:firstLine="720"/>
        <w:jc w:val="both"/>
        <w:rPr>
          <w:color w:val="000000"/>
          <w:sz w:val="28"/>
          <w:szCs w:val="28"/>
        </w:rPr>
      </w:pPr>
      <w:r>
        <w:rPr>
          <w:color w:val="000000"/>
          <w:sz w:val="28"/>
          <w:szCs w:val="28"/>
        </w:rPr>
        <w:t xml:space="preserve">It took considerable work on the part of many to get the disclosure provisions added to the rules in 2011.  </w:t>
      </w:r>
      <w:r w:rsidR="00023779">
        <w:rPr>
          <w:color w:val="000000"/>
          <w:sz w:val="28"/>
          <w:szCs w:val="28"/>
        </w:rPr>
        <w:t>Those provisions were, and are, important</w:t>
      </w:r>
      <w:r w:rsidR="00DE620B">
        <w:rPr>
          <w:color w:val="000000"/>
          <w:sz w:val="28"/>
          <w:szCs w:val="28"/>
        </w:rPr>
        <w:t xml:space="preserve"> to fundamental fairness</w:t>
      </w:r>
      <w:r w:rsidR="00023779">
        <w:rPr>
          <w:color w:val="000000"/>
          <w:sz w:val="28"/>
          <w:szCs w:val="28"/>
        </w:rPr>
        <w:t xml:space="preserve">.  </w:t>
      </w:r>
      <w:r w:rsidR="003530D4">
        <w:rPr>
          <w:color w:val="000000"/>
          <w:sz w:val="28"/>
          <w:szCs w:val="28"/>
        </w:rPr>
        <w:t xml:space="preserve">Petitioner </w:t>
      </w:r>
      <w:r w:rsidR="009B5579" w:rsidRPr="006F63FD">
        <w:rPr>
          <w:sz w:val="28"/>
          <w:szCs w:val="28"/>
        </w:rPr>
        <w:t>respectfully request</w:t>
      </w:r>
      <w:r w:rsidR="009B5579">
        <w:rPr>
          <w:sz w:val="28"/>
          <w:szCs w:val="28"/>
        </w:rPr>
        <w:t>s</w:t>
      </w:r>
      <w:r w:rsidR="009B5579" w:rsidRPr="006F63FD">
        <w:rPr>
          <w:sz w:val="28"/>
          <w:szCs w:val="28"/>
        </w:rPr>
        <w:t xml:space="preserve"> </w:t>
      </w:r>
      <w:r w:rsidR="009B5579">
        <w:rPr>
          <w:sz w:val="28"/>
          <w:szCs w:val="28"/>
        </w:rPr>
        <w:t>amendment of Rule 36</w:t>
      </w:r>
      <w:r w:rsidR="006C5C5D">
        <w:rPr>
          <w:sz w:val="28"/>
          <w:szCs w:val="28"/>
        </w:rPr>
        <w:t>(e)</w:t>
      </w:r>
      <w:r w:rsidR="009B5579">
        <w:rPr>
          <w:sz w:val="28"/>
          <w:szCs w:val="28"/>
        </w:rPr>
        <w:t xml:space="preserve">, Ariz. R. Sup. Ct., for the reasons stated </w:t>
      </w:r>
      <w:r w:rsidR="00AC427D">
        <w:rPr>
          <w:sz w:val="28"/>
          <w:szCs w:val="28"/>
        </w:rPr>
        <w:t>above</w:t>
      </w:r>
      <w:r w:rsidR="009B5579">
        <w:rPr>
          <w:sz w:val="28"/>
          <w:szCs w:val="28"/>
        </w:rPr>
        <w:t xml:space="preserve"> and as proposed in </w:t>
      </w:r>
      <w:r w:rsidR="008B1B6F">
        <w:rPr>
          <w:sz w:val="28"/>
          <w:szCs w:val="28"/>
        </w:rPr>
        <w:t>Appendix</w:t>
      </w:r>
      <w:r w:rsidR="009B5579">
        <w:rPr>
          <w:sz w:val="28"/>
          <w:szCs w:val="28"/>
        </w:rPr>
        <w:t xml:space="preserve"> A submitted with this petition.</w:t>
      </w:r>
    </w:p>
    <w:p w14:paraId="74828D28" w14:textId="77A8B849" w:rsidR="009F0E74" w:rsidRDefault="00486644" w:rsidP="0001219F">
      <w:pPr>
        <w:pStyle w:val="Date"/>
        <w:ind w:left="720" w:firstLine="720"/>
        <w:rPr>
          <w:sz w:val="28"/>
          <w:szCs w:val="28"/>
        </w:rPr>
      </w:pPr>
      <w:r>
        <w:rPr>
          <w:sz w:val="28"/>
          <w:szCs w:val="28"/>
        </w:rPr>
        <w:t xml:space="preserve">Respectfully submitted this </w:t>
      </w:r>
      <w:r w:rsidR="00B94813">
        <w:rPr>
          <w:sz w:val="28"/>
          <w:szCs w:val="28"/>
        </w:rPr>
        <w:t>_</w:t>
      </w:r>
      <w:r w:rsidR="00A134E4">
        <w:rPr>
          <w:sz w:val="28"/>
          <w:szCs w:val="28"/>
        </w:rPr>
        <w:t>20th</w:t>
      </w:r>
      <w:r w:rsidR="00B94813">
        <w:rPr>
          <w:sz w:val="28"/>
          <w:szCs w:val="28"/>
        </w:rPr>
        <w:t>_</w:t>
      </w:r>
      <w:r>
        <w:rPr>
          <w:sz w:val="28"/>
          <w:szCs w:val="28"/>
        </w:rPr>
        <w:t xml:space="preserve"> day</w:t>
      </w:r>
      <w:r w:rsidR="00AE557D" w:rsidRPr="0013271D">
        <w:rPr>
          <w:sz w:val="28"/>
          <w:szCs w:val="28"/>
        </w:rPr>
        <w:t xml:space="preserve"> </w:t>
      </w:r>
      <w:r w:rsidR="00B425C8">
        <w:rPr>
          <w:sz w:val="28"/>
          <w:szCs w:val="28"/>
        </w:rPr>
        <w:t xml:space="preserve">of </w:t>
      </w:r>
      <w:r w:rsidR="00A134E4">
        <w:rPr>
          <w:sz w:val="28"/>
          <w:szCs w:val="28"/>
        </w:rPr>
        <w:t>January</w:t>
      </w:r>
      <w:r w:rsidR="00FE2E3F" w:rsidRPr="0013271D">
        <w:rPr>
          <w:sz w:val="28"/>
          <w:szCs w:val="28"/>
        </w:rPr>
        <w:t>,</w:t>
      </w:r>
      <w:r>
        <w:rPr>
          <w:sz w:val="28"/>
          <w:szCs w:val="28"/>
        </w:rPr>
        <w:t xml:space="preserve"> 202</w:t>
      </w:r>
      <w:r w:rsidR="006C5C5D">
        <w:rPr>
          <w:sz w:val="28"/>
          <w:szCs w:val="28"/>
        </w:rPr>
        <w:t>5</w:t>
      </w:r>
      <w:r w:rsidR="00FE2E3F" w:rsidRPr="0013271D">
        <w:rPr>
          <w:sz w:val="28"/>
          <w:szCs w:val="28"/>
        </w:rPr>
        <w:t>.</w:t>
      </w:r>
    </w:p>
    <w:p w14:paraId="582807FF" w14:textId="78B1AD0A" w:rsidR="000F46A9" w:rsidRDefault="00D542FD" w:rsidP="000F46A9">
      <w:r>
        <w:tab/>
      </w:r>
      <w:r>
        <w:tab/>
      </w:r>
      <w:r>
        <w:tab/>
      </w:r>
      <w:r>
        <w:tab/>
      </w:r>
      <w:r>
        <w:tab/>
      </w:r>
      <w:r>
        <w:rPr>
          <w:noProof/>
        </w:rPr>
        <w:drawing>
          <wp:inline distT="0" distB="0" distL="0" distR="0" wp14:anchorId="38663A67" wp14:editId="5D755102">
            <wp:extent cx="207645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400050"/>
                    </a:xfrm>
                    <a:prstGeom prst="rect">
                      <a:avLst/>
                    </a:prstGeom>
                    <a:noFill/>
                  </pic:spPr>
                </pic:pic>
              </a:graphicData>
            </a:graphic>
          </wp:inline>
        </w:drawing>
      </w:r>
    </w:p>
    <w:p w14:paraId="123C3F9C" w14:textId="77777777" w:rsidR="000F46A9" w:rsidRPr="000F46A9" w:rsidRDefault="000F46A9" w:rsidP="000F46A9"/>
    <w:tbl>
      <w:tblPr>
        <w:tblStyle w:val="TableGrid"/>
        <w:tblW w:w="2475" w:type="pct"/>
        <w:tblInd w:w="4637" w:type="dxa"/>
        <w:tblBorders>
          <w:left w:val="none" w:sz="0" w:space="0" w:color="auto"/>
          <w:bottom w:val="none" w:sz="0" w:space="0" w:color="auto"/>
          <w:right w:val="none" w:sz="0" w:space="0" w:color="auto"/>
        </w:tblBorders>
        <w:tblLook w:val="0620" w:firstRow="1" w:lastRow="0" w:firstColumn="0" w:lastColumn="0" w:noHBand="1" w:noVBand="1"/>
        <w:tblDescription w:val="Layout table for signature"/>
      </w:tblPr>
      <w:tblGrid>
        <w:gridCol w:w="4633"/>
      </w:tblGrid>
      <w:tr w:rsidR="00396944" w:rsidRPr="0013271D" w14:paraId="52711836" w14:textId="77777777" w:rsidTr="00895FB1">
        <w:tc>
          <w:tcPr>
            <w:tcW w:w="9350" w:type="dxa"/>
          </w:tcPr>
          <w:p w14:paraId="4F6E3842" w14:textId="2FF52AEA" w:rsidR="00396944" w:rsidRPr="0013271D" w:rsidRDefault="00486644" w:rsidP="006E2BD1">
            <w:pPr>
              <w:pStyle w:val="AttorneyName"/>
              <w:rPr>
                <w:sz w:val="28"/>
                <w:szCs w:val="28"/>
              </w:rPr>
            </w:pPr>
            <w:r>
              <w:rPr>
                <w:sz w:val="28"/>
                <w:szCs w:val="28"/>
              </w:rPr>
              <w:t>Denise M. Quinterri</w:t>
            </w:r>
          </w:p>
        </w:tc>
      </w:tr>
    </w:tbl>
    <w:p w14:paraId="28426F8D" w14:textId="77777777" w:rsidR="008B1B6F" w:rsidRDefault="008B1B6F" w:rsidP="008B1B6F">
      <w:pPr>
        <w:ind w:firstLine="0"/>
        <w:rPr>
          <w:sz w:val="28"/>
          <w:szCs w:val="28"/>
        </w:rPr>
      </w:pPr>
    </w:p>
    <w:p w14:paraId="392D3B2D" w14:textId="77777777" w:rsidR="007D5E03" w:rsidRPr="007D5E03" w:rsidRDefault="007D5E03" w:rsidP="007D5E03">
      <w:pPr>
        <w:spacing w:line="240" w:lineRule="auto"/>
        <w:ind w:firstLine="0"/>
        <w:rPr>
          <w:sz w:val="28"/>
          <w:szCs w:val="28"/>
        </w:rPr>
      </w:pPr>
      <w:r w:rsidRPr="007D5E03">
        <w:rPr>
          <w:b/>
          <w:bCs/>
          <w:sz w:val="28"/>
          <w:szCs w:val="28"/>
        </w:rPr>
        <w:t>ELECTRONICALLY</w:t>
      </w:r>
      <w:r w:rsidRPr="007D5E03">
        <w:rPr>
          <w:sz w:val="28"/>
          <w:szCs w:val="28"/>
        </w:rPr>
        <w:t xml:space="preserve"> filed </w:t>
      </w:r>
    </w:p>
    <w:p w14:paraId="1743F821" w14:textId="51ED3077" w:rsidR="007D5E03" w:rsidRPr="007D5E03" w:rsidRDefault="00A415D5" w:rsidP="007D5E03">
      <w:pPr>
        <w:spacing w:line="240" w:lineRule="auto"/>
        <w:ind w:firstLine="0"/>
        <w:rPr>
          <w:sz w:val="28"/>
          <w:szCs w:val="28"/>
        </w:rPr>
      </w:pPr>
      <w:r>
        <w:rPr>
          <w:sz w:val="28"/>
          <w:szCs w:val="28"/>
        </w:rPr>
        <w:t>o</w:t>
      </w:r>
      <w:r w:rsidR="00094FDF">
        <w:rPr>
          <w:sz w:val="28"/>
          <w:szCs w:val="28"/>
        </w:rPr>
        <w:t>n the Cou</w:t>
      </w:r>
      <w:r>
        <w:rPr>
          <w:sz w:val="28"/>
          <w:szCs w:val="28"/>
        </w:rPr>
        <w:t xml:space="preserve">rt Rules Forum of </w:t>
      </w:r>
      <w:r w:rsidR="007D5E03" w:rsidRPr="007D5E03">
        <w:rPr>
          <w:sz w:val="28"/>
          <w:szCs w:val="28"/>
        </w:rPr>
        <w:t>the Arizona Supreme Court</w:t>
      </w:r>
    </w:p>
    <w:p w14:paraId="32C4F444" w14:textId="7301054A" w:rsidR="007D5E03" w:rsidRDefault="007D5E03" w:rsidP="007D5E03">
      <w:pPr>
        <w:spacing w:line="240" w:lineRule="auto"/>
        <w:ind w:firstLine="0"/>
        <w:rPr>
          <w:sz w:val="28"/>
          <w:szCs w:val="28"/>
        </w:rPr>
      </w:pPr>
      <w:r w:rsidRPr="007D5E03">
        <w:rPr>
          <w:sz w:val="28"/>
          <w:szCs w:val="28"/>
        </w:rPr>
        <w:t>this</w:t>
      </w:r>
      <w:r w:rsidR="00A415D5">
        <w:rPr>
          <w:sz w:val="28"/>
          <w:szCs w:val="28"/>
        </w:rPr>
        <w:t xml:space="preserve"> _</w:t>
      </w:r>
      <w:r w:rsidR="00A134E4">
        <w:rPr>
          <w:sz w:val="28"/>
          <w:szCs w:val="28"/>
        </w:rPr>
        <w:t>20th</w:t>
      </w:r>
      <w:r w:rsidR="00A415D5">
        <w:rPr>
          <w:sz w:val="28"/>
          <w:szCs w:val="28"/>
        </w:rPr>
        <w:t xml:space="preserve">_ day of </w:t>
      </w:r>
      <w:r w:rsidR="006C5C5D">
        <w:rPr>
          <w:sz w:val="28"/>
          <w:szCs w:val="28"/>
        </w:rPr>
        <w:t>J</w:t>
      </w:r>
      <w:r w:rsidR="00A134E4">
        <w:rPr>
          <w:sz w:val="28"/>
          <w:szCs w:val="28"/>
        </w:rPr>
        <w:t>anuary</w:t>
      </w:r>
      <w:r w:rsidR="00A415D5">
        <w:rPr>
          <w:sz w:val="28"/>
          <w:szCs w:val="28"/>
        </w:rPr>
        <w:t>, 202</w:t>
      </w:r>
      <w:r w:rsidR="006C5C5D">
        <w:rPr>
          <w:sz w:val="28"/>
          <w:szCs w:val="28"/>
        </w:rPr>
        <w:t>5</w:t>
      </w:r>
      <w:r w:rsidR="00A415D5">
        <w:rPr>
          <w:sz w:val="28"/>
          <w:szCs w:val="28"/>
        </w:rPr>
        <w:t>.</w:t>
      </w:r>
    </w:p>
    <w:p w14:paraId="7E12D144" w14:textId="77777777" w:rsidR="008B1B6F" w:rsidRDefault="008B1B6F" w:rsidP="008B1B6F">
      <w:pPr>
        <w:ind w:firstLine="0"/>
        <w:rPr>
          <w:sz w:val="28"/>
          <w:szCs w:val="28"/>
        </w:rPr>
      </w:pPr>
    </w:p>
    <w:p w14:paraId="306DE608" w14:textId="4174F1C8" w:rsidR="00E50B61" w:rsidRDefault="00E50B61">
      <w:pPr>
        <w:rPr>
          <w:sz w:val="28"/>
          <w:szCs w:val="28"/>
        </w:rPr>
      </w:pPr>
      <w:r>
        <w:rPr>
          <w:sz w:val="28"/>
          <w:szCs w:val="28"/>
        </w:rPr>
        <w:br w:type="page"/>
      </w:r>
    </w:p>
    <w:p w14:paraId="3E6C58D4" w14:textId="37B519BF" w:rsidR="008B1B6F" w:rsidRPr="009C220A" w:rsidRDefault="009C220A" w:rsidP="009C220A">
      <w:pPr>
        <w:ind w:firstLine="0"/>
        <w:jc w:val="center"/>
        <w:rPr>
          <w:b/>
          <w:bCs/>
          <w:sz w:val="28"/>
          <w:szCs w:val="28"/>
        </w:rPr>
      </w:pPr>
      <w:r w:rsidRPr="009C220A">
        <w:rPr>
          <w:b/>
          <w:bCs/>
          <w:sz w:val="28"/>
          <w:szCs w:val="28"/>
        </w:rPr>
        <w:lastRenderedPageBreak/>
        <w:t>APPENDIX A</w:t>
      </w:r>
    </w:p>
    <w:p w14:paraId="3854DDA8" w14:textId="49465DA9" w:rsidR="009C220A" w:rsidRPr="009C220A" w:rsidRDefault="009C220A" w:rsidP="009C220A">
      <w:pPr>
        <w:ind w:firstLine="0"/>
        <w:jc w:val="center"/>
        <w:rPr>
          <w:b/>
          <w:bCs/>
          <w:sz w:val="28"/>
          <w:szCs w:val="28"/>
        </w:rPr>
      </w:pPr>
      <w:r w:rsidRPr="009C220A">
        <w:rPr>
          <w:b/>
          <w:bCs/>
          <w:sz w:val="28"/>
          <w:szCs w:val="28"/>
        </w:rPr>
        <w:t>ARIZONA RULES OF THE SUPREME COURT</w:t>
      </w:r>
    </w:p>
    <w:p w14:paraId="3716CB78" w14:textId="29899B55" w:rsidR="00FF2FD6" w:rsidRPr="00AE4B6C" w:rsidRDefault="009C220A" w:rsidP="00AE4B6C">
      <w:pPr>
        <w:ind w:firstLine="0"/>
        <w:jc w:val="center"/>
        <w:rPr>
          <w:b/>
          <w:bCs/>
          <w:sz w:val="28"/>
          <w:szCs w:val="28"/>
        </w:rPr>
      </w:pPr>
      <w:r w:rsidRPr="001B1726">
        <w:rPr>
          <w:b/>
          <w:bCs/>
          <w:sz w:val="28"/>
          <w:szCs w:val="28"/>
        </w:rPr>
        <w:t>Rule 36.</w:t>
      </w:r>
      <w:r w:rsidR="0038061E" w:rsidRPr="001B1726">
        <w:rPr>
          <w:b/>
          <w:bCs/>
          <w:sz w:val="28"/>
          <w:szCs w:val="28"/>
        </w:rPr>
        <w:t xml:space="preserve">  Procedure Before the Committee on Character and Fitness</w:t>
      </w:r>
    </w:p>
    <w:p w14:paraId="00888168" w14:textId="77777777" w:rsidR="00FF2FD6" w:rsidRDefault="00FF2FD6" w:rsidP="00FF2FD6">
      <w:pPr>
        <w:pStyle w:val="Default"/>
      </w:pPr>
      <w:r>
        <w:t xml:space="preserve"> </w:t>
      </w:r>
      <w:r w:rsidRPr="00AE4B6C">
        <w:rPr>
          <w:b/>
          <w:bCs/>
        </w:rPr>
        <w:t xml:space="preserve">(a)-(d) </w:t>
      </w:r>
      <w:r w:rsidRPr="00AE4B6C">
        <w:t xml:space="preserve">[No change in text.] </w:t>
      </w:r>
    </w:p>
    <w:p w14:paraId="4F737626" w14:textId="77777777" w:rsidR="00AE4B6C" w:rsidRPr="00AE4B6C" w:rsidRDefault="00AE4B6C" w:rsidP="00FF2FD6">
      <w:pPr>
        <w:pStyle w:val="Default"/>
      </w:pPr>
    </w:p>
    <w:p w14:paraId="0FD918D9" w14:textId="41D388A8" w:rsidR="00FF2FD6" w:rsidRDefault="00FF2FD6" w:rsidP="00FF2FD6">
      <w:pPr>
        <w:pStyle w:val="Default"/>
        <w:rPr>
          <w:b/>
          <w:bCs/>
        </w:rPr>
      </w:pPr>
      <w:r w:rsidRPr="00AE4B6C">
        <w:rPr>
          <w:b/>
          <w:bCs/>
        </w:rPr>
        <w:t xml:space="preserve">(e) Informal </w:t>
      </w:r>
      <w:r w:rsidR="00AE4B6C" w:rsidRPr="00AE4B6C">
        <w:rPr>
          <w:b/>
          <w:bCs/>
        </w:rPr>
        <w:t>Inquiries</w:t>
      </w:r>
      <w:r w:rsidRPr="00AE4B6C">
        <w:rPr>
          <w:b/>
          <w:bCs/>
        </w:rPr>
        <w:t xml:space="preserve">. </w:t>
      </w:r>
    </w:p>
    <w:p w14:paraId="0D56AC98" w14:textId="77777777" w:rsidR="00185F18" w:rsidRPr="00AE4B6C" w:rsidRDefault="00185F18" w:rsidP="00FF2FD6">
      <w:pPr>
        <w:pStyle w:val="Default"/>
      </w:pPr>
    </w:p>
    <w:p w14:paraId="169AFACD" w14:textId="77777777" w:rsidR="00FF2FD6" w:rsidRDefault="00FF2FD6" w:rsidP="00FF2FD6">
      <w:pPr>
        <w:pStyle w:val="Default"/>
      </w:pPr>
      <w:r w:rsidRPr="00AE4B6C">
        <w:t xml:space="preserve">1.-2. [No change in text.] </w:t>
      </w:r>
    </w:p>
    <w:p w14:paraId="07B97F1D" w14:textId="77777777" w:rsidR="00185F18" w:rsidRPr="00AE4B6C" w:rsidRDefault="00185F18" w:rsidP="00FF2FD6">
      <w:pPr>
        <w:pStyle w:val="Default"/>
      </w:pPr>
    </w:p>
    <w:p w14:paraId="73E7EC18" w14:textId="63CDCD81" w:rsidR="00C4402B" w:rsidRDefault="00FF2FD6" w:rsidP="00FF2FD6">
      <w:pPr>
        <w:pStyle w:val="Default"/>
      </w:pPr>
      <w:r w:rsidRPr="00AE4B6C">
        <w:t xml:space="preserve">3. </w:t>
      </w:r>
      <w:r w:rsidR="00124159">
        <w:rPr>
          <w:i/>
          <w:iCs/>
        </w:rPr>
        <w:t>Consideration of Documents or Information</w:t>
      </w:r>
      <w:r w:rsidRPr="00AE4B6C">
        <w:t>.</w:t>
      </w:r>
      <w:r w:rsidR="00C4402B">
        <w:t xml:space="preserve"> </w:t>
      </w:r>
      <w:r w:rsidR="00A869A0" w:rsidRPr="00A869A0">
        <w:t>Documents or other information provided to the investigating member in confidence will remain confidential and may be referenced, shared or considered at the informal inquiry only if the providing party agrees. Absent such agreement, confidential information must not be referenced, shared or considered at the informal inquiry or otherwise considered by the panel in determining the applicant's character and fitness for admission to practice law. Because the objective of the informal inquiry is to informally resolve the investigating member's concerns efficiently, there is no formal introduction of exhibits or other evidence into a record at an informal inquiry. Neither the panel nor the applicant may subpoena the appearance of witnesses at an informal inquiry.</w:t>
      </w:r>
      <w:r w:rsidRPr="00AE4B6C">
        <w:t xml:space="preserve"> </w:t>
      </w:r>
    </w:p>
    <w:p w14:paraId="1BC61FC5" w14:textId="77777777" w:rsidR="00C4402B" w:rsidRDefault="00C4402B" w:rsidP="00FF2FD6">
      <w:pPr>
        <w:pStyle w:val="Default"/>
      </w:pPr>
    </w:p>
    <w:p w14:paraId="79AD848B" w14:textId="05D295F7" w:rsidR="00DF402C" w:rsidRDefault="00FF2FD6" w:rsidP="00FF2FD6">
      <w:pPr>
        <w:pStyle w:val="Default"/>
      </w:pPr>
      <w:r w:rsidRPr="00680605">
        <w:rPr>
          <w:u w:val="single"/>
        </w:rPr>
        <w:t xml:space="preserve">4. </w:t>
      </w:r>
      <w:r w:rsidRPr="00680605">
        <w:rPr>
          <w:i/>
          <w:iCs/>
          <w:u w:val="single"/>
        </w:rPr>
        <w:t xml:space="preserve">Disclosure; Discovery. </w:t>
      </w:r>
      <w:r w:rsidRPr="00680605">
        <w:rPr>
          <w:u w:val="single"/>
        </w:rPr>
        <w:t>T</w:t>
      </w:r>
      <w:r w:rsidR="00A22EAF" w:rsidRPr="00680605">
        <w:rPr>
          <w:u w:val="single"/>
        </w:rPr>
        <w:t>welve (12)</w:t>
      </w:r>
      <w:r w:rsidRPr="00680605">
        <w:rPr>
          <w:u w:val="single"/>
        </w:rPr>
        <w:t xml:space="preserve"> days before the </w:t>
      </w:r>
      <w:r w:rsidR="00AA1632" w:rsidRPr="00680605">
        <w:rPr>
          <w:u w:val="single"/>
        </w:rPr>
        <w:t>inquiry</w:t>
      </w:r>
      <w:r w:rsidRPr="00680605">
        <w:rPr>
          <w:u w:val="single"/>
        </w:rPr>
        <w:t xml:space="preserve">, or otherwise as agreed by the parties, the Committee and the applicant shall disclose documents and other information to be </w:t>
      </w:r>
      <w:r w:rsidR="00A22EAF" w:rsidRPr="00680605">
        <w:rPr>
          <w:u w:val="single"/>
        </w:rPr>
        <w:t>discuss</w:t>
      </w:r>
      <w:r w:rsidRPr="00680605">
        <w:rPr>
          <w:u w:val="single"/>
        </w:rPr>
        <w:t xml:space="preserve">ed at the hearing. </w:t>
      </w:r>
      <w:r w:rsidR="00303A64" w:rsidRPr="00680605">
        <w:rPr>
          <w:u w:val="single"/>
        </w:rPr>
        <w:t>Neither party needs to disclose</w:t>
      </w:r>
      <w:r w:rsidR="002462BF" w:rsidRPr="00680605">
        <w:rPr>
          <w:u w:val="single"/>
        </w:rPr>
        <w:t xml:space="preserve"> copies of documents already provided during the application process.</w:t>
      </w:r>
      <w:r w:rsidR="00303A64" w:rsidRPr="00680605">
        <w:rPr>
          <w:u w:val="single"/>
        </w:rPr>
        <w:t xml:space="preserve"> </w:t>
      </w:r>
      <w:r w:rsidR="00DF402C" w:rsidRPr="00680605">
        <w:rPr>
          <w:u w:val="single"/>
        </w:rPr>
        <w:t>Confidential information will be subject to disclosure or discovery only if the providing party has agreed to its use at the hearing as set forth in paragraph (</w:t>
      </w:r>
      <w:r w:rsidR="00680605" w:rsidRPr="00680605">
        <w:rPr>
          <w:u w:val="single"/>
        </w:rPr>
        <w:t>e</w:t>
      </w:r>
      <w:r w:rsidR="00DF402C" w:rsidRPr="00680605">
        <w:rPr>
          <w:u w:val="single"/>
        </w:rPr>
        <w:t>)(3). The Chair may permit untimely disclosed information to be admitted at hearing, for good cause shown</w:t>
      </w:r>
      <w:r w:rsidR="00DF402C" w:rsidRPr="00DF402C">
        <w:t>.</w:t>
      </w:r>
    </w:p>
    <w:p w14:paraId="1B720E96" w14:textId="77777777" w:rsidR="00DF402C" w:rsidRDefault="00DF402C" w:rsidP="00FF2FD6">
      <w:pPr>
        <w:pStyle w:val="Default"/>
      </w:pPr>
    </w:p>
    <w:p w14:paraId="0502FFCA" w14:textId="59863B62" w:rsidR="00FF2FD6" w:rsidRPr="00AE4B6C" w:rsidRDefault="00FF2FD6" w:rsidP="00FF2FD6">
      <w:pPr>
        <w:pStyle w:val="Default"/>
      </w:pPr>
      <w:r w:rsidRPr="00AE4B6C">
        <w:t>5.</w:t>
      </w:r>
      <w:r w:rsidR="00EE1EC3">
        <w:t xml:space="preserve"> </w:t>
      </w:r>
      <w:r w:rsidR="00CD1EAF" w:rsidRPr="00CD1EAF">
        <w:rPr>
          <w:strike/>
        </w:rPr>
        <w:t>4.</w:t>
      </w:r>
      <w:r w:rsidRPr="00AE4B6C">
        <w:t xml:space="preserve"> [No change in text.] </w:t>
      </w:r>
    </w:p>
    <w:p w14:paraId="5F1B96E9" w14:textId="2F44CCBD" w:rsidR="00FF2FD6" w:rsidRDefault="00FF2FD6" w:rsidP="00FF2FD6">
      <w:pPr>
        <w:pStyle w:val="Default"/>
      </w:pPr>
      <w:r w:rsidRPr="00AE4B6C">
        <w:t xml:space="preserve">6. </w:t>
      </w:r>
      <w:r w:rsidR="00EE1EC3" w:rsidRPr="00EE1EC3">
        <w:rPr>
          <w:strike/>
        </w:rPr>
        <w:t>5</w:t>
      </w:r>
      <w:r w:rsidRPr="00AE4B6C">
        <w:t xml:space="preserve">. [No change in text.] </w:t>
      </w:r>
    </w:p>
    <w:p w14:paraId="683AF871" w14:textId="77777777" w:rsidR="008E00A6" w:rsidRPr="00AE4B6C" w:rsidRDefault="008E00A6" w:rsidP="00FF2FD6">
      <w:pPr>
        <w:pStyle w:val="Default"/>
      </w:pPr>
    </w:p>
    <w:p w14:paraId="30227984" w14:textId="44FD231E" w:rsidR="00FF2FD6" w:rsidRDefault="00FF2FD6" w:rsidP="00FF2FD6">
      <w:pPr>
        <w:pStyle w:val="Default"/>
      </w:pPr>
      <w:r w:rsidRPr="00AE4B6C">
        <w:rPr>
          <w:b/>
          <w:bCs/>
        </w:rPr>
        <w:t xml:space="preserve">(f) </w:t>
      </w:r>
      <w:r w:rsidRPr="008E00A6">
        <w:rPr>
          <w:b/>
          <w:bCs/>
          <w:u w:val="single"/>
        </w:rPr>
        <w:t>Formal</w:t>
      </w:r>
      <w:r w:rsidRPr="00AE4B6C">
        <w:rPr>
          <w:b/>
          <w:bCs/>
        </w:rPr>
        <w:t xml:space="preserve"> Hearings. </w:t>
      </w:r>
      <w:r w:rsidRPr="00AE4B6C">
        <w:t xml:space="preserve"> </w:t>
      </w:r>
    </w:p>
    <w:p w14:paraId="2E9651E7" w14:textId="77777777" w:rsidR="008E00A6" w:rsidRPr="00AE4B6C" w:rsidRDefault="008E00A6" w:rsidP="00FF2FD6">
      <w:pPr>
        <w:pStyle w:val="Default"/>
      </w:pPr>
    </w:p>
    <w:p w14:paraId="359C8AF4" w14:textId="77777777" w:rsidR="00FF2FD6" w:rsidRDefault="00FF2FD6" w:rsidP="00FF2FD6">
      <w:pPr>
        <w:pStyle w:val="Default"/>
      </w:pPr>
      <w:r w:rsidRPr="00AE4B6C">
        <w:t xml:space="preserve">1.-2. [No change in text.] </w:t>
      </w:r>
    </w:p>
    <w:p w14:paraId="00E25AD0" w14:textId="77777777" w:rsidR="008E00A6" w:rsidRPr="00AE4B6C" w:rsidRDefault="008E00A6" w:rsidP="00FF2FD6">
      <w:pPr>
        <w:pStyle w:val="Default"/>
      </w:pPr>
    </w:p>
    <w:p w14:paraId="518B8FDA" w14:textId="2694F98B" w:rsidR="00FF2FD6" w:rsidRDefault="00FF2FD6" w:rsidP="00FF2FD6">
      <w:pPr>
        <w:pStyle w:val="Default"/>
      </w:pPr>
      <w:r w:rsidRPr="00AE4B6C">
        <w:t xml:space="preserve">3. </w:t>
      </w:r>
      <w:r w:rsidRPr="00AE4B6C">
        <w:rPr>
          <w:i/>
          <w:iCs/>
        </w:rPr>
        <w:t>Permissible Evidence</w:t>
      </w:r>
      <w:r w:rsidRPr="00AE4B6C">
        <w:t xml:space="preserve">. Documents or other information provided to the Committee in confidence shall remain confidential and may be used at the hearing only if the providing party agrees. Absent such agreement, confidential information </w:t>
      </w:r>
      <w:r w:rsidR="0010279B">
        <w:t>must</w:t>
      </w:r>
      <w:r w:rsidRPr="00AE4B6C">
        <w:t xml:space="preserve"> not be presented at the hearing or otherwise considered by the </w:t>
      </w:r>
      <w:r w:rsidR="0010279B">
        <w:t>panel</w:t>
      </w:r>
      <w:r w:rsidRPr="00AE4B6C">
        <w:t xml:space="preserve"> in determining the applicant’s character and fitness for admission to practice law. </w:t>
      </w:r>
    </w:p>
    <w:p w14:paraId="2C21B62F" w14:textId="77777777" w:rsidR="00D96BA1" w:rsidRPr="00AE4B6C" w:rsidRDefault="00D96BA1" w:rsidP="00FF2FD6">
      <w:pPr>
        <w:pStyle w:val="Default"/>
      </w:pPr>
    </w:p>
    <w:p w14:paraId="1E789F33" w14:textId="5EBE23A6" w:rsidR="00FA10B0" w:rsidRPr="009B0CC7" w:rsidRDefault="00FF2FD6" w:rsidP="008E096E">
      <w:pPr>
        <w:pStyle w:val="Default"/>
      </w:pPr>
      <w:r w:rsidRPr="00AE4B6C">
        <w:lastRenderedPageBreak/>
        <w:t xml:space="preserve">4. </w:t>
      </w:r>
      <w:r w:rsidRPr="00AE4B6C">
        <w:rPr>
          <w:i/>
          <w:iCs/>
        </w:rPr>
        <w:t>Disclosure; Discovery.</w:t>
      </w:r>
      <w:r w:rsidR="00FA10B0">
        <w:rPr>
          <w:i/>
          <w:iCs/>
        </w:rPr>
        <w:t xml:space="preserve"> </w:t>
      </w:r>
      <w:r w:rsidR="009B0CC7" w:rsidRPr="009B0CC7">
        <w:t xml:space="preserve">Twenty (20) days before the hearing, or otherwise as agreed by the parties, the Committee and the applicant will </w:t>
      </w:r>
      <w:r w:rsidR="009B0CC7" w:rsidRPr="009B0CC7">
        <w:rPr>
          <w:strike/>
        </w:rPr>
        <w:t xml:space="preserve">simultaneously </w:t>
      </w:r>
      <w:r w:rsidR="009B0CC7" w:rsidRPr="009B0CC7">
        <w:t xml:space="preserve">disclose documents and other information to be used at the hearing. </w:t>
      </w:r>
      <w:r w:rsidR="00E837CB" w:rsidRPr="00680605">
        <w:rPr>
          <w:u w:val="single"/>
        </w:rPr>
        <w:t xml:space="preserve">Neither party needs to disclose copies of documents already provided during the application process. </w:t>
      </w:r>
      <w:r w:rsidR="009B0CC7" w:rsidRPr="00E837CB">
        <w:rPr>
          <w:strike/>
        </w:rPr>
        <w:t>The Committee need not provide to the applicant copies of documents the applicant has submitted during the application process, and applicant need not provide to the Committee copies of documents submitted with the application.</w:t>
      </w:r>
      <w:r w:rsidR="009B0CC7" w:rsidRPr="009B0CC7">
        <w:t xml:space="preserve"> Confidential information will be subject to disclosure or discovery only if the providing party has agreed to its use at the hearing as set forth in paragraph (f)(3). The Chair may permit untimely disclosed information to be admitted at hearing, for good cause shown.</w:t>
      </w:r>
      <w:r w:rsidRPr="009B0CC7">
        <w:t xml:space="preserve"> </w:t>
      </w:r>
    </w:p>
    <w:p w14:paraId="13F46BE1" w14:textId="77777777" w:rsidR="00FA10B0" w:rsidRDefault="00FA10B0" w:rsidP="008E096E">
      <w:pPr>
        <w:pStyle w:val="Default"/>
        <w:rPr>
          <w:i/>
          <w:iCs/>
        </w:rPr>
      </w:pPr>
    </w:p>
    <w:p w14:paraId="585E7629" w14:textId="14802ABE" w:rsidR="008E096E" w:rsidRDefault="00FF2FD6" w:rsidP="008E096E">
      <w:pPr>
        <w:pStyle w:val="Default"/>
      </w:pPr>
      <w:r w:rsidRPr="00AE4B6C">
        <w:t>Thirty (30) days before the hearing, or otherwise as agreed by the parties, the Committee and the applicant shall simultaneously disclose documents and other information to be used at the hearing. The Committee need not provide to the applicant copies of documents the applicant has submitted during the application process. Confidential</w:t>
      </w:r>
      <w:r w:rsidR="008E096E" w:rsidRPr="00AE4B6C">
        <w:t xml:space="preserve"> information shall be subject to disclosure or discovery only if the providing party has agreed to its use at the hearing as set forth in subparagraph (f)(3) of this rule. </w:t>
      </w:r>
    </w:p>
    <w:p w14:paraId="5E5164DF" w14:textId="77777777" w:rsidR="00FA10B0" w:rsidRPr="00AE4B6C" w:rsidRDefault="00FA10B0" w:rsidP="008E096E">
      <w:pPr>
        <w:pStyle w:val="Default"/>
      </w:pPr>
    </w:p>
    <w:p w14:paraId="2A12FF1F" w14:textId="14AEA00E" w:rsidR="0056354B" w:rsidRPr="00AE4B6C" w:rsidRDefault="00833F65" w:rsidP="008E096E">
      <w:pPr>
        <w:ind w:firstLine="0"/>
        <w:rPr>
          <w:sz w:val="24"/>
          <w:szCs w:val="24"/>
        </w:rPr>
      </w:pPr>
      <w:r w:rsidRPr="00AE4B6C">
        <w:rPr>
          <w:sz w:val="24"/>
          <w:szCs w:val="24"/>
        </w:rPr>
        <w:t>[. . .]</w:t>
      </w:r>
    </w:p>
    <w:sectPr w:rsidR="0056354B" w:rsidRPr="00AE4B6C">
      <w:headerReference w:type="default" r:id="rId8"/>
      <w:footerReference w:type="default" r:id="rId9"/>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D77B" w14:textId="77777777" w:rsidR="00480B96" w:rsidRDefault="00480B96">
      <w:r>
        <w:separator/>
      </w:r>
    </w:p>
    <w:p w14:paraId="35447163" w14:textId="77777777" w:rsidR="00480B96" w:rsidRDefault="00480B96"/>
  </w:endnote>
  <w:endnote w:type="continuationSeparator" w:id="0">
    <w:p w14:paraId="35DD24DC" w14:textId="77777777" w:rsidR="00480B96" w:rsidRDefault="00480B96">
      <w:r>
        <w:continuationSeparator/>
      </w:r>
    </w:p>
    <w:p w14:paraId="7FDBD2BA" w14:textId="77777777" w:rsidR="00480B96" w:rsidRDefault="00480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25156"/>
      <w:docPartObj>
        <w:docPartGallery w:val="Page Numbers (Bottom of Page)"/>
        <w:docPartUnique/>
      </w:docPartObj>
    </w:sdtPr>
    <w:sdtEndPr>
      <w:rPr>
        <w:noProof/>
      </w:rPr>
    </w:sdtEndPr>
    <w:sdtContent>
      <w:p w14:paraId="6176C0E4" w14:textId="793F39B4" w:rsidR="00F478AC" w:rsidRDefault="00F478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7830A2" w14:textId="77777777" w:rsidR="00F478AC" w:rsidRDefault="00F47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46B1" w14:textId="77777777" w:rsidR="00480B96" w:rsidRDefault="00480B96">
      <w:r>
        <w:separator/>
      </w:r>
    </w:p>
    <w:p w14:paraId="1412B2CB" w14:textId="77777777" w:rsidR="00480B96" w:rsidRDefault="00480B96"/>
  </w:footnote>
  <w:footnote w:type="continuationSeparator" w:id="0">
    <w:p w14:paraId="4140010C" w14:textId="77777777" w:rsidR="00480B96" w:rsidRDefault="00480B96">
      <w:r>
        <w:continuationSeparator/>
      </w:r>
    </w:p>
    <w:p w14:paraId="4F75084B" w14:textId="77777777" w:rsidR="00480B96" w:rsidRDefault="00480B96"/>
  </w:footnote>
  <w:footnote w:id="1">
    <w:p w14:paraId="7A368413" w14:textId="524D4374" w:rsidR="00DA0E54" w:rsidRPr="00E96E68" w:rsidRDefault="00DA0E54" w:rsidP="00721C3E">
      <w:pPr>
        <w:spacing w:line="240" w:lineRule="auto"/>
        <w:ind w:firstLine="0"/>
        <w:jc w:val="both"/>
        <w:rPr>
          <w:rFonts w:ascii="Times New Roman" w:hAnsi="Times New Roman" w:cs="Times New Roman"/>
          <w:sz w:val="26"/>
          <w:szCs w:val="26"/>
        </w:rPr>
      </w:pPr>
      <w:r w:rsidRPr="00E96E68">
        <w:rPr>
          <w:rStyle w:val="FootnoteReference"/>
          <w:sz w:val="26"/>
          <w:szCs w:val="26"/>
        </w:rPr>
        <w:footnoteRef/>
      </w:r>
      <w:r w:rsidRPr="00E96E68">
        <w:rPr>
          <w:sz w:val="26"/>
          <w:szCs w:val="26"/>
        </w:rPr>
        <w:t xml:space="preserve">  </w:t>
      </w:r>
      <w:r w:rsidR="0065422B" w:rsidRPr="00E96E68">
        <w:rPr>
          <w:sz w:val="26"/>
          <w:szCs w:val="26"/>
        </w:rPr>
        <w:t>“</w:t>
      </w:r>
      <w:r w:rsidRPr="00E96E68">
        <w:rPr>
          <w:rFonts w:ascii="Times New Roman" w:hAnsi="Times New Roman" w:cs="Times New Roman"/>
          <w:sz w:val="26"/>
          <w:szCs w:val="26"/>
        </w:rPr>
        <w:t xml:space="preserve">However, we cannot allow information of this nature to be used by the committee for the purpose of denying a man due process in so vital a matter as the right to practice his chosen profession. To do so would be to open the door </w:t>
      </w:r>
      <w:r w:rsidRPr="00E96E68">
        <w:rPr>
          <w:rFonts w:ascii="Times New Roman" w:hAnsi="Times New Roman" w:cs="Times New Roman"/>
          <w:sz w:val="26"/>
          <w:szCs w:val="26"/>
          <w:u w:val="single"/>
        </w:rPr>
        <w:t>to the most noxious type of character assassination and guilt by innuendo</w:t>
      </w:r>
      <w:r w:rsidRPr="00E96E68">
        <w:rPr>
          <w:rFonts w:ascii="Times New Roman" w:hAnsi="Times New Roman" w:cs="Times New Roman"/>
          <w:sz w:val="26"/>
          <w:szCs w:val="26"/>
        </w:rPr>
        <w:t xml:space="preserve">. If respectable persons have derogatory information or bona fide charges to level against an applicant, they should not hesitate to come out into the open and speak the truth. If they insist on hiding behind a cloak of secrecy, then their evidence cannot be used to impeach the character of a man whose only apparent fault has been to acquire a </w:t>
      </w:r>
      <w:r w:rsidRPr="00E96E68">
        <w:rPr>
          <w:rFonts w:ascii="Times New Roman" w:hAnsi="Times New Roman" w:cs="Times New Roman"/>
          <w:sz w:val="26"/>
          <w:szCs w:val="26"/>
          <w:u w:val="single"/>
        </w:rPr>
        <w:t>few devious secret enemies</w:t>
      </w:r>
      <w:r w:rsidRPr="00E96E68">
        <w:rPr>
          <w:rFonts w:ascii="Times New Roman" w:hAnsi="Times New Roman" w:cs="Times New Roman"/>
          <w:sz w:val="26"/>
          <w:szCs w:val="26"/>
        </w:rPr>
        <w:t>.</w:t>
      </w:r>
      <w:r w:rsidR="0065422B" w:rsidRPr="00E96E68">
        <w:rPr>
          <w:rFonts w:ascii="Times New Roman" w:hAnsi="Times New Roman" w:cs="Times New Roman"/>
          <w:sz w:val="26"/>
          <w:szCs w:val="26"/>
        </w:rPr>
        <w:t>”  (</w:t>
      </w:r>
      <w:r w:rsidR="0065422B" w:rsidRPr="00E96E68">
        <w:rPr>
          <w:rFonts w:ascii="Times New Roman" w:hAnsi="Times New Roman" w:cs="Times New Roman"/>
          <w:i/>
          <w:iCs/>
          <w:sz w:val="26"/>
          <w:szCs w:val="26"/>
        </w:rPr>
        <w:t>Id</w:t>
      </w:r>
      <w:r w:rsidR="0065422B" w:rsidRPr="00E96E68">
        <w:rPr>
          <w:rFonts w:ascii="Times New Roman" w:hAnsi="Times New Roman" w:cs="Times New Roman"/>
          <w:sz w:val="26"/>
          <w:szCs w:val="26"/>
        </w:rPr>
        <w:t>., emphasis added.)</w:t>
      </w:r>
      <w:r w:rsidRPr="00E96E68">
        <w:rPr>
          <w:rFonts w:ascii="Times New Roman" w:hAnsi="Times New Roman" w:cs="Times New Roman"/>
          <w:sz w:val="26"/>
          <w:szCs w:val="26"/>
        </w:rPr>
        <w:t xml:space="preserve"> </w:t>
      </w:r>
    </w:p>
    <w:p w14:paraId="30BBE4F5" w14:textId="1875CC22" w:rsidR="00DA0E54" w:rsidRDefault="00DA0E54" w:rsidP="00721C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BC3F"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6D50FD33" wp14:editId="570E875C">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030D0E30"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636BBBBF" wp14:editId="370E7ABC">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74ACD" w14:textId="77777777" w:rsidR="009F0E74" w:rsidRDefault="00FE2E3F">
                          <w:pPr>
                            <w:pStyle w:val="LineNumbers"/>
                          </w:pPr>
                          <w:r>
                            <w:t>1</w:t>
                          </w:r>
                        </w:p>
                        <w:p w14:paraId="7E4D5F67" w14:textId="77777777" w:rsidR="009F0E74" w:rsidRDefault="00FE2E3F">
                          <w:pPr>
                            <w:pStyle w:val="LineNumbers"/>
                          </w:pPr>
                          <w:r>
                            <w:t>2</w:t>
                          </w:r>
                        </w:p>
                        <w:p w14:paraId="7951F6D0" w14:textId="77777777" w:rsidR="009F0E74" w:rsidRDefault="00FE2E3F">
                          <w:pPr>
                            <w:pStyle w:val="LineNumbers"/>
                          </w:pPr>
                          <w:r>
                            <w:t>3</w:t>
                          </w:r>
                        </w:p>
                        <w:p w14:paraId="58768844" w14:textId="77777777" w:rsidR="009F0E74" w:rsidRDefault="00FE2E3F">
                          <w:pPr>
                            <w:pStyle w:val="LineNumbers"/>
                          </w:pPr>
                          <w:r>
                            <w:t>4</w:t>
                          </w:r>
                        </w:p>
                        <w:p w14:paraId="56567889" w14:textId="77777777" w:rsidR="009F0E74" w:rsidRDefault="00FE2E3F">
                          <w:pPr>
                            <w:pStyle w:val="LineNumbers"/>
                          </w:pPr>
                          <w:r>
                            <w:t>5</w:t>
                          </w:r>
                        </w:p>
                        <w:p w14:paraId="4E5B05D2" w14:textId="77777777" w:rsidR="009F0E74" w:rsidRDefault="00FE2E3F">
                          <w:pPr>
                            <w:pStyle w:val="LineNumbers"/>
                          </w:pPr>
                          <w:r>
                            <w:t>6</w:t>
                          </w:r>
                        </w:p>
                        <w:p w14:paraId="14FB3244" w14:textId="77777777" w:rsidR="009F0E74" w:rsidRDefault="00FE2E3F">
                          <w:pPr>
                            <w:pStyle w:val="LineNumbers"/>
                          </w:pPr>
                          <w:r>
                            <w:t>7</w:t>
                          </w:r>
                        </w:p>
                        <w:p w14:paraId="03C4208A" w14:textId="77777777" w:rsidR="009F0E74" w:rsidRDefault="00FE2E3F">
                          <w:pPr>
                            <w:pStyle w:val="LineNumbers"/>
                          </w:pPr>
                          <w:r>
                            <w:t>8</w:t>
                          </w:r>
                        </w:p>
                        <w:p w14:paraId="16210CB3" w14:textId="77777777" w:rsidR="009F0E74" w:rsidRDefault="00FE2E3F">
                          <w:pPr>
                            <w:pStyle w:val="LineNumbers"/>
                          </w:pPr>
                          <w:r>
                            <w:t>9</w:t>
                          </w:r>
                        </w:p>
                        <w:p w14:paraId="0CF0FC35" w14:textId="77777777" w:rsidR="009F0E74" w:rsidRDefault="00FE2E3F">
                          <w:pPr>
                            <w:pStyle w:val="LineNumbers"/>
                          </w:pPr>
                          <w:r>
                            <w:t>10</w:t>
                          </w:r>
                        </w:p>
                        <w:p w14:paraId="1408342E" w14:textId="77777777" w:rsidR="009F0E74" w:rsidRDefault="00FE2E3F">
                          <w:pPr>
                            <w:pStyle w:val="LineNumbers"/>
                          </w:pPr>
                          <w:r>
                            <w:t>11</w:t>
                          </w:r>
                        </w:p>
                        <w:p w14:paraId="19C681A9" w14:textId="77777777" w:rsidR="009F0E74" w:rsidRDefault="00FE2E3F">
                          <w:pPr>
                            <w:pStyle w:val="LineNumbers"/>
                          </w:pPr>
                          <w:r>
                            <w:t>12</w:t>
                          </w:r>
                        </w:p>
                        <w:p w14:paraId="6F68E5AA" w14:textId="77777777" w:rsidR="009F0E74" w:rsidRDefault="00FE2E3F">
                          <w:pPr>
                            <w:pStyle w:val="LineNumbers"/>
                          </w:pPr>
                          <w:r>
                            <w:t>13</w:t>
                          </w:r>
                        </w:p>
                        <w:p w14:paraId="263FB095" w14:textId="77777777" w:rsidR="009F0E74" w:rsidRDefault="00FE2E3F">
                          <w:pPr>
                            <w:pStyle w:val="LineNumbers"/>
                          </w:pPr>
                          <w:r>
                            <w:t>14</w:t>
                          </w:r>
                        </w:p>
                        <w:p w14:paraId="7466077D" w14:textId="77777777" w:rsidR="009F0E74" w:rsidRDefault="00FE2E3F">
                          <w:pPr>
                            <w:pStyle w:val="LineNumbers"/>
                          </w:pPr>
                          <w:r>
                            <w:t>15</w:t>
                          </w:r>
                        </w:p>
                        <w:p w14:paraId="093A2B91" w14:textId="77777777" w:rsidR="009F0E74" w:rsidRDefault="00FE2E3F">
                          <w:pPr>
                            <w:pStyle w:val="LineNumbers"/>
                          </w:pPr>
                          <w:r>
                            <w:t>16</w:t>
                          </w:r>
                        </w:p>
                        <w:p w14:paraId="17A6158C" w14:textId="77777777" w:rsidR="009F0E74" w:rsidRDefault="00FE2E3F">
                          <w:pPr>
                            <w:pStyle w:val="LineNumbers"/>
                          </w:pPr>
                          <w:r>
                            <w:t>17</w:t>
                          </w:r>
                        </w:p>
                        <w:p w14:paraId="5995545B" w14:textId="77777777" w:rsidR="009F0E74" w:rsidRDefault="00FE2E3F">
                          <w:pPr>
                            <w:pStyle w:val="LineNumbers"/>
                          </w:pPr>
                          <w:r>
                            <w:t>18</w:t>
                          </w:r>
                        </w:p>
                        <w:p w14:paraId="50D1FF40" w14:textId="77777777" w:rsidR="009F0E74" w:rsidRDefault="00FE2E3F">
                          <w:pPr>
                            <w:pStyle w:val="LineNumbers"/>
                          </w:pPr>
                          <w:r>
                            <w:t>19</w:t>
                          </w:r>
                        </w:p>
                        <w:p w14:paraId="233A0C13" w14:textId="77777777" w:rsidR="009F0E74" w:rsidRDefault="00FE2E3F">
                          <w:pPr>
                            <w:pStyle w:val="LineNumbers"/>
                          </w:pPr>
                          <w:r>
                            <w:t>20</w:t>
                          </w:r>
                        </w:p>
                        <w:p w14:paraId="04EDF5DE" w14:textId="77777777" w:rsidR="009F0E74" w:rsidRDefault="00FE2E3F">
                          <w:pPr>
                            <w:pStyle w:val="LineNumbers"/>
                          </w:pPr>
                          <w:r>
                            <w:t>21</w:t>
                          </w:r>
                        </w:p>
                        <w:p w14:paraId="37FE0BA2" w14:textId="77777777" w:rsidR="009F0E74" w:rsidRDefault="00FE2E3F">
                          <w:pPr>
                            <w:pStyle w:val="LineNumbers"/>
                          </w:pPr>
                          <w:r>
                            <w:t>22</w:t>
                          </w:r>
                        </w:p>
                        <w:p w14:paraId="2811125B" w14:textId="77777777" w:rsidR="009F0E74" w:rsidRDefault="00FE2E3F">
                          <w:pPr>
                            <w:pStyle w:val="LineNumbers"/>
                          </w:pPr>
                          <w:r>
                            <w:t>23</w:t>
                          </w:r>
                        </w:p>
                        <w:p w14:paraId="31F9F1FE" w14:textId="77777777" w:rsidR="009F0E74" w:rsidRDefault="00FE2E3F">
                          <w:pPr>
                            <w:pStyle w:val="LineNumbers"/>
                          </w:pPr>
                          <w:r>
                            <w:t>24</w:t>
                          </w:r>
                        </w:p>
                        <w:p w14:paraId="5CC57B4F" w14:textId="77777777" w:rsidR="009F0E74" w:rsidRDefault="00FE2E3F">
                          <w:pPr>
                            <w:pStyle w:val="LineNumbers"/>
                          </w:pPr>
                          <w:r>
                            <w:t>25</w:t>
                          </w:r>
                        </w:p>
                        <w:p w14:paraId="1F185DF8" w14:textId="77777777" w:rsidR="009F0E74" w:rsidRDefault="00FE2E3F">
                          <w:pPr>
                            <w:pStyle w:val="LineNumbers"/>
                          </w:pPr>
                          <w:r>
                            <w:t>26</w:t>
                          </w:r>
                        </w:p>
                        <w:p w14:paraId="04D9A586" w14:textId="77777777" w:rsidR="009F0E74" w:rsidRDefault="00FE2E3F">
                          <w:pPr>
                            <w:pStyle w:val="LineNumbers"/>
                          </w:pPr>
                          <w:r>
                            <w:t>27</w:t>
                          </w:r>
                        </w:p>
                        <w:p w14:paraId="2CAFC286" w14:textId="77777777" w:rsidR="009F0E74" w:rsidRDefault="00FE2E3F">
                          <w:pPr>
                            <w:pStyle w:val="LineNumbers"/>
                          </w:pPr>
                          <w:r>
                            <w:t>28</w:t>
                          </w:r>
                        </w:p>
                        <w:p w14:paraId="6DC65509"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BBBBF"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" stroked="f">
              <v:textbox inset="0,0,0,0">
                <w:txbxContent>
                  <w:p w14:paraId="41874ACD" w14:textId="77777777" w:rsidR="009F0E74" w:rsidRDefault="00FE2E3F">
                    <w:pPr>
                      <w:pStyle w:val="LineNumbers"/>
                    </w:pPr>
                    <w:r>
                      <w:t>1</w:t>
                    </w:r>
                  </w:p>
                  <w:p w14:paraId="7E4D5F67" w14:textId="77777777" w:rsidR="009F0E74" w:rsidRDefault="00FE2E3F">
                    <w:pPr>
                      <w:pStyle w:val="LineNumbers"/>
                    </w:pPr>
                    <w:r>
                      <w:t>2</w:t>
                    </w:r>
                  </w:p>
                  <w:p w14:paraId="7951F6D0" w14:textId="77777777" w:rsidR="009F0E74" w:rsidRDefault="00FE2E3F">
                    <w:pPr>
                      <w:pStyle w:val="LineNumbers"/>
                    </w:pPr>
                    <w:r>
                      <w:t>3</w:t>
                    </w:r>
                  </w:p>
                  <w:p w14:paraId="58768844" w14:textId="77777777" w:rsidR="009F0E74" w:rsidRDefault="00FE2E3F">
                    <w:pPr>
                      <w:pStyle w:val="LineNumbers"/>
                    </w:pPr>
                    <w:r>
                      <w:t>4</w:t>
                    </w:r>
                  </w:p>
                  <w:p w14:paraId="56567889" w14:textId="77777777" w:rsidR="009F0E74" w:rsidRDefault="00FE2E3F">
                    <w:pPr>
                      <w:pStyle w:val="LineNumbers"/>
                    </w:pPr>
                    <w:r>
                      <w:t>5</w:t>
                    </w:r>
                  </w:p>
                  <w:p w14:paraId="4E5B05D2" w14:textId="77777777" w:rsidR="009F0E74" w:rsidRDefault="00FE2E3F">
                    <w:pPr>
                      <w:pStyle w:val="LineNumbers"/>
                    </w:pPr>
                    <w:r>
                      <w:t>6</w:t>
                    </w:r>
                  </w:p>
                  <w:p w14:paraId="14FB3244" w14:textId="77777777" w:rsidR="009F0E74" w:rsidRDefault="00FE2E3F">
                    <w:pPr>
                      <w:pStyle w:val="LineNumbers"/>
                    </w:pPr>
                    <w:r>
                      <w:t>7</w:t>
                    </w:r>
                  </w:p>
                  <w:p w14:paraId="03C4208A" w14:textId="77777777" w:rsidR="009F0E74" w:rsidRDefault="00FE2E3F">
                    <w:pPr>
                      <w:pStyle w:val="LineNumbers"/>
                    </w:pPr>
                    <w:r>
                      <w:t>8</w:t>
                    </w:r>
                  </w:p>
                  <w:p w14:paraId="16210CB3" w14:textId="77777777" w:rsidR="009F0E74" w:rsidRDefault="00FE2E3F">
                    <w:pPr>
                      <w:pStyle w:val="LineNumbers"/>
                    </w:pPr>
                    <w:r>
                      <w:t>9</w:t>
                    </w:r>
                  </w:p>
                  <w:p w14:paraId="0CF0FC35" w14:textId="77777777" w:rsidR="009F0E74" w:rsidRDefault="00FE2E3F">
                    <w:pPr>
                      <w:pStyle w:val="LineNumbers"/>
                    </w:pPr>
                    <w:r>
                      <w:t>10</w:t>
                    </w:r>
                  </w:p>
                  <w:p w14:paraId="1408342E" w14:textId="77777777" w:rsidR="009F0E74" w:rsidRDefault="00FE2E3F">
                    <w:pPr>
                      <w:pStyle w:val="LineNumbers"/>
                    </w:pPr>
                    <w:r>
                      <w:t>11</w:t>
                    </w:r>
                  </w:p>
                  <w:p w14:paraId="19C681A9" w14:textId="77777777" w:rsidR="009F0E74" w:rsidRDefault="00FE2E3F">
                    <w:pPr>
                      <w:pStyle w:val="LineNumbers"/>
                    </w:pPr>
                    <w:r>
                      <w:t>12</w:t>
                    </w:r>
                  </w:p>
                  <w:p w14:paraId="6F68E5AA" w14:textId="77777777" w:rsidR="009F0E74" w:rsidRDefault="00FE2E3F">
                    <w:pPr>
                      <w:pStyle w:val="LineNumbers"/>
                    </w:pPr>
                    <w:r>
                      <w:t>13</w:t>
                    </w:r>
                  </w:p>
                  <w:p w14:paraId="263FB095" w14:textId="77777777" w:rsidR="009F0E74" w:rsidRDefault="00FE2E3F">
                    <w:pPr>
                      <w:pStyle w:val="LineNumbers"/>
                    </w:pPr>
                    <w:r>
                      <w:t>14</w:t>
                    </w:r>
                  </w:p>
                  <w:p w14:paraId="7466077D" w14:textId="77777777" w:rsidR="009F0E74" w:rsidRDefault="00FE2E3F">
                    <w:pPr>
                      <w:pStyle w:val="LineNumbers"/>
                    </w:pPr>
                    <w:r>
                      <w:t>15</w:t>
                    </w:r>
                  </w:p>
                  <w:p w14:paraId="093A2B91" w14:textId="77777777" w:rsidR="009F0E74" w:rsidRDefault="00FE2E3F">
                    <w:pPr>
                      <w:pStyle w:val="LineNumbers"/>
                    </w:pPr>
                    <w:r>
                      <w:t>16</w:t>
                    </w:r>
                  </w:p>
                  <w:p w14:paraId="17A6158C" w14:textId="77777777" w:rsidR="009F0E74" w:rsidRDefault="00FE2E3F">
                    <w:pPr>
                      <w:pStyle w:val="LineNumbers"/>
                    </w:pPr>
                    <w:r>
                      <w:t>17</w:t>
                    </w:r>
                  </w:p>
                  <w:p w14:paraId="5995545B" w14:textId="77777777" w:rsidR="009F0E74" w:rsidRDefault="00FE2E3F">
                    <w:pPr>
                      <w:pStyle w:val="LineNumbers"/>
                    </w:pPr>
                    <w:r>
                      <w:t>18</w:t>
                    </w:r>
                  </w:p>
                  <w:p w14:paraId="50D1FF40" w14:textId="77777777" w:rsidR="009F0E74" w:rsidRDefault="00FE2E3F">
                    <w:pPr>
                      <w:pStyle w:val="LineNumbers"/>
                    </w:pPr>
                    <w:r>
                      <w:t>19</w:t>
                    </w:r>
                  </w:p>
                  <w:p w14:paraId="233A0C13" w14:textId="77777777" w:rsidR="009F0E74" w:rsidRDefault="00FE2E3F">
                    <w:pPr>
                      <w:pStyle w:val="LineNumbers"/>
                    </w:pPr>
                    <w:r>
                      <w:t>20</w:t>
                    </w:r>
                  </w:p>
                  <w:p w14:paraId="04EDF5DE" w14:textId="77777777" w:rsidR="009F0E74" w:rsidRDefault="00FE2E3F">
                    <w:pPr>
                      <w:pStyle w:val="LineNumbers"/>
                    </w:pPr>
                    <w:r>
                      <w:t>21</w:t>
                    </w:r>
                  </w:p>
                  <w:p w14:paraId="37FE0BA2" w14:textId="77777777" w:rsidR="009F0E74" w:rsidRDefault="00FE2E3F">
                    <w:pPr>
                      <w:pStyle w:val="LineNumbers"/>
                    </w:pPr>
                    <w:r>
                      <w:t>22</w:t>
                    </w:r>
                  </w:p>
                  <w:p w14:paraId="2811125B" w14:textId="77777777" w:rsidR="009F0E74" w:rsidRDefault="00FE2E3F">
                    <w:pPr>
                      <w:pStyle w:val="LineNumbers"/>
                    </w:pPr>
                    <w:r>
                      <w:t>23</w:t>
                    </w:r>
                  </w:p>
                  <w:p w14:paraId="31F9F1FE" w14:textId="77777777" w:rsidR="009F0E74" w:rsidRDefault="00FE2E3F">
                    <w:pPr>
                      <w:pStyle w:val="LineNumbers"/>
                    </w:pPr>
                    <w:r>
                      <w:t>24</w:t>
                    </w:r>
                  </w:p>
                  <w:p w14:paraId="5CC57B4F" w14:textId="77777777" w:rsidR="009F0E74" w:rsidRDefault="00FE2E3F">
                    <w:pPr>
                      <w:pStyle w:val="LineNumbers"/>
                    </w:pPr>
                    <w:r>
                      <w:t>25</w:t>
                    </w:r>
                  </w:p>
                  <w:p w14:paraId="1F185DF8" w14:textId="77777777" w:rsidR="009F0E74" w:rsidRDefault="00FE2E3F">
                    <w:pPr>
                      <w:pStyle w:val="LineNumbers"/>
                    </w:pPr>
                    <w:r>
                      <w:t>26</w:t>
                    </w:r>
                  </w:p>
                  <w:p w14:paraId="04D9A586" w14:textId="77777777" w:rsidR="009F0E74" w:rsidRDefault="00FE2E3F">
                    <w:pPr>
                      <w:pStyle w:val="LineNumbers"/>
                    </w:pPr>
                    <w:r>
                      <w:t>27</w:t>
                    </w:r>
                  </w:p>
                  <w:p w14:paraId="2CAFC286" w14:textId="77777777" w:rsidR="009F0E74" w:rsidRDefault="00FE2E3F">
                    <w:pPr>
                      <w:pStyle w:val="LineNumbers"/>
                    </w:pPr>
                    <w:r>
                      <w:t>28</w:t>
                    </w:r>
                  </w:p>
                  <w:p w14:paraId="6DC65509" w14:textId="77777777" w:rsidR="009F0E74" w:rsidRDefault="009F0E74">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8309D"/>
    <w:multiLevelType w:val="hybridMultilevel"/>
    <w:tmpl w:val="848422DA"/>
    <w:lvl w:ilvl="0" w:tplc="5846F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135D7"/>
    <w:multiLevelType w:val="hybridMultilevel"/>
    <w:tmpl w:val="D8EE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509F2"/>
    <w:multiLevelType w:val="hybridMultilevel"/>
    <w:tmpl w:val="D9B48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0C4B50"/>
    <w:multiLevelType w:val="hybridMultilevel"/>
    <w:tmpl w:val="8F4E08CA"/>
    <w:lvl w:ilvl="0" w:tplc="E294FE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422F52"/>
    <w:multiLevelType w:val="hybridMultilevel"/>
    <w:tmpl w:val="22AEED9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1880095">
    <w:abstractNumId w:val="9"/>
  </w:num>
  <w:num w:numId="2" w16cid:durableId="1973830227">
    <w:abstractNumId w:val="7"/>
  </w:num>
  <w:num w:numId="3" w16cid:durableId="807436248">
    <w:abstractNumId w:val="6"/>
  </w:num>
  <w:num w:numId="4" w16cid:durableId="1293319422">
    <w:abstractNumId w:val="5"/>
  </w:num>
  <w:num w:numId="5" w16cid:durableId="1264535261">
    <w:abstractNumId w:val="4"/>
  </w:num>
  <w:num w:numId="6" w16cid:durableId="953514308">
    <w:abstractNumId w:val="8"/>
  </w:num>
  <w:num w:numId="7" w16cid:durableId="410154058">
    <w:abstractNumId w:val="3"/>
  </w:num>
  <w:num w:numId="8" w16cid:durableId="2052923413">
    <w:abstractNumId w:val="2"/>
  </w:num>
  <w:num w:numId="9" w16cid:durableId="1204827933">
    <w:abstractNumId w:val="1"/>
  </w:num>
  <w:num w:numId="10" w16cid:durableId="492839120">
    <w:abstractNumId w:val="0"/>
  </w:num>
  <w:num w:numId="11" w16cid:durableId="1277715201">
    <w:abstractNumId w:val="13"/>
  </w:num>
  <w:num w:numId="12" w16cid:durableId="573324245">
    <w:abstractNumId w:val="10"/>
  </w:num>
  <w:num w:numId="13" w16cid:durableId="584388334">
    <w:abstractNumId w:val="11"/>
  </w:num>
  <w:num w:numId="14" w16cid:durableId="326398396">
    <w:abstractNumId w:val="14"/>
  </w:num>
  <w:num w:numId="15" w16cid:durableId="1823811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1D"/>
    <w:rsid w:val="00004BF8"/>
    <w:rsid w:val="00006C3A"/>
    <w:rsid w:val="00010460"/>
    <w:rsid w:val="0001219F"/>
    <w:rsid w:val="000128E1"/>
    <w:rsid w:val="000137E7"/>
    <w:rsid w:val="00015F84"/>
    <w:rsid w:val="00023182"/>
    <w:rsid w:val="00023779"/>
    <w:rsid w:val="0002472E"/>
    <w:rsid w:val="00025E02"/>
    <w:rsid w:val="00026227"/>
    <w:rsid w:val="000279AB"/>
    <w:rsid w:val="0003176F"/>
    <w:rsid w:val="00031DD7"/>
    <w:rsid w:val="00032CF1"/>
    <w:rsid w:val="00046E5C"/>
    <w:rsid w:val="000528DC"/>
    <w:rsid w:val="000537C6"/>
    <w:rsid w:val="00053FD8"/>
    <w:rsid w:val="00055356"/>
    <w:rsid w:val="0006537E"/>
    <w:rsid w:val="000722D0"/>
    <w:rsid w:val="00077FC3"/>
    <w:rsid w:val="000803A0"/>
    <w:rsid w:val="0008262E"/>
    <w:rsid w:val="00094FDF"/>
    <w:rsid w:val="000A0AAA"/>
    <w:rsid w:val="000A2655"/>
    <w:rsid w:val="000A4030"/>
    <w:rsid w:val="000A6819"/>
    <w:rsid w:val="000B17EF"/>
    <w:rsid w:val="000B67D2"/>
    <w:rsid w:val="000C0B96"/>
    <w:rsid w:val="000C14FA"/>
    <w:rsid w:val="000C3749"/>
    <w:rsid w:val="000C3FB2"/>
    <w:rsid w:val="000C50F1"/>
    <w:rsid w:val="000C5A44"/>
    <w:rsid w:val="000C797E"/>
    <w:rsid w:val="000D10C3"/>
    <w:rsid w:val="000D1CF4"/>
    <w:rsid w:val="000D292E"/>
    <w:rsid w:val="000D30DD"/>
    <w:rsid w:val="000E72F6"/>
    <w:rsid w:val="000F2C70"/>
    <w:rsid w:val="000F46A9"/>
    <w:rsid w:val="0010279B"/>
    <w:rsid w:val="00107549"/>
    <w:rsid w:val="0011213D"/>
    <w:rsid w:val="0012000B"/>
    <w:rsid w:val="001239F4"/>
    <w:rsid w:val="00124159"/>
    <w:rsid w:val="00124AAB"/>
    <w:rsid w:val="00132520"/>
    <w:rsid w:val="0013271D"/>
    <w:rsid w:val="00142F39"/>
    <w:rsid w:val="00150A22"/>
    <w:rsid w:val="0016330E"/>
    <w:rsid w:val="001652D0"/>
    <w:rsid w:val="001800FD"/>
    <w:rsid w:val="00180375"/>
    <w:rsid w:val="00182FD1"/>
    <w:rsid w:val="00185917"/>
    <w:rsid w:val="00185DDA"/>
    <w:rsid w:val="00185F18"/>
    <w:rsid w:val="00192313"/>
    <w:rsid w:val="00195695"/>
    <w:rsid w:val="00197C13"/>
    <w:rsid w:val="001A0DDF"/>
    <w:rsid w:val="001B10D5"/>
    <w:rsid w:val="001B1726"/>
    <w:rsid w:val="001B1934"/>
    <w:rsid w:val="001C306A"/>
    <w:rsid w:val="001C341E"/>
    <w:rsid w:val="001D05CE"/>
    <w:rsid w:val="001D1C58"/>
    <w:rsid w:val="001D62EE"/>
    <w:rsid w:val="001E0280"/>
    <w:rsid w:val="001F1233"/>
    <w:rsid w:val="001F6980"/>
    <w:rsid w:val="001F7D3B"/>
    <w:rsid w:val="00203C7B"/>
    <w:rsid w:val="00204E32"/>
    <w:rsid w:val="0022340C"/>
    <w:rsid w:val="0022369F"/>
    <w:rsid w:val="002275A0"/>
    <w:rsid w:val="00231407"/>
    <w:rsid w:val="00231D9C"/>
    <w:rsid w:val="00242DBB"/>
    <w:rsid w:val="002462BF"/>
    <w:rsid w:val="00247670"/>
    <w:rsid w:val="00260A2D"/>
    <w:rsid w:val="00261195"/>
    <w:rsid w:val="00262222"/>
    <w:rsid w:val="002659FD"/>
    <w:rsid w:val="002704AB"/>
    <w:rsid w:val="002720E8"/>
    <w:rsid w:val="002739EB"/>
    <w:rsid w:val="00276EBD"/>
    <w:rsid w:val="00280580"/>
    <w:rsid w:val="00287D2C"/>
    <w:rsid w:val="00293BDA"/>
    <w:rsid w:val="002A09EB"/>
    <w:rsid w:val="002A0A6B"/>
    <w:rsid w:val="002A16DC"/>
    <w:rsid w:val="002B3CBD"/>
    <w:rsid w:val="002B3DD4"/>
    <w:rsid w:val="002B464A"/>
    <w:rsid w:val="002B5E3F"/>
    <w:rsid w:val="002C0B69"/>
    <w:rsid w:val="002C0DD6"/>
    <w:rsid w:val="002C4561"/>
    <w:rsid w:val="002C5810"/>
    <w:rsid w:val="002D3B2E"/>
    <w:rsid w:val="002D65FF"/>
    <w:rsid w:val="002D7675"/>
    <w:rsid w:val="002E307B"/>
    <w:rsid w:val="002E3EAC"/>
    <w:rsid w:val="002E3FA5"/>
    <w:rsid w:val="002E693A"/>
    <w:rsid w:val="002F1DBA"/>
    <w:rsid w:val="002F7AD4"/>
    <w:rsid w:val="0030233D"/>
    <w:rsid w:val="003033E3"/>
    <w:rsid w:val="00303A64"/>
    <w:rsid w:val="003045F6"/>
    <w:rsid w:val="0030491B"/>
    <w:rsid w:val="00305838"/>
    <w:rsid w:val="00306A11"/>
    <w:rsid w:val="00307E4A"/>
    <w:rsid w:val="00317CDC"/>
    <w:rsid w:val="003215DC"/>
    <w:rsid w:val="0032534D"/>
    <w:rsid w:val="00330108"/>
    <w:rsid w:val="00330A2A"/>
    <w:rsid w:val="003340EC"/>
    <w:rsid w:val="00336F38"/>
    <w:rsid w:val="003412D2"/>
    <w:rsid w:val="00344D21"/>
    <w:rsid w:val="003454BF"/>
    <w:rsid w:val="003512FC"/>
    <w:rsid w:val="003530D4"/>
    <w:rsid w:val="0035614D"/>
    <w:rsid w:val="003600FC"/>
    <w:rsid w:val="003608DB"/>
    <w:rsid w:val="00363036"/>
    <w:rsid w:val="0036726E"/>
    <w:rsid w:val="0037080F"/>
    <w:rsid w:val="00370FB1"/>
    <w:rsid w:val="0038061E"/>
    <w:rsid w:val="00391B48"/>
    <w:rsid w:val="00392409"/>
    <w:rsid w:val="00394BCC"/>
    <w:rsid w:val="00395B4D"/>
    <w:rsid w:val="00396944"/>
    <w:rsid w:val="003A2162"/>
    <w:rsid w:val="003A65EA"/>
    <w:rsid w:val="003C00A3"/>
    <w:rsid w:val="003C11CC"/>
    <w:rsid w:val="003C32A3"/>
    <w:rsid w:val="003C4839"/>
    <w:rsid w:val="003C756E"/>
    <w:rsid w:val="003C7762"/>
    <w:rsid w:val="003D154D"/>
    <w:rsid w:val="003E14C5"/>
    <w:rsid w:val="003E2189"/>
    <w:rsid w:val="003E4B56"/>
    <w:rsid w:val="003E7DB9"/>
    <w:rsid w:val="003F04FC"/>
    <w:rsid w:val="003F750A"/>
    <w:rsid w:val="0040003E"/>
    <w:rsid w:val="00402EB2"/>
    <w:rsid w:val="004054B1"/>
    <w:rsid w:val="00413B27"/>
    <w:rsid w:val="00413DBB"/>
    <w:rsid w:val="00414B87"/>
    <w:rsid w:val="004230D4"/>
    <w:rsid w:val="00423CD3"/>
    <w:rsid w:val="00425BB1"/>
    <w:rsid w:val="004335C0"/>
    <w:rsid w:val="00441EBC"/>
    <w:rsid w:val="00443D50"/>
    <w:rsid w:val="004458A2"/>
    <w:rsid w:val="0045466F"/>
    <w:rsid w:val="004605F6"/>
    <w:rsid w:val="00473778"/>
    <w:rsid w:val="00474407"/>
    <w:rsid w:val="00476E03"/>
    <w:rsid w:val="00480B96"/>
    <w:rsid w:val="00486644"/>
    <w:rsid w:val="00494E68"/>
    <w:rsid w:val="004A436B"/>
    <w:rsid w:val="004A44A7"/>
    <w:rsid w:val="004A6FDE"/>
    <w:rsid w:val="004A7DFB"/>
    <w:rsid w:val="004B1D69"/>
    <w:rsid w:val="004B52C4"/>
    <w:rsid w:val="004B6863"/>
    <w:rsid w:val="004C39C9"/>
    <w:rsid w:val="004C5F4D"/>
    <w:rsid w:val="004D7578"/>
    <w:rsid w:val="004E1A98"/>
    <w:rsid w:val="004E2CE3"/>
    <w:rsid w:val="004E6C9F"/>
    <w:rsid w:val="004F5948"/>
    <w:rsid w:val="004F69C3"/>
    <w:rsid w:val="005014FE"/>
    <w:rsid w:val="00501992"/>
    <w:rsid w:val="00504D78"/>
    <w:rsid w:val="00513E63"/>
    <w:rsid w:val="00514A41"/>
    <w:rsid w:val="00521575"/>
    <w:rsid w:val="00523E1C"/>
    <w:rsid w:val="005248D8"/>
    <w:rsid w:val="00531766"/>
    <w:rsid w:val="005325D0"/>
    <w:rsid w:val="005355AC"/>
    <w:rsid w:val="00542245"/>
    <w:rsid w:val="0054303D"/>
    <w:rsid w:val="00550C6E"/>
    <w:rsid w:val="00552C2C"/>
    <w:rsid w:val="005555C7"/>
    <w:rsid w:val="005574BF"/>
    <w:rsid w:val="0056354B"/>
    <w:rsid w:val="00564797"/>
    <w:rsid w:val="005702AB"/>
    <w:rsid w:val="00570977"/>
    <w:rsid w:val="00574CE6"/>
    <w:rsid w:val="00590DDB"/>
    <w:rsid w:val="0059393E"/>
    <w:rsid w:val="005A0CF6"/>
    <w:rsid w:val="005A3260"/>
    <w:rsid w:val="005A52AB"/>
    <w:rsid w:val="005A591F"/>
    <w:rsid w:val="005B3FAF"/>
    <w:rsid w:val="005C0247"/>
    <w:rsid w:val="005D3AAA"/>
    <w:rsid w:val="005E19FC"/>
    <w:rsid w:val="005E65EA"/>
    <w:rsid w:val="005F2F20"/>
    <w:rsid w:val="005F71F2"/>
    <w:rsid w:val="005F72D9"/>
    <w:rsid w:val="00604205"/>
    <w:rsid w:val="00617CDE"/>
    <w:rsid w:val="00625169"/>
    <w:rsid w:val="00627B8F"/>
    <w:rsid w:val="006326FE"/>
    <w:rsid w:val="0063283D"/>
    <w:rsid w:val="00642D64"/>
    <w:rsid w:val="00642F66"/>
    <w:rsid w:val="0064314A"/>
    <w:rsid w:val="0064670A"/>
    <w:rsid w:val="0064700D"/>
    <w:rsid w:val="00650708"/>
    <w:rsid w:val="00652494"/>
    <w:rsid w:val="0065422B"/>
    <w:rsid w:val="006548E0"/>
    <w:rsid w:val="00661641"/>
    <w:rsid w:val="00663196"/>
    <w:rsid w:val="006648CB"/>
    <w:rsid w:val="006746B5"/>
    <w:rsid w:val="006776B1"/>
    <w:rsid w:val="00680605"/>
    <w:rsid w:val="0068635A"/>
    <w:rsid w:val="00692CA5"/>
    <w:rsid w:val="0069393D"/>
    <w:rsid w:val="00693F87"/>
    <w:rsid w:val="006A2B4C"/>
    <w:rsid w:val="006A5B6A"/>
    <w:rsid w:val="006B0CC8"/>
    <w:rsid w:val="006B1DFC"/>
    <w:rsid w:val="006C5C5D"/>
    <w:rsid w:val="006D354C"/>
    <w:rsid w:val="006D4DB1"/>
    <w:rsid w:val="006D5556"/>
    <w:rsid w:val="006D6A3F"/>
    <w:rsid w:val="006E19F1"/>
    <w:rsid w:val="006E2BD1"/>
    <w:rsid w:val="006E6055"/>
    <w:rsid w:val="006E6EF2"/>
    <w:rsid w:val="006F274D"/>
    <w:rsid w:val="00705901"/>
    <w:rsid w:val="00706D53"/>
    <w:rsid w:val="00713036"/>
    <w:rsid w:val="0071462B"/>
    <w:rsid w:val="007147D9"/>
    <w:rsid w:val="00721C3E"/>
    <w:rsid w:val="007266FD"/>
    <w:rsid w:val="007303D8"/>
    <w:rsid w:val="00733EA8"/>
    <w:rsid w:val="007357F6"/>
    <w:rsid w:val="00736374"/>
    <w:rsid w:val="00745E38"/>
    <w:rsid w:val="0076002A"/>
    <w:rsid w:val="0077251F"/>
    <w:rsid w:val="00773D11"/>
    <w:rsid w:val="00780687"/>
    <w:rsid w:val="00785D01"/>
    <w:rsid w:val="0078648F"/>
    <w:rsid w:val="007876FD"/>
    <w:rsid w:val="00791F86"/>
    <w:rsid w:val="007923C2"/>
    <w:rsid w:val="0079438F"/>
    <w:rsid w:val="00796D4B"/>
    <w:rsid w:val="007A5B6C"/>
    <w:rsid w:val="007A6833"/>
    <w:rsid w:val="007A7D7A"/>
    <w:rsid w:val="007B34EB"/>
    <w:rsid w:val="007B4EB6"/>
    <w:rsid w:val="007B7E18"/>
    <w:rsid w:val="007C33F8"/>
    <w:rsid w:val="007C7259"/>
    <w:rsid w:val="007D5E03"/>
    <w:rsid w:val="007E2CE2"/>
    <w:rsid w:val="007F4AC5"/>
    <w:rsid w:val="0080154C"/>
    <w:rsid w:val="0080511B"/>
    <w:rsid w:val="00814119"/>
    <w:rsid w:val="00820F38"/>
    <w:rsid w:val="0082119A"/>
    <w:rsid w:val="008232C7"/>
    <w:rsid w:val="00833F65"/>
    <w:rsid w:val="00834D4C"/>
    <w:rsid w:val="00834F44"/>
    <w:rsid w:val="0083608B"/>
    <w:rsid w:val="00840A4C"/>
    <w:rsid w:val="00842217"/>
    <w:rsid w:val="008445C8"/>
    <w:rsid w:val="00845B49"/>
    <w:rsid w:val="00847387"/>
    <w:rsid w:val="00850E57"/>
    <w:rsid w:val="00860160"/>
    <w:rsid w:val="00865E7B"/>
    <w:rsid w:val="00867A66"/>
    <w:rsid w:val="008739CF"/>
    <w:rsid w:val="00873DE7"/>
    <w:rsid w:val="00881E1F"/>
    <w:rsid w:val="00881EB7"/>
    <w:rsid w:val="008832AD"/>
    <w:rsid w:val="008856FD"/>
    <w:rsid w:val="00893ECA"/>
    <w:rsid w:val="00895FB1"/>
    <w:rsid w:val="008A2C5D"/>
    <w:rsid w:val="008A55C8"/>
    <w:rsid w:val="008A736B"/>
    <w:rsid w:val="008B057D"/>
    <w:rsid w:val="008B0BB5"/>
    <w:rsid w:val="008B1B6F"/>
    <w:rsid w:val="008B40B3"/>
    <w:rsid w:val="008B65B1"/>
    <w:rsid w:val="008C1149"/>
    <w:rsid w:val="008C20DE"/>
    <w:rsid w:val="008C5774"/>
    <w:rsid w:val="008C7CC4"/>
    <w:rsid w:val="008D2103"/>
    <w:rsid w:val="008D3AEB"/>
    <w:rsid w:val="008D3DE5"/>
    <w:rsid w:val="008D65F4"/>
    <w:rsid w:val="008E00A6"/>
    <w:rsid w:val="008E096E"/>
    <w:rsid w:val="008E28FD"/>
    <w:rsid w:val="008E4768"/>
    <w:rsid w:val="008F2957"/>
    <w:rsid w:val="00902781"/>
    <w:rsid w:val="00912A5A"/>
    <w:rsid w:val="00922B46"/>
    <w:rsid w:val="00922FC3"/>
    <w:rsid w:val="00923EDC"/>
    <w:rsid w:val="0092669A"/>
    <w:rsid w:val="0093739A"/>
    <w:rsid w:val="009405C6"/>
    <w:rsid w:val="009411EC"/>
    <w:rsid w:val="009525E2"/>
    <w:rsid w:val="00956668"/>
    <w:rsid w:val="00967CA8"/>
    <w:rsid w:val="00970CF7"/>
    <w:rsid w:val="00982813"/>
    <w:rsid w:val="00985646"/>
    <w:rsid w:val="009918DE"/>
    <w:rsid w:val="00994168"/>
    <w:rsid w:val="009942C4"/>
    <w:rsid w:val="00997A8F"/>
    <w:rsid w:val="00997C56"/>
    <w:rsid w:val="009A3850"/>
    <w:rsid w:val="009A4C90"/>
    <w:rsid w:val="009A6F53"/>
    <w:rsid w:val="009B0CC7"/>
    <w:rsid w:val="009B42C3"/>
    <w:rsid w:val="009B5579"/>
    <w:rsid w:val="009B5E7E"/>
    <w:rsid w:val="009B7AEE"/>
    <w:rsid w:val="009C220A"/>
    <w:rsid w:val="009C3595"/>
    <w:rsid w:val="009C471E"/>
    <w:rsid w:val="009C6CDD"/>
    <w:rsid w:val="009C7FE3"/>
    <w:rsid w:val="009D2B34"/>
    <w:rsid w:val="009E55D3"/>
    <w:rsid w:val="009E78CA"/>
    <w:rsid w:val="009F0E74"/>
    <w:rsid w:val="009F1964"/>
    <w:rsid w:val="00A0429A"/>
    <w:rsid w:val="00A04EB8"/>
    <w:rsid w:val="00A06531"/>
    <w:rsid w:val="00A0731C"/>
    <w:rsid w:val="00A07896"/>
    <w:rsid w:val="00A13319"/>
    <w:rsid w:val="00A134E4"/>
    <w:rsid w:val="00A135F5"/>
    <w:rsid w:val="00A170AA"/>
    <w:rsid w:val="00A2037B"/>
    <w:rsid w:val="00A22EAF"/>
    <w:rsid w:val="00A24312"/>
    <w:rsid w:val="00A25DDD"/>
    <w:rsid w:val="00A310A5"/>
    <w:rsid w:val="00A336A2"/>
    <w:rsid w:val="00A40764"/>
    <w:rsid w:val="00A40D1E"/>
    <w:rsid w:val="00A41506"/>
    <w:rsid w:val="00A415D5"/>
    <w:rsid w:val="00A41FAB"/>
    <w:rsid w:val="00A4240C"/>
    <w:rsid w:val="00A439E4"/>
    <w:rsid w:val="00A445E1"/>
    <w:rsid w:val="00A50746"/>
    <w:rsid w:val="00A53F85"/>
    <w:rsid w:val="00A556A9"/>
    <w:rsid w:val="00A57925"/>
    <w:rsid w:val="00A62C43"/>
    <w:rsid w:val="00A62F73"/>
    <w:rsid w:val="00A636F3"/>
    <w:rsid w:val="00A73F6B"/>
    <w:rsid w:val="00A74112"/>
    <w:rsid w:val="00A82765"/>
    <w:rsid w:val="00A869A0"/>
    <w:rsid w:val="00A875F2"/>
    <w:rsid w:val="00A90E8B"/>
    <w:rsid w:val="00A933FF"/>
    <w:rsid w:val="00A935B7"/>
    <w:rsid w:val="00A93962"/>
    <w:rsid w:val="00AA1632"/>
    <w:rsid w:val="00AA36BD"/>
    <w:rsid w:val="00AA5170"/>
    <w:rsid w:val="00AB0E85"/>
    <w:rsid w:val="00AC085F"/>
    <w:rsid w:val="00AC25AB"/>
    <w:rsid w:val="00AC427D"/>
    <w:rsid w:val="00AD0FBE"/>
    <w:rsid w:val="00AD24E9"/>
    <w:rsid w:val="00AD3FEB"/>
    <w:rsid w:val="00AD4392"/>
    <w:rsid w:val="00AD54DA"/>
    <w:rsid w:val="00AE172E"/>
    <w:rsid w:val="00AE2481"/>
    <w:rsid w:val="00AE4B6C"/>
    <w:rsid w:val="00AE557D"/>
    <w:rsid w:val="00AE579E"/>
    <w:rsid w:val="00AE59A0"/>
    <w:rsid w:val="00AE7A5F"/>
    <w:rsid w:val="00AF40A6"/>
    <w:rsid w:val="00B0548A"/>
    <w:rsid w:val="00B0560A"/>
    <w:rsid w:val="00B0621F"/>
    <w:rsid w:val="00B11302"/>
    <w:rsid w:val="00B149C7"/>
    <w:rsid w:val="00B214B7"/>
    <w:rsid w:val="00B2389D"/>
    <w:rsid w:val="00B24609"/>
    <w:rsid w:val="00B271A3"/>
    <w:rsid w:val="00B35364"/>
    <w:rsid w:val="00B37030"/>
    <w:rsid w:val="00B425C8"/>
    <w:rsid w:val="00B42F3B"/>
    <w:rsid w:val="00B50E02"/>
    <w:rsid w:val="00B5586F"/>
    <w:rsid w:val="00B60458"/>
    <w:rsid w:val="00B630FE"/>
    <w:rsid w:val="00B64A81"/>
    <w:rsid w:val="00B64E1D"/>
    <w:rsid w:val="00B7499F"/>
    <w:rsid w:val="00B74C0C"/>
    <w:rsid w:val="00B75045"/>
    <w:rsid w:val="00B76F9E"/>
    <w:rsid w:val="00B82EE7"/>
    <w:rsid w:val="00B83978"/>
    <w:rsid w:val="00B901FE"/>
    <w:rsid w:val="00B903FE"/>
    <w:rsid w:val="00B94813"/>
    <w:rsid w:val="00BA74C3"/>
    <w:rsid w:val="00BC1ED7"/>
    <w:rsid w:val="00BC4AE2"/>
    <w:rsid w:val="00BC4E0C"/>
    <w:rsid w:val="00BC66CD"/>
    <w:rsid w:val="00BD16CB"/>
    <w:rsid w:val="00BD184A"/>
    <w:rsid w:val="00BE0FD1"/>
    <w:rsid w:val="00BE1CFA"/>
    <w:rsid w:val="00BE448B"/>
    <w:rsid w:val="00BF3531"/>
    <w:rsid w:val="00BF43DA"/>
    <w:rsid w:val="00C01D1B"/>
    <w:rsid w:val="00C03424"/>
    <w:rsid w:val="00C044E1"/>
    <w:rsid w:val="00C04DC6"/>
    <w:rsid w:val="00C125BA"/>
    <w:rsid w:val="00C31D8F"/>
    <w:rsid w:val="00C31EED"/>
    <w:rsid w:val="00C37B73"/>
    <w:rsid w:val="00C40896"/>
    <w:rsid w:val="00C4311B"/>
    <w:rsid w:val="00C43FB3"/>
    <w:rsid w:val="00C4402B"/>
    <w:rsid w:val="00C5644F"/>
    <w:rsid w:val="00C61BC3"/>
    <w:rsid w:val="00C645F0"/>
    <w:rsid w:val="00C7113E"/>
    <w:rsid w:val="00C72052"/>
    <w:rsid w:val="00C734AF"/>
    <w:rsid w:val="00C76000"/>
    <w:rsid w:val="00C83639"/>
    <w:rsid w:val="00C839F4"/>
    <w:rsid w:val="00C85635"/>
    <w:rsid w:val="00C8635C"/>
    <w:rsid w:val="00C8684C"/>
    <w:rsid w:val="00C97CAC"/>
    <w:rsid w:val="00CA3208"/>
    <w:rsid w:val="00CB0503"/>
    <w:rsid w:val="00CB078D"/>
    <w:rsid w:val="00CB169D"/>
    <w:rsid w:val="00CB1747"/>
    <w:rsid w:val="00CB2A7D"/>
    <w:rsid w:val="00CB32B3"/>
    <w:rsid w:val="00CC0704"/>
    <w:rsid w:val="00CC0B71"/>
    <w:rsid w:val="00CC5A67"/>
    <w:rsid w:val="00CC7FF8"/>
    <w:rsid w:val="00CD0062"/>
    <w:rsid w:val="00CD1EAF"/>
    <w:rsid w:val="00CE33A5"/>
    <w:rsid w:val="00CE42C9"/>
    <w:rsid w:val="00CF026A"/>
    <w:rsid w:val="00CF2700"/>
    <w:rsid w:val="00CF3F85"/>
    <w:rsid w:val="00CF616E"/>
    <w:rsid w:val="00D0193B"/>
    <w:rsid w:val="00D01AA5"/>
    <w:rsid w:val="00D02B19"/>
    <w:rsid w:val="00D04568"/>
    <w:rsid w:val="00D10082"/>
    <w:rsid w:val="00D13A01"/>
    <w:rsid w:val="00D17D63"/>
    <w:rsid w:val="00D226AC"/>
    <w:rsid w:val="00D4115C"/>
    <w:rsid w:val="00D44BF8"/>
    <w:rsid w:val="00D472AF"/>
    <w:rsid w:val="00D542FD"/>
    <w:rsid w:val="00D55594"/>
    <w:rsid w:val="00D637B1"/>
    <w:rsid w:val="00D63C80"/>
    <w:rsid w:val="00D70FF1"/>
    <w:rsid w:val="00D77718"/>
    <w:rsid w:val="00D82A84"/>
    <w:rsid w:val="00D85766"/>
    <w:rsid w:val="00D92957"/>
    <w:rsid w:val="00D92BC3"/>
    <w:rsid w:val="00D957D2"/>
    <w:rsid w:val="00D96BA1"/>
    <w:rsid w:val="00DA0E54"/>
    <w:rsid w:val="00DA21E4"/>
    <w:rsid w:val="00DB0BD5"/>
    <w:rsid w:val="00DB2AB5"/>
    <w:rsid w:val="00DB3D0F"/>
    <w:rsid w:val="00DB674A"/>
    <w:rsid w:val="00DB71FB"/>
    <w:rsid w:val="00DC0CD3"/>
    <w:rsid w:val="00DC5725"/>
    <w:rsid w:val="00DC659A"/>
    <w:rsid w:val="00DD08E6"/>
    <w:rsid w:val="00DE620B"/>
    <w:rsid w:val="00DF131A"/>
    <w:rsid w:val="00DF1CDE"/>
    <w:rsid w:val="00DF402C"/>
    <w:rsid w:val="00DF4C6A"/>
    <w:rsid w:val="00DF6586"/>
    <w:rsid w:val="00E05935"/>
    <w:rsid w:val="00E12C3E"/>
    <w:rsid w:val="00E25F6A"/>
    <w:rsid w:val="00E30199"/>
    <w:rsid w:val="00E306C6"/>
    <w:rsid w:val="00E31457"/>
    <w:rsid w:val="00E3210B"/>
    <w:rsid w:val="00E34745"/>
    <w:rsid w:val="00E37864"/>
    <w:rsid w:val="00E41E3F"/>
    <w:rsid w:val="00E44538"/>
    <w:rsid w:val="00E4660E"/>
    <w:rsid w:val="00E47C60"/>
    <w:rsid w:val="00E50B61"/>
    <w:rsid w:val="00E5566C"/>
    <w:rsid w:val="00E57B99"/>
    <w:rsid w:val="00E60415"/>
    <w:rsid w:val="00E6056B"/>
    <w:rsid w:val="00E645CA"/>
    <w:rsid w:val="00E71799"/>
    <w:rsid w:val="00E75C1B"/>
    <w:rsid w:val="00E803FB"/>
    <w:rsid w:val="00E80A61"/>
    <w:rsid w:val="00E81EB2"/>
    <w:rsid w:val="00E837CB"/>
    <w:rsid w:val="00E961AA"/>
    <w:rsid w:val="00E962E1"/>
    <w:rsid w:val="00E96E68"/>
    <w:rsid w:val="00E973A7"/>
    <w:rsid w:val="00E97CF4"/>
    <w:rsid w:val="00E97CF9"/>
    <w:rsid w:val="00EA3203"/>
    <w:rsid w:val="00EA3238"/>
    <w:rsid w:val="00EA7E91"/>
    <w:rsid w:val="00EB1235"/>
    <w:rsid w:val="00EB7A33"/>
    <w:rsid w:val="00EC58DD"/>
    <w:rsid w:val="00ED0A80"/>
    <w:rsid w:val="00EE0E38"/>
    <w:rsid w:val="00EE15D7"/>
    <w:rsid w:val="00EE1EC3"/>
    <w:rsid w:val="00EE5E18"/>
    <w:rsid w:val="00EF5324"/>
    <w:rsid w:val="00F03C6A"/>
    <w:rsid w:val="00F04E4F"/>
    <w:rsid w:val="00F069EF"/>
    <w:rsid w:val="00F101BD"/>
    <w:rsid w:val="00F20D21"/>
    <w:rsid w:val="00F2183C"/>
    <w:rsid w:val="00F2226B"/>
    <w:rsid w:val="00F222FC"/>
    <w:rsid w:val="00F230A1"/>
    <w:rsid w:val="00F24095"/>
    <w:rsid w:val="00F3177A"/>
    <w:rsid w:val="00F32626"/>
    <w:rsid w:val="00F367F2"/>
    <w:rsid w:val="00F374FA"/>
    <w:rsid w:val="00F41E7E"/>
    <w:rsid w:val="00F4756B"/>
    <w:rsid w:val="00F478AC"/>
    <w:rsid w:val="00F552D1"/>
    <w:rsid w:val="00F61C14"/>
    <w:rsid w:val="00F62912"/>
    <w:rsid w:val="00F62D28"/>
    <w:rsid w:val="00F6569B"/>
    <w:rsid w:val="00F66859"/>
    <w:rsid w:val="00F67304"/>
    <w:rsid w:val="00F7240B"/>
    <w:rsid w:val="00F7343F"/>
    <w:rsid w:val="00F74AA8"/>
    <w:rsid w:val="00F8556C"/>
    <w:rsid w:val="00F879A9"/>
    <w:rsid w:val="00F90E99"/>
    <w:rsid w:val="00F90F83"/>
    <w:rsid w:val="00F97A33"/>
    <w:rsid w:val="00FA10B0"/>
    <w:rsid w:val="00FA22C1"/>
    <w:rsid w:val="00FA360C"/>
    <w:rsid w:val="00FA6242"/>
    <w:rsid w:val="00FB13B7"/>
    <w:rsid w:val="00FB49EF"/>
    <w:rsid w:val="00FC6336"/>
    <w:rsid w:val="00FC6DBA"/>
    <w:rsid w:val="00FC7312"/>
    <w:rsid w:val="00FC75CE"/>
    <w:rsid w:val="00FD0146"/>
    <w:rsid w:val="00FD0917"/>
    <w:rsid w:val="00FD120C"/>
    <w:rsid w:val="00FD2CF8"/>
    <w:rsid w:val="00FE2E3F"/>
    <w:rsid w:val="00FE5289"/>
    <w:rsid w:val="00FE5915"/>
    <w:rsid w:val="00FE5981"/>
    <w:rsid w:val="00FF2FD6"/>
    <w:rsid w:val="00FF5121"/>
    <w:rsid w:val="00FF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B21D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spacing w:line="240" w:lineRule="auto"/>
      <w:ind w:firstLine="0"/>
    </w:pPr>
    <w:rPr>
      <w:caps/>
    </w:rPr>
  </w:style>
  <w:style w:type="character" w:customStyle="1" w:styleId="FooterChar">
    <w:name w:val="Footer Char"/>
    <w:basedOn w:val="DefaultParagraphFont"/>
    <w:link w:val="Footer"/>
    <w:uiPriority w:val="99"/>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semiHidden/>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customStyle="1" w:styleId="Court">
    <w:name w:val="Court"/>
    <w:basedOn w:val="Normal"/>
    <w:rsid w:val="000C50F1"/>
    <w:pPr>
      <w:widowControl w:val="0"/>
      <w:spacing w:after="240" w:line="480" w:lineRule="exact"/>
      <w:ind w:firstLine="0"/>
      <w:jc w:val="center"/>
    </w:pPr>
    <w:rPr>
      <w:rFonts w:ascii="Times New Roman" w:eastAsia="Times New Roman" w:hAnsi="Times New Roman" w:cs="Times New Roman"/>
      <w:caps/>
      <w:sz w:val="26"/>
      <w:szCs w:val="26"/>
      <w:lang w:eastAsia="en-US"/>
    </w:rPr>
  </w:style>
  <w:style w:type="paragraph" w:styleId="FootnoteText">
    <w:name w:val="footnote text"/>
    <w:basedOn w:val="Normal"/>
    <w:link w:val="FootnoteTextChar"/>
    <w:uiPriority w:val="99"/>
    <w:semiHidden/>
    <w:unhideWhenUsed/>
    <w:rsid w:val="00DD08E6"/>
    <w:pPr>
      <w:spacing w:line="240" w:lineRule="auto"/>
    </w:pPr>
  </w:style>
  <w:style w:type="character" w:customStyle="1" w:styleId="FootnoteTextChar">
    <w:name w:val="Footnote Text Char"/>
    <w:basedOn w:val="DefaultParagraphFont"/>
    <w:link w:val="FootnoteText"/>
    <w:uiPriority w:val="99"/>
    <w:semiHidden/>
    <w:rsid w:val="00DD08E6"/>
  </w:style>
  <w:style w:type="character" w:styleId="FootnoteReference">
    <w:name w:val="footnote reference"/>
    <w:basedOn w:val="DefaultParagraphFont"/>
    <w:uiPriority w:val="99"/>
    <w:semiHidden/>
    <w:unhideWhenUsed/>
    <w:rsid w:val="00DD08E6"/>
    <w:rPr>
      <w:vertAlign w:val="superscript"/>
    </w:rPr>
  </w:style>
  <w:style w:type="paragraph" w:customStyle="1" w:styleId="Body">
    <w:name w:val="Body"/>
    <w:basedOn w:val="Normal"/>
    <w:rsid w:val="009B5579"/>
    <w:pPr>
      <w:spacing w:line="480" w:lineRule="exact"/>
    </w:pPr>
    <w:rPr>
      <w:rFonts w:ascii="Times New Roman" w:eastAsia="Times New Roman" w:hAnsi="Times New Roman" w:cs="Times New Roman"/>
      <w:sz w:val="26"/>
      <w:lang w:eastAsia="en-US"/>
    </w:rPr>
  </w:style>
  <w:style w:type="paragraph" w:customStyle="1" w:styleId="Default">
    <w:name w:val="Default"/>
    <w:rsid w:val="00FF2FD6"/>
    <w:pPr>
      <w:autoSpaceDE w:val="0"/>
      <w:autoSpaceDN w:val="0"/>
      <w:adjustRightInd w:val="0"/>
      <w:spacing w:line="240" w:lineRule="auto"/>
      <w:ind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9673">
      <w:bodyDiv w:val="1"/>
      <w:marLeft w:val="0"/>
      <w:marRight w:val="0"/>
      <w:marTop w:val="0"/>
      <w:marBottom w:val="0"/>
      <w:divBdr>
        <w:top w:val="none" w:sz="0" w:space="0" w:color="auto"/>
        <w:left w:val="none" w:sz="0" w:space="0" w:color="auto"/>
        <w:bottom w:val="none" w:sz="0" w:space="0" w:color="auto"/>
        <w:right w:val="none" w:sz="0" w:space="0" w:color="auto"/>
      </w:divBdr>
    </w:div>
    <w:div w:id="707418861">
      <w:bodyDiv w:val="1"/>
      <w:marLeft w:val="0"/>
      <w:marRight w:val="0"/>
      <w:marTop w:val="0"/>
      <w:marBottom w:val="0"/>
      <w:divBdr>
        <w:top w:val="none" w:sz="0" w:space="0" w:color="auto"/>
        <w:left w:val="none" w:sz="0" w:space="0" w:color="auto"/>
        <w:bottom w:val="none" w:sz="0" w:space="0" w:color="auto"/>
        <w:right w:val="none" w:sz="0" w:space="0" w:color="auto"/>
      </w:divBdr>
    </w:div>
    <w:div w:id="10307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2026-01-20T16:40:00Z</dcterms:created>
  <dcterms:modified xsi:type="dcterms:W3CDTF">2026-01-20T17:21:00Z</dcterms:modified>
</cp:coreProperties>
</file>