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D70F" w14:textId="77777777" w:rsidR="008A6833" w:rsidRPr="00AA65DB" w:rsidRDefault="008A6833" w:rsidP="008A6833">
      <w:pPr>
        <w:shd w:val="clear" w:color="auto" w:fill="FFFFFF"/>
        <w:spacing w:after="360" w:line="240" w:lineRule="auto"/>
        <w:jc w:val="center"/>
        <w:textAlignment w:val="baseline"/>
        <w:rPr>
          <w:color w:val="000000" w:themeColor="text1"/>
          <w:kern w:val="2"/>
          <w:sz w:val="28"/>
          <w:szCs w:val="28"/>
        </w:rPr>
      </w:pPr>
      <w:r w:rsidRPr="00AA65DB">
        <w:rPr>
          <w:b/>
          <w:bCs/>
          <w:color w:val="000000" w:themeColor="text1"/>
          <w:kern w:val="2"/>
          <w:sz w:val="28"/>
          <w:szCs w:val="28"/>
        </w:rPr>
        <w:t>APPENDIX A - Redline</w:t>
      </w:r>
      <w:r w:rsidRPr="00AA65DB">
        <w:rPr>
          <w:b/>
          <w:bCs/>
          <w:color w:val="000000" w:themeColor="text1"/>
          <w:kern w:val="2"/>
          <w:sz w:val="28"/>
          <w:szCs w:val="28"/>
        </w:rPr>
        <w:br/>
      </w:r>
      <w:r w:rsidRPr="00AA65DB">
        <w:rPr>
          <w:sz w:val="28"/>
          <w:szCs w:val="28"/>
        </w:rPr>
        <w:t xml:space="preserve">Additions to the text of a rule are shown by </w:t>
      </w:r>
      <w:r w:rsidRPr="00AA65DB">
        <w:rPr>
          <w:sz w:val="28"/>
          <w:szCs w:val="28"/>
          <w:u w:val="single"/>
        </w:rPr>
        <w:t>underscoring</w:t>
      </w:r>
      <w:r w:rsidRPr="00AA65DB">
        <w:rPr>
          <w:sz w:val="28"/>
          <w:szCs w:val="28"/>
        </w:rPr>
        <w:t xml:space="preserve"> and deletions are shown by </w:t>
      </w:r>
      <w:r w:rsidRPr="00AA65DB">
        <w:rPr>
          <w:strike/>
          <w:sz w:val="28"/>
          <w:szCs w:val="28"/>
        </w:rPr>
        <w:t>strike-through</w:t>
      </w:r>
      <w:r w:rsidRPr="00AA65DB">
        <w:rPr>
          <w:sz w:val="28"/>
          <w:szCs w:val="28"/>
        </w:rPr>
        <w:t>.</w:t>
      </w:r>
    </w:p>
    <w:p w14:paraId="5CE026FE" w14:textId="77777777" w:rsidR="008A6833" w:rsidRPr="00AA65DB" w:rsidRDefault="008A6833" w:rsidP="008A6833">
      <w:pPr>
        <w:spacing w:line="240" w:lineRule="auto"/>
        <w:ind w:left="180" w:right="180"/>
        <w:jc w:val="both"/>
        <w:rPr>
          <w:rFonts w:eastAsia="Aptos"/>
          <w:b/>
          <w:sz w:val="28"/>
          <w:szCs w:val="28"/>
        </w:rPr>
      </w:pPr>
    </w:p>
    <w:p w14:paraId="3994E638" w14:textId="109FC89F" w:rsidR="008A6833" w:rsidRPr="00AA65DB" w:rsidRDefault="008A6833" w:rsidP="008A6833">
      <w:pPr>
        <w:spacing w:line="240" w:lineRule="auto"/>
        <w:ind w:left="180" w:right="180"/>
        <w:jc w:val="both"/>
        <w:rPr>
          <w:rFonts w:eastAsia="Aptos"/>
          <w:b/>
          <w:sz w:val="28"/>
          <w:szCs w:val="28"/>
        </w:rPr>
      </w:pPr>
      <w:r w:rsidRPr="00AA65DB">
        <w:rPr>
          <w:rFonts w:eastAsia="Aptos"/>
          <w:b/>
          <w:sz w:val="28"/>
          <w:szCs w:val="28"/>
        </w:rPr>
        <w:t>Rule 79. Formal Proceedings Before the Superior Court; Appeal</w:t>
      </w:r>
    </w:p>
    <w:p w14:paraId="2050B6D5" w14:textId="77777777" w:rsidR="008A6833" w:rsidRPr="00AA65DB" w:rsidRDefault="008A6833" w:rsidP="008A6833">
      <w:pPr>
        <w:spacing w:line="240" w:lineRule="auto"/>
        <w:ind w:left="180" w:right="180"/>
        <w:jc w:val="both"/>
        <w:rPr>
          <w:rFonts w:eastAsia="Aptos"/>
          <w:b/>
          <w:bCs/>
          <w:sz w:val="28"/>
          <w:szCs w:val="28"/>
        </w:rPr>
      </w:pPr>
    </w:p>
    <w:p w14:paraId="28C225E8" w14:textId="0CA694AC" w:rsidR="008A6833" w:rsidRPr="00AA65DB" w:rsidRDefault="00CF09F1" w:rsidP="00CF09F1">
      <w:pPr>
        <w:pStyle w:val="ListParagraph"/>
        <w:numPr>
          <w:ilvl w:val="0"/>
          <w:numId w:val="1"/>
        </w:numPr>
        <w:spacing w:line="240" w:lineRule="auto"/>
        <w:ind w:right="180"/>
        <w:jc w:val="both"/>
        <w:rPr>
          <w:rFonts w:ascii="Times New Roman" w:eastAsia="Aptos" w:hAnsi="Times New Roman" w:cs="Times New Roman"/>
          <w:sz w:val="28"/>
          <w:szCs w:val="28"/>
        </w:rPr>
      </w:pPr>
      <w:r w:rsidRPr="00AA65DB">
        <w:rPr>
          <w:rFonts w:ascii="Times New Roman" w:eastAsia="Aptos" w:hAnsi="Times New Roman" w:cs="Times New Roman"/>
          <w:b/>
          <w:bCs/>
          <w:sz w:val="28"/>
          <w:szCs w:val="28"/>
        </w:rPr>
        <w:t>– (b)</w:t>
      </w:r>
      <w:r w:rsidR="008A6833" w:rsidRPr="00AA65DB">
        <w:rPr>
          <w:rFonts w:ascii="Times New Roman" w:eastAsia="Aptos" w:hAnsi="Times New Roman" w:cs="Times New Roman"/>
          <w:b/>
          <w:bCs/>
          <w:sz w:val="28"/>
          <w:szCs w:val="28"/>
        </w:rPr>
        <w:t xml:space="preserve"> </w:t>
      </w:r>
      <w:r w:rsidR="008A6833" w:rsidRPr="00AA65DB">
        <w:rPr>
          <w:rFonts w:ascii="Times New Roman" w:eastAsia="Aptos" w:hAnsi="Times New Roman" w:cs="Times New Roman"/>
          <w:sz w:val="28"/>
          <w:szCs w:val="28"/>
        </w:rPr>
        <w:t>[No change]</w:t>
      </w:r>
    </w:p>
    <w:p w14:paraId="3B35042E" w14:textId="77777777" w:rsidR="008A6833" w:rsidRPr="00AA65DB" w:rsidRDefault="008A6833" w:rsidP="008A6833">
      <w:pPr>
        <w:spacing w:line="240" w:lineRule="auto"/>
        <w:ind w:left="180" w:right="180"/>
        <w:jc w:val="both"/>
        <w:rPr>
          <w:rFonts w:eastAsia="Aptos"/>
          <w:bCs/>
          <w:sz w:val="28"/>
          <w:szCs w:val="28"/>
        </w:rPr>
      </w:pPr>
      <w:r w:rsidRPr="00AA65DB">
        <w:rPr>
          <w:rFonts w:eastAsia="Aptos"/>
          <w:b/>
          <w:bCs/>
          <w:sz w:val="28"/>
          <w:szCs w:val="28"/>
        </w:rPr>
        <w:t>(c) Applicability of Arizona Rules of Civil Procedure.</w:t>
      </w:r>
      <w:r w:rsidRPr="00AA65DB">
        <w:rPr>
          <w:rFonts w:eastAsia="Aptos"/>
          <w:bCs/>
          <w:sz w:val="28"/>
          <w:szCs w:val="28"/>
        </w:rPr>
        <w:t xml:space="preserve"> The Arizona Rules of Civil Procedure shall apply to all aspects of the proceeding after the filing of the complaint, except as otherwise </w:t>
      </w:r>
      <w:r w:rsidRPr="00AA65DB">
        <w:rPr>
          <w:rFonts w:eastAsia="Aptos"/>
          <w:bCs/>
          <w:strike/>
          <w:sz w:val="28"/>
          <w:szCs w:val="28"/>
        </w:rPr>
        <w:t>designated</w:t>
      </w:r>
      <w:r w:rsidRPr="00AA65DB">
        <w:rPr>
          <w:rFonts w:eastAsia="Aptos"/>
          <w:bCs/>
          <w:sz w:val="28"/>
          <w:szCs w:val="28"/>
        </w:rPr>
        <w:t xml:space="preserve"> </w:t>
      </w:r>
      <w:r w:rsidRPr="00AA65DB">
        <w:rPr>
          <w:rFonts w:eastAsia="Aptos"/>
          <w:bCs/>
          <w:sz w:val="28"/>
          <w:szCs w:val="28"/>
          <w:u w:val="single"/>
        </w:rPr>
        <w:t>provided</w:t>
      </w:r>
      <w:r w:rsidRPr="00AA65DB">
        <w:rPr>
          <w:rFonts w:eastAsia="Aptos"/>
          <w:bCs/>
          <w:sz w:val="28"/>
          <w:szCs w:val="28"/>
        </w:rPr>
        <w:t xml:space="preserve"> in these rules. </w:t>
      </w:r>
      <w:r w:rsidRPr="00AA65DB">
        <w:rPr>
          <w:rFonts w:eastAsia="Aptos"/>
          <w:bCs/>
          <w:sz w:val="28"/>
          <w:szCs w:val="28"/>
          <w:u w:val="single"/>
        </w:rPr>
        <w:t xml:space="preserve">Personal service of the complaint and other documents may be made by staff examiners employed by the </w:t>
      </w:r>
      <w:proofErr w:type="gramStart"/>
      <w:r w:rsidRPr="00AA65DB">
        <w:rPr>
          <w:rFonts w:eastAsia="Aptos"/>
          <w:bCs/>
          <w:sz w:val="28"/>
          <w:szCs w:val="28"/>
          <w:u w:val="single"/>
        </w:rPr>
        <w:t>state bar</w:t>
      </w:r>
      <w:proofErr w:type="gramEnd"/>
      <w:r w:rsidRPr="00AA65DB">
        <w:rPr>
          <w:rFonts w:eastAsia="Aptos"/>
          <w:bCs/>
          <w:sz w:val="28"/>
          <w:szCs w:val="28"/>
          <w:u w:val="single"/>
        </w:rPr>
        <w:t>.</w:t>
      </w:r>
    </w:p>
    <w:p w14:paraId="7BEE3CD0" w14:textId="77777777" w:rsidR="008A6833" w:rsidRPr="00AA65DB" w:rsidRDefault="008A6833" w:rsidP="008A6833">
      <w:pPr>
        <w:spacing w:line="240" w:lineRule="auto"/>
        <w:ind w:left="180" w:right="180"/>
        <w:jc w:val="both"/>
        <w:rPr>
          <w:rFonts w:eastAsia="Aptos"/>
          <w:b/>
          <w:bCs/>
          <w:sz w:val="28"/>
          <w:szCs w:val="28"/>
        </w:rPr>
      </w:pPr>
    </w:p>
    <w:p w14:paraId="7D9FEB2C" w14:textId="77777777" w:rsidR="008A6833" w:rsidRDefault="008A6833" w:rsidP="008A6833">
      <w:pPr>
        <w:spacing w:line="240" w:lineRule="auto"/>
        <w:ind w:left="180" w:right="180"/>
        <w:jc w:val="both"/>
        <w:rPr>
          <w:rFonts w:eastAsia="Aptos"/>
          <w:sz w:val="28"/>
          <w:szCs w:val="28"/>
        </w:rPr>
      </w:pPr>
      <w:r w:rsidRPr="00AA65DB">
        <w:rPr>
          <w:rFonts w:eastAsia="Aptos"/>
          <w:b/>
          <w:bCs/>
          <w:sz w:val="28"/>
          <w:szCs w:val="28"/>
        </w:rPr>
        <w:t xml:space="preserve">(d) </w:t>
      </w:r>
      <w:r w:rsidRPr="00AA65DB">
        <w:rPr>
          <w:rFonts w:eastAsia="Aptos"/>
          <w:sz w:val="28"/>
          <w:szCs w:val="28"/>
        </w:rPr>
        <w:t>[No change]</w:t>
      </w:r>
    </w:p>
    <w:p w14:paraId="0BCD26CC" w14:textId="77777777" w:rsidR="00AA65DB" w:rsidRDefault="00AA65DB" w:rsidP="008A6833">
      <w:pPr>
        <w:spacing w:line="240" w:lineRule="auto"/>
        <w:ind w:left="180" w:right="180"/>
        <w:jc w:val="both"/>
        <w:rPr>
          <w:rFonts w:eastAsia="Aptos"/>
          <w:sz w:val="28"/>
          <w:szCs w:val="28"/>
        </w:rPr>
      </w:pPr>
    </w:p>
    <w:p w14:paraId="775A68CD" w14:textId="77777777" w:rsidR="003A31AB" w:rsidRPr="00AA65DB" w:rsidRDefault="00AA65DB" w:rsidP="003A31AB">
      <w:pPr>
        <w:spacing w:line="240" w:lineRule="auto"/>
        <w:ind w:left="180" w:right="180"/>
        <w:jc w:val="both"/>
        <w:rPr>
          <w:rFonts w:eastAsia="Aptos"/>
          <w:sz w:val="28"/>
          <w:szCs w:val="28"/>
        </w:rPr>
      </w:pPr>
      <w:r>
        <w:rPr>
          <w:rFonts w:eastAsia="Aptos"/>
          <w:b/>
          <w:bCs/>
          <w:sz w:val="28"/>
          <w:szCs w:val="28"/>
        </w:rPr>
        <w:t xml:space="preserve">(e) </w:t>
      </w:r>
      <w:r w:rsidRPr="003A31AB">
        <w:rPr>
          <w:rFonts w:eastAsia="Aptos"/>
          <w:b/>
          <w:bCs/>
          <w:strike/>
          <w:sz w:val="28"/>
          <w:szCs w:val="28"/>
        </w:rPr>
        <w:t xml:space="preserve">Order. </w:t>
      </w:r>
      <w:r w:rsidRPr="003A31AB">
        <w:rPr>
          <w:rFonts w:eastAsia="Aptos"/>
          <w:strike/>
          <w:sz w:val="28"/>
          <w:szCs w:val="28"/>
        </w:rPr>
        <w:t xml:space="preserve">Within </w:t>
      </w:r>
      <w:r w:rsidRPr="003A31AB">
        <w:rPr>
          <w:rFonts w:eastAsia="Aptos"/>
          <w:strike/>
          <w:sz w:val="28"/>
          <w:szCs w:val="28"/>
        </w:rPr>
        <w:t>thirty days after final submission of the matter, the superior court shall prepare and file with the clerk a written order containing findings of fact, conclusions of law and sanctions, and shall serve a copy of the order on respondent and unauthorized practice of law counsel. The order of the superior court is final if no motion for reconsideration or appeal is timely filed.</w:t>
      </w:r>
      <w:r w:rsidR="003A31AB">
        <w:rPr>
          <w:rFonts w:eastAsia="Aptos"/>
          <w:strike/>
          <w:sz w:val="28"/>
          <w:szCs w:val="28"/>
        </w:rPr>
        <w:br/>
      </w:r>
      <w:r w:rsidR="003A31AB" w:rsidRPr="00AA65DB">
        <w:rPr>
          <w:rFonts w:eastAsia="Aptos"/>
          <w:b/>
          <w:bCs/>
          <w:sz w:val="28"/>
          <w:szCs w:val="28"/>
          <w:u w:val="single"/>
        </w:rPr>
        <w:t>Initial Disclosure Statements.</w:t>
      </w:r>
      <w:r w:rsidR="003A31AB" w:rsidRPr="00AA65DB">
        <w:rPr>
          <w:rFonts w:eastAsia="Aptos"/>
          <w:sz w:val="28"/>
          <w:szCs w:val="28"/>
          <w:u w:val="single"/>
        </w:rPr>
        <w:t xml:space="preserve"> Unauthorized practice of law counsel, within ten (10) days after the answer is filed, and respondent, within thirty (30) days after the answer is filed, shall each serve upon the other an initial disclosure statement. The initial disclosure statement shall comply with the requirements of Rule 26.1, Ariz. R. Civ. P.</w:t>
      </w:r>
    </w:p>
    <w:p w14:paraId="1E4673E5" w14:textId="77777777" w:rsidR="00AA65DB" w:rsidRDefault="00AA65DB" w:rsidP="003A31AB">
      <w:pPr>
        <w:spacing w:line="240" w:lineRule="auto"/>
        <w:ind w:right="180"/>
        <w:jc w:val="both"/>
        <w:rPr>
          <w:rFonts w:eastAsia="Aptos"/>
          <w:sz w:val="28"/>
          <w:szCs w:val="28"/>
        </w:rPr>
      </w:pPr>
    </w:p>
    <w:p w14:paraId="46B55F79" w14:textId="77777777" w:rsidR="003A31AB" w:rsidRPr="00AA65DB" w:rsidRDefault="00AA65DB" w:rsidP="003A31AB">
      <w:pPr>
        <w:spacing w:line="240" w:lineRule="auto"/>
        <w:ind w:left="180" w:right="180"/>
        <w:jc w:val="both"/>
        <w:rPr>
          <w:rFonts w:eastAsia="Aptos"/>
          <w:b/>
          <w:bCs/>
          <w:sz w:val="28"/>
          <w:szCs w:val="28"/>
          <w:u w:val="single"/>
        </w:rPr>
      </w:pPr>
      <w:r>
        <w:rPr>
          <w:rFonts w:eastAsia="Aptos"/>
          <w:b/>
          <w:bCs/>
          <w:sz w:val="28"/>
          <w:szCs w:val="28"/>
        </w:rPr>
        <w:t xml:space="preserve">(f) </w:t>
      </w:r>
      <w:r w:rsidRPr="003A31AB">
        <w:rPr>
          <w:rFonts w:eastAsia="Aptos"/>
          <w:b/>
          <w:bCs/>
          <w:strike/>
          <w:sz w:val="28"/>
          <w:szCs w:val="28"/>
        </w:rPr>
        <w:t xml:space="preserve">Enforcement. </w:t>
      </w:r>
      <w:r w:rsidRPr="003A31AB">
        <w:rPr>
          <w:rFonts w:eastAsia="Aptos"/>
          <w:strike/>
          <w:sz w:val="28"/>
          <w:szCs w:val="28"/>
        </w:rPr>
        <w:t>An order or judgment of the superior court in unauthorized practice of law proceedings shall be enforceable like any other judgment, including through civil contempt proceedings pursuant to </w:t>
      </w:r>
      <w:hyperlink r:id="rId5" w:history="1">
        <w:r w:rsidRPr="003A31AB">
          <w:rPr>
            <w:rStyle w:val="Hyperlink"/>
            <w:rFonts w:eastAsia="Aptos"/>
            <w:strike/>
            <w:color w:val="auto"/>
            <w:sz w:val="28"/>
            <w:szCs w:val="28"/>
            <w:u w:val="none"/>
          </w:rPr>
          <w:t>Rule 65(f), Ariz. R. Civ. P</w:t>
        </w:r>
      </w:hyperlink>
      <w:r w:rsidRPr="003A31AB">
        <w:rPr>
          <w:rFonts w:eastAsia="Aptos"/>
          <w:strike/>
          <w:sz w:val="28"/>
          <w:szCs w:val="28"/>
        </w:rPr>
        <w:t>., or criminal contempt proceedings pursuant to Rule 35, Ariz. R. Crim. P.</w:t>
      </w:r>
      <w:r w:rsidR="003A31AB">
        <w:rPr>
          <w:rFonts w:eastAsia="Aptos"/>
          <w:strike/>
          <w:sz w:val="28"/>
          <w:szCs w:val="28"/>
        </w:rPr>
        <w:br/>
      </w:r>
      <w:r w:rsidR="003A31AB" w:rsidRPr="00AA65DB">
        <w:rPr>
          <w:rFonts w:eastAsia="Aptos"/>
          <w:b/>
          <w:bCs/>
          <w:sz w:val="28"/>
          <w:szCs w:val="28"/>
          <w:u w:val="single"/>
        </w:rPr>
        <w:t>Discovery.</w:t>
      </w:r>
    </w:p>
    <w:p w14:paraId="371C85FD" w14:textId="77777777" w:rsidR="003A31AB" w:rsidRPr="00AA65DB" w:rsidRDefault="003A31AB" w:rsidP="003A31AB">
      <w:pPr>
        <w:spacing w:line="240" w:lineRule="auto"/>
        <w:ind w:left="180" w:right="180"/>
        <w:jc w:val="both"/>
        <w:rPr>
          <w:rFonts w:eastAsia="Aptos"/>
          <w:sz w:val="28"/>
          <w:szCs w:val="28"/>
          <w:u w:val="single"/>
        </w:rPr>
      </w:pPr>
    </w:p>
    <w:p w14:paraId="5C4D1D5D" w14:textId="77777777" w:rsidR="003A31AB" w:rsidRPr="00AA65DB" w:rsidRDefault="003A31AB" w:rsidP="003A31AB">
      <w:pPr>
        <w:spacing w:line="240" w:lineRule="auto"/>
        <w:ind w:left="540" w:right="180"/>
        <w:jc w:val="both"/>
        <w:rPr>
          <w:rFonts w:eastAsia="Aptos"/>
          <w:sz w:val="28"/>
          <w:szCs w:val="28"/>
          <w:u w:val="single"/>
        </w:rPr>
      </w:pPr>
      <w:r w:rsidRPr="00AA65DB">
        <w:rPr>
          <w:rFonts w:eastAsia="Aptos"/>
          <w:sz w:val="28"/>
          <w:szCs w:val="28"/>
          <w:u w:val="single"/>
        </w:rPr>
        <w:t xml:space="preserve">1. Time limits. Unless extended by agreement of the parties or otherwise ordered by the superior court, all initial discovery requests must be made within thirty (30) days of the date an initial answer is filed, except that additional discovery requests may be filed within thirty (30) days of the date an answer is filed </w:t>
      </w:r>
      <w:proofErr w:type="gramStart"/>
      <w:r w:rsidRPr="00AA65DB">
        <w:rPr>
          <w:rFonts w:eastAsia="Aptos"/>
          <w:sz w:val="28"/>
          <w:szCs w:val="28"/>
          <w:u w:val="single"/>
        </w:rPr>
        <w:t>to</w:t>
      </w:r>
      <w:proofErr w:type="gramEnd"/>
      <w:r w:rsidRPr="00AA65DB">
        <w:rPr>
          <w:rFonts w:eastAsia="Aptos"/>
          <w:sz w:val="28"/>
          <w:szCs w:val="28"/>
          <w:u w:val="single"/>
        </w:rPr>
        <w:t xml:space="preserve"> an amended complaint. Discovery requests based upon an amended complaint shall be limited to new allegations. Discovery shall be </w:t>
      </w:r>
      <w:r w:rsidRPr="00AA65DB">
        <w:rPr>
          <w:rFonts w:eastAsia="Aptos"/>
          <w:sz w:val="28"/>
          <w:szCs w:val="28"/>
          <w:u w:val="single"/>
        </w:rPr>
        <w:lastRenderedPageBreak/>
        <w:t>governed by the Rules of Civil Procedure to the extent not inconsistent with these rules.</w:t>
      </w:r>
    </w:p>
    <w:p w14:paraId="156C6C8D" w14:textId="77777777" w:rsidR="003A31AB" w:rsidRPr="00AA65DB" w:rsidRDefault="003A31AB" w:rsidP="003A31AB">
      <w:pPr>
        <w:spacing w:line="240" w:lineRule="auto"/>
        <w:ind w:left="540" w:right="180"/>
        <w:jc w:val="both"/>
        <w:rPr>
          <w:rFonts w:eastAsia="Aptos"/>
          <w:sz w:val="28"/>
          <w:szCs w:val="28"/>
          <w:u w:val="single"/>
        </w:rPr>
      </w:pPr>
    </w:p>
    <w:p w14:paraId="7B8D290C" w14:textId="77777777" w:rsidR="003A31AB" w:rsidRPr="00AA65DB" w:rsidRDefault="003A31AB" w:rsidP="003A31AB">
      <w:pPr>
        <w:spacing w:line="240" w:lineRule="auto"/>
        <w:ind w:left="540" w:right="180"/>
        <w:jc w:val="both"/>
        <w:rPr>
          <w:rFonts w:eastAsia="Aptos"/>
          <w:sz w:val="28"/>
          <w:szCs w:val="28"/>
          <w:u w:val="single"/>
        </w:rPr>
      </w:pPr>
      <w:r w:rsidRPr="00AA65DB">
        <w:rPr>
          <w:rFonts w:eastAsia="Aptos"/>
          <w:sz w:val="28"/>
          <w:szCs w:val="28"/>
          <w:u w:val="single"/>
        </w:rPr>
        <w:t>2. Response time. Unless extended by agreement of the parties, answers to discovery requests, including interrogatories, requests for admission, and requests for production of documents or things, shall be provided within thirty (30) days of the date of service of the discovery request.</w:t>
      </w:r>
    </w:p>
    <w:p w14:paraId="5A8AE5DA" w14:textId="70DC3EF4" w:rsidR="00AA65DB" w:rsidRDefault="003A31AB" w:rsidP="003A31AB">
      <w:pPr>
        <w:spacing w:line="240" w:lineRule="auto"/>
        <w:ind w:left="180" w:right="180"/>
        <w:jc w:val="both"/>
        <w:rPr>
          <w:rFonts w:eastAsia="Aptos"/>
          <w:sz w:val="28"/>
          <w:szCs w:val="28"/>
        </w:rPr>
      </w:pPr>
      <w:r>
        <w:rPr>
          <w:rFonts w:eastAsia="Aptos"/>
          <w:strike/>
          <w:sz w:val="28"/>
          <w:szCs w:val="28"/>
        </w:rPr>
        <w:br/>
      </w:r>
    </w:p>
    <w:p w14:paraId="3B9F0FFB" w14:textId="5B22C398" w:rsidR="00AA65DB" w:rsidRPr="00AA65DB" w:rsidRDefault="00AA65DB" w:rsidP="008A6833">
      <w:pPr>
        <w:spacing w:line="240" w:lineRule="auto"/>
        <w:ind w:left="180" w:right="180"/>
        <w:jc w:val="both"/>
        <w:rPr>
          <w:rFonts w:eastAsia="Aptos"/>
          <w:sz w:val="28"/>
          <w:szCs w:val="28"/>
        </w:rPr>
      </w:pPr>
      <w:r>
        <w:rPr>
          <w:rFonts w:eastAsia="Aptos"/>
          <w:b/>
          <w:bCs/>
          <w:sz w:val="28"/>
          <w:szCs w:val="28"/>
        </w:rPr>
        <w:t xml:space="preserve">(g) </w:t>
      </w:r>
      <w:r w:rsidRPr="003A31AB">
        <w:rPr>
          <w:rFonts w:eastAsia="Aptos"/>
          <w:b/>
          <w:bCs/>
          <w:strike/>
          <w:sz w:val="28"/>
          <w:szCs w:val="28"/>
        </w:rPr>
        <w:t xml:space="preserve">Appeal. </w:t>
      </w:r>
      <w:r w:rsidRPr="003A31AB">
        <w:rPr>
          <w:rFonts w:eastAsia="Aptos"/>
          <w:strike/>
          <w:sz w:val="28"/>
          <w:szCs w:val="28"/>
        </w:rPr>
        <w:t>Final orders or judgments issued by the superior court in unauthorized practice of law proceedings shall be reviewable by the court of appeals and this court pursuant to the Arizona Rules of Civil Appellate Procedure. Failure of a party to appeal timely shall constitute consent to the sanction imposed by the superior court.</w:t>
      </w:r>
    </w:p>
    <w:p w14:paraId="7B0E01AC" w14:textId="4C97423C" w:rsidR="008A6833" w:rsidRPr="00AA65DB" w:rsidRDefault="003A31AB" w:rsidP="008A6833">
      <w:pPr>
        <w:spacing w:line="240" w:lineRule="auto"/>
        <w:ind w:left="180" w:right="180"/>
        <w:jc w:val="both"/>
        <w:rPr>
          <w:rFonts w:eastAsia="Aptos"/>
          <w:sz w:val="28"/>
          <w:szCs w:val="28"/>
        </w:rPr>
      </w:pPr>
      <w:r>
        <w:rPr>
          <w:rFonts w:eastAsia="Aptos"/>
          <w:b/>
          <w:bCs/>
          <w:sz w:val="28"/>
          <w:szCs w:val="28"/>
          <w:u w:val="single"/>
        </w:rPr>
        <w:t>Trial.</w:t>
      </w:r>
      <w:r>
        <w:rPr>
          <w:rFonts w:eastAsia="Aptos"/>
          <w:b/>
          <w:bCs/>
          <w:sz w:val="28"/>
          <w:szCs w:val="28"/>
        </w:rPr>
        <w:t xml:space="preserve"> </w:t>
      </w:r>
      <w:r w:rsidRPr="00AA65DB">
        <w:rPr>
          <w:rFonts w:eastAsia="Aptos"/>
          <w:sz w:val="28"/>
          <w:szCs w:val="28"/>
          <w:u w:val="single"/>
        </w:rPr>
        <w:t>The superior court must hold and complete a trial on the merits within one hundred fifty (150) days of the filing of the complaint.</w:t>
      </w:r>
    </w:p>
    <w:p w14:paraId="4DF71CF8" w14:textId="77777777" w:rsidR="008A6833" w:rsidRPr="00AA65DB" w:rsidRDefault="008A6833" w:rsidP="003A31AB">
      <w:pPr>
        <w:spacing w:line="240" w:lineRule="auto"/>
        <w:ind w:right="180"/>
        <w:jc w:val="both"/>
        <w:rPr>
          <w:rFonts w:eastAsia="Aptos"/>
          <w:sz w:val="28"/>
          <w:szCs w:val="28"/>
          <w:u w:val="single"/>
        </w:rPr>
      </w:pPr>
    </w:p>
    <w:p w14:paraId="1AAF0C8E" w14:textId="6210ED31" w:rsidR="003A31AB" w:rsidRPr="00AA65DB" w:rsidRDefault="008A6833" w:rsidP="003A31AB">
      <w:pPr>
        <w:spacing w:line="240" w:lineRule="auto"/>
        <w:ind w:left="180" w:right="180"/>
        <w:jc w:val="both"/>
        <w:rPr>
          <w:rFonts w:eastAsia="Aptos"/>
          <w:sz w:val="28"/>
          <w:szCs w:val="28"/>
        </w:rPr>
      </w:pPr>
      <w:r w:rsidRPr="00AA65DB">
        <w:rPr>
          <w:rFonts w:eastAsia="Aptos"/>
          <w:b/>
          <w:bCs/>
          <w:sz w:val="28"/>
          <w:szCs w:val="28"/>
        </w:rPr>
        <w:t>(</w:t>
      </w:r>
      <w:r w:rsidRPr="00AA65DB">
        <w:rPr>
          <w:rFonts w:eastAsia="Aptos"/>
          <w:b/>
          <w:bCs/>
          <w:sz w:val="28"/>
          <w:szCs w:val="28"/>
          <w:u w:val="single"/>
        </w:rPr>
        <w:t>h</w:t>
      </w:r>
      <w:r w:rsidRPr="00AA65DB">
        <w:rPr>
          <w:rFonts w:eastAsia="Aptos"/>
          <w:b/>
          <w:bCs/>
          <w:sz w:val="28"/>
          <w:szCs w:val="28"/>
        </w:rPr>
        <w:t xml:space="preserve">) </w:t>
      </w:r>
      <w:r w:rsidR="003A31AB" w:rsidRPr="003A31AB">
        <w:rPr>
          <w:rFonts w:eastAsia="Aptos"/>
          <w:b/>
          <w:bCs/>
          <w:sz w:val="28"/>
          <w:szCs w:val="28"/>
          <w:u w:val="single"/>
        </w:rPr>
        <w:t>Order.</w:t>
      </w:r>
      <w:r w:rsidR="003A31AB" w:rsidRPr="003A31AB">
        <w:rPr>
          <w:rFonts w:eastAsia="Aptos"/>
          <w:b/>
          <w:bCs/>
          <w:sz w:val="28"/>
          <w:szCs w:val="28"/>
        </w:rPr>
        <w:t xml:space="preserve"> </w:t>
      </w:r>
      <w:r w:rsidR="003A31AB" w:rsidRPr="003A31AB">
        <w:rPr>
          <w:rFonts w:eastAsia="Aptos"/>
          <w:sz w:val="28"/>
          <w:szCs w:val="28"/>
          <w:u w:val="single"/>
        </w:rPr>
        <w:t>Within thirty days after final submission of the matter, the superior court shall prepare and file with the clerk a written order containing findings of fact, conclusions of law and sanctions, and shall serve a copy of the order on respondent and unauthorized practice of law counsel. The order of the superior court is final if no motion for reconsideration or appeal is timely filed.</w:t>
      </w:r>
    </w:p>
    <w:p w14:paraId="719EAB17" w14:textId="77777777" w:rsidR="008A6833" w:rsidRPr="00AA65DB" w:rsidRDefault="008A6833" w:rsidP="008A6833">
      <w:pPr>
        <w:spacing w:line="240" w:lineRule="auto"/>
        <w:ind w:left="180" w:right="180"/>
        <w:jc w:val="both"/>
        <w:rPr>
          <w:rFonts w:eastAsia="Aptos"/>
          <w:sz w:val="28"/>
          <w:szCs w:val="28"/>
        </w:rPr>
      </w:pPr>
    </w:p>
    <w:p w14:paraId="6F168EC8" w14:textId="6F30A7DA" w:rsidR="008A6833" w:rsidRPr="00AA65DB" w:rsidRDefault="008A6833" w:rsidP="008A6833">
      <w:pPr>
        <w:spacing w:line="240" w:lineRule="auto"/>
        <w:ind w:left="180" w:right="180"/>
        <w:jc w:val="both"/>
        <w:rPr>
          <w:rFonts w:eastAsia="Aptos"/>
          <w:sz w:val="28"/>
          <w:szCs w:val="28"/>
        </w:rPr>
      </w:pPr>
      <w:r w:rsidRPr="00AA65DB">
        <w:rPr>
          <w:rFonts w:eastAsia="Aptos"/>
          <w:b/>
          <w:bCs/>
          <w:sz w:val="28"/>
          <w:szCs w:val="28"/>
        </w:rPr>
        <w:t>(</w:t>
      </w:r>
      <w:proofErr w:type="spellStart"/>
      <w:r w:rsidRPr="00AA65DB">
        <w:rPr>
          <w:rFonts w:eastAsia="Aptos"/>
          <w:b/>
          <w:bCs/>
          <w:sz w:val="28"/>
          <w:szCs w:val="28"/>
          <w:u w:val="single"/>
        </w:rPr>
        <w:t>i</w:t>
      </w:r>
      <w:proofErr w:type="spellEnd"/>
      <w:r w:rsidRPr="00AA65DB">
        <w:rPr>
          <w:rFonts w:eastAsia="Aptos"/>
          <w:b/>
          <w:bCs/>
          <w:sz w:val="28"/>
          <w:szCs w:val="28"/>
        </w:rPr>
        <w:t xml:space="preserve">) </w:t>
      </w:r>
      <w:r w:rsidR="003A31AB" w:rsidRPr="003A31AB">
        <w:rPr>
          <w:rFonts w:eastAsia="Aptos"/>
          <w:b/>
          <w:bCs/>
          <w:sz w:val="28"/>
          <w:szCs w:val="28"/>
          <w:u w:val="single"/>
        </w:rPr>
        <w:t>Enforcement.</w:t>
      </w:r>
      <w:r w:rsidR="003A31AB">
        <w:rPr>
          <w:rFonts w:eastAsia="Aptos"/>
          <w:b/>
          <w:bCs/>
          <w:sz w:val="28"/>
          <w:szCs w:val="28"/>
        </w:rPr>
        <w:t xml:space="preserve"> </w:t>
      </w:r>
      <w:r w:rsidR="003A31AB" w:rsidRPr="003A31AB">
        <w:rPr>
          <w:rFonts w:eastAsia="Aptos"/>
          <w:sz w:val="28"/>
          <w:szCs w:val="28"/>
          <w:u w:val="single"/>
        </w:rPr>
        <w:t>An order or judgment of the superior court in unauthorized practice of law proceedings shall be enforceable like any other judgment, including through civil contempt proceedings pursuant to </w:t>
      </w:r>
      <w:hyperlink r:id="rId6" w:history="1">
        <w:r w:rsidR="003A31AB" w:rsidRPr="003A31AB">
          <w:rPr>
            <w:rStyle w:val="Hyperlink"/>
            <w:rFonts w:eastAsia="Aptos"/>
            <w:color w:val="auto"/>
            <w:sz w:val="28"/>
            <w:szCs w:val="28"/>
          </w:rPr>
          <w:t>Rule 65(f), Ariz. R. Civ. P</w:t>
        </w:r>
      </w:hyperlink>
      <w:r w:rsidR="003A31AB" w:rsidRPr="003A31AB">
        <w:rPr>
          <w:rFonts w:eastAsia="Aptos"/>
          <w:sz w:val="28"/>
          <w:szCs w:val="28"/>
          <w:u w:val="single"/>
        </w:rPr>
        <w:t>., or criminal contempt proceedings pursuant to Rule 35, Ariz. R. Crim. P.</w:t>
      </w:r>
    </w:p>
    <w:p w14:paraId="4F70918E" w14:textId="77777777" w:rsidR="008A6833" w:rsidRPr="00AA65DB" w:rsidRDefault="008A6833" w:rsidP="008A6833">
      <w:pPr>
        <w:spacing w:line="240" w:lineRule="auto"/>
        <w:ind w:left="180" w:right="180"/>
        <w:jc w:val="both"/>
        <w:rPr>
          <w:rFonts w:eastAsia="Aptos"/>
          <w:sz w:val="28"/>
          <w:szCs w:val="28"/>
        </w:rPr>
      </w:pPr>
    </w:p>
    <w:p w14:paraId="0EE085C7" w14:textId="77777777" w:rsidR="003A31AB" w:rsidRDefault="008A6833" w:rsidP="008A6833">
      <w:pPr>
        <w:spacing w:line="240" w:lineRule="auto"/>
        <w:ind w:left="180" w:right="180"/>
        <w:jc w:val="both"/>
        <w:rPr>
          <w:rFonts w:eastAsia="Aptos"/>
          <w:sz w:val="28"/>
          <w:szCs w:val="28"/>
        </w:rPr>
      </w:pPr>
      <w:r w:rsidRPr="00AA65DB">
        <w:rPr>
          <w:rFonts w:eastAsia="Aptos"/>
          <w:b/>
          <w:bCs/>
          <w:sz w:val="28"/>
          <w:szCs w:val="28"/>
        </w:rPr>
        <w:t>(</w:t>
      </w:r>
      <w:r w:rsidRPr="00AA65DB">
        <w:rPr>
          <w:rFonts w:eastAsia="Aptos"/>
          <w:b/>
          <w:bCs/>
          <w:sz w:val="28"/>
          <w:szCs w:val="28"/>
          <w:u w:val="single"/>
        </w:rPr>
        <w:t>j</w:t>
      </w:r>
      <w:r w:rsidRPr="00AA65DB">
        <w:rPr>
          <w:rFonts w:eastAsia="Aptos"/>
          <w:b/>
          <w:bCs/>
          <w:sz w:val="28"/>
          <w:szCs w:val="28"/>
        </w:rPr>
        <w:t>)</w:t>
      </w:r>
      <w:r w:rsidR="003A31AB">
        <w:rPr>
          <w:rFonts w:eastAsia="Aptos"/>
          <w:b/>
          <w:bCs/>
          <w:sz w:val="28"/>
          <w:szCs w:val="28"/>
        </w:rPr>
        <w:t xml:space="preserve"> </w:t>
      </w:r>
      <w:r w:rsidR="003A31AB" w:rsidRPr="003A31AB">
        <w:rPr>
          <w:rFonts w:eastAsia="Aptos"/>
          <w:b/>
          <w:bCs/>
          <w:sz w:val="28"/>
          <w:szCs w:val="28"/>
          <w:u w:val="single"/>
        </w:rPr>
        <w:t>Appeal.</w:t>
      </w:r>
      <w:r w:rsidR="003A31AB">
        <w:rPr>
          <w:rFonts w:eastAsia="Aptos"/>
          <w:b/>
          <w:bCs/>
          <w:sz w:val="28"/>
          <w:szCs w:val="28"/>
        </w:rPr>
        <w:t xml:space="preserve"> </w:t>
      </w:r>
      <w:r w:rsidR="003A31AB" w:rsidRPr="003A31AB">
        <w:rPr>
          <w:rFonts w:eastAsia="Aptos"/>
          <w:sz w:val="28"/>
          <w:szCs w:val="28"/>
          <w:u w:val="single"/>
        </w:rPr>
        <w:t>Final orders or judgments issued by the superior court in unauthorized practice of law proceedings shall be reviewable by the court of appeals and this court pursuant to the Arizona Rules of Civil Appellate Procedure. Failure of a party to appeal timely shall constitute consent to the sanction imposed by the superior court.</w:t>
      </w:r>
    </w:p>
    <w:p w14:paraId="2C8CDB04" w14:textId="251E1A37" w:rsidR="008A6833" w:rsidRPr="00AA65DB" w:rsidRDefault="003A31AB" w:rsidP="008A6833">
      <w:pPr>
        <w:spacing w:line="240" w:lineRule="auto"/>
        <w:ind w:left="180" w:right="180"/>
        <w:jc w:val="both"/>
        <w:rPr>
          <w:rFonts w:eastAsia="Aptos"/>
          <w:sz w:val="28"/>
          <w:szCs w:val="28"/>
        </w:rPr>
      </w:pPr>
      <w:r>
        <w:rPr>
          <w:rFonts w:eastAsia="Aptos"/>
          <w:sz w:val="28"/>
          <w:szCs w:val="28"/>
        </w:rPr>
        <w:br/>
      </w:r>
    </w:p>
    <w:p w14:paraId="32BAE78B" w14:textId="77777777" w:rsidR="008A6833" w:rsidRPr="00AA65DB" w:rsidRDefault="008A6833" w:rsidP="008A6833">
      <w:pPr>
        <w:spacing w:line="240" w:lineRule="auto"/>
        <w:ind w:left="180" w:right="180"/>
        <w:jc w:val="both"/>
        <w:rPr>
          <w:rFonts w:eastAsia="Aptos"/>
          <w:sz w:val="28"/>
          <w:szCs w:val="28"/>
        </w:rPr>
      </w:pPr>
    </w:p>
    <w:p w14:paraId="01810433" w14:textId="77777777" w:rsidR="008A6833" w:rsidRPr="00AA65DB" w:rsidRDefault="008A6833" w:rsidP="00CF09F1">
      <w:pPr>
        <w:spacing w:line="240" w:lineRule="auto"/>
        <w:ind w:right="180"/>
        <w:jc w:val="both"/>
        <w:rPr>
          <w:rFonts w:eastAsia="Aptos"/>
          <w:b/>
          <w:bCs/>
          <w:sz w:val="28"/>
          <w:szCs w:val="28"/>
        </w:rPr>
      </w:pPr>
      <w:bookmarkStart w:id="0" w:name="_Hlk212194923"/>
    </w:p>
    <w:p w14:paraId="6836517C" w14:textId="77777777" w:rsidR="002D7F34" w:rsidRDefault="002D7F34" w:rsidP="008A6833">
      <w:pPr>
        <w:spacing w:line="240" w:lineRule="auto"/>
        <w:ind w:left="180" w:right="180"/>
        <w:jc w:val="both"/>
        <w:rPr>
          <w:rFonts w:eastAsia="Aptos"/>
          <w:b/>
          <w:bCs/>
          <w:sz w:val="28"/>
          <w:szCs w:val="28"/>
        </w:rPr>
      </w:pPr>
    </w:p>
    <w:p w14:paraId="7E31E4AC" w14:textId="77777777" w:rsidR="002D7F34" w:rsidRDefault="002D7F34" w:rsidP="008A6833">
      <w:pPr>
        <w:spacing w:line="240" w:lineRule="auto"/>
        <w:ind w:left="180" w:right="180"/>
        <w:jc w:val="both"/>
        <w:rPr>
          <w:rFonts w:eastAsia="Aptos"/>
          <w:b/>
          <w:bCs/>
          <w:sz w:val="28"/>
          <w:szCs w:val="28"/>
        </w:rPr>
      </w:pPr>
    </w:p>
    <w:p w14:paraId="404681EE" w14:textId="77777777" w:rsidR="002D7F34" w:rsidRDefault="002D7F34" w:rsidP="008A6833">
      <w:pPr>
        <w:spacing w:line="240" w:lineRule="auto"/>
        <w:ind w:left="180" w:right="180"/>
        <w:jc w:val="both"/>
        <w:rPr>
          <w:rFonts w:eastAsia="Aptos"/>
          <w:b/>
          <w:bCs/>
          <w:sz w:val="28"/>
          <w:szCs w:val="28"/>
        </w:rPr>
      </w:pPr>
    </w:p>
    <w:p w14:paraId="4D8ADAD7" w14:textId="5B1E9BA9" w:rsidR="008A6833" w:rsidRPr="00AA65DB" w:rsidRDefault="008A6833" w:rsidP="008A6833">
      <w:pPr>
        <w:spacing w:line="240" w:lineRule="auto"/>
        <w:ind w:left="180" w:right="180"/>
        <w:jc w:val="both"/>
        <w:rPr>
          <w:rFonts w:eastAsia="Aptos"/>
          <w:b/>
          <w:bCs/>
          <w:sz w:val="28"/>
          <w:szCs w:val="28"/>
        </w:rPr>
      </w:pPr>
      <w:r w:rsidRPr="00AA65DB">
        <w:rPr>
          <w:rFonts w:eastAsia="Aptos"/>
          <w:b/>
          <w:bCs/>
          <w:sz w:val="28"/>
          <w:szCs w:val="28"/>
        </w:rPr>
        <w:lastRenderedPageBreak/>
        <w:t>Rule 80. Rules of Construction and Access to Information</w:t>
      </w:r>
    </w:p>
    <w:p w14:paraId="62FA3A6E" w14:textId="77777777" w:rsidR="008A6833" w:rsidRPr="00AA65DB" w:rsidRDefault="008A6833" w:rsidP="008A6833">
      <w:pPr>
        <w:spacing w:line="240" w:lineRule="auto"/>
        <w:ind w:left="180" w:right="180"/>
        <w:jc w:val="both"/>
        <w:rPr>
          <w:rFonts w:eastAsia="Aptos"/>
          <w:sz w:val="28"/>
          <w:szCs w:val="28"/>
        </w:rPr>
      </w:pPr>
    </w:p>
    <w:p w14:paraId="34A0687A" w14:textId="77777777" w:rsidR="008A6833" w:rsidRPr="00AA65DB" w:rsidRDefault="008A6833" w:rsidP="008A6833">
      <w:pPr>
        <w:spacing w:line="240" w:lineRule="auto"/>
        <w:ind w:left="180" w:right="180"/>
        <w:jc w:val="both"/>
        <w:rPr>
          <w:rFonts w:eastAsia="Aptos"/>
          <w:b/>
          <w:bCs/>
          <w:sz w:val="28"/>
          <w:szCs w:val="28"/>
        </w:rPr>
      </w:pPr>
      <w:r w:rsidRPr="00AA65DB">
        <w:rPr>
          <w:rFonts w:eastAsia="Aptos"/>
          <w:b/>
          <w:bCs/>
          <w:sz w:val="28"/>
          <w:szCs w:val="28"/>
        </w:rPr>
        <w:t>(a) Rules of Construction.</w:t>
      </w:r>
    </w:p>
    <w:p w14:paraId="08D4D3FC" w14:textId="77777777" w:rsidR="008A6833" w:rsidRPr="00AA65DB" w:rsidRDefault="008A6833" w:rsidP="008A6833">
      <w:pPr>
        <w:spacing w:line="240" w:lineRule="auto"/>
        <w:ind w:left="180" w:right="180"/>
        <w:jc w:val="both"/>
        <w:rPr>
          <w:rFonts w:eastAsia="Aptos"/>
          <w:sz w:val="28"/>
          <w:szCs w:val="28"/>
        </w:rPr>
      </w:pPr>
    </w:p>
    <w:p w14:paraId="67D51ED8" w14:textId="77777777" w:rsidR="008A6833" w:rsidRPr="00AA65DB" w:rsidRDefault="008A6833" w:rsidP="008A6833">
      <w:pPr>
        <w:spacing w:line="240" w:lineRule="auto"/>
        <w:ind w:left="180" w:right="180"/>
        <w:jc w:val="both"/>
        <w:rPr>
          <w:rFonts w:eastAsia="Aptos"/>
          <w:b/>
          <w:bCs/>
          <w:sz w:val="28"/>
          <w:szCs w:val="28"/>
        </w:rPr>
      </w:pPr>
      <w:r w:rsidRPr="00AA65DB">
        <w:rPr>
          <w:rFonts w:eastAsia="Aptos"/>
          <w:b/>
          <w:bCs/>
          <w:sz w:val="28"/>
          <w:szCs w:val="28"/>
        </w:rPr>
        <w:t>(b) Public Access to Information.</w:t>
      </w:r>
    </w:p>
    <w:p w14:paraId="760D3C6D" w14:textId="77777777" w:rsidR="008A6833" w:rsidRPr="00AA65DB" w:rsidRDefault="008A6833" w:rsidP="008A6833">
      <w:pPr>
        <w:spacing w:line="240" w:lineRule="auto"/>
        <w:ind w:left="180" w:right="180"/>
        <w:jc w:val="both"/>
        <w:rPr>
          <w:rFonts w:eastAsia="Aptos"/>
          <w:sz w:val="28"/>
          <w:szCs w:val="28"/>
        </w:rPr>
      </w:pPr>
    </w:p>
    <w:p w14:paraId="74D41A61" w14:textId="26B6E742" w:rsidR="008A6833" w:rsidRPr="00AA65DB" w:rsidRDefault="008A6833" w:rsidP="008A6833">
      <w:pPr>
        <w:spacing w:line="240" w:lineRule="auto"/>
        <w:ind w:left="540" w:right="180"/>
        <w:jc w:val="both"/>
        <w:rPr>
          <w:rFonts w:eastAsia="Aptos"/>
          <w:sz w:val="28"/>
          <w:szCs w:val="28"/>
        </w:rPr>
      </w:pPr>
      <w:r w:rsidRPr="00AA65DB">
        <w:rPr>
          <w:rFonts w:eastAsia="Aptos"/>
          <w:sz w:val="28"/>
          <w:szCs w:val="28"/>
        </w:rPr>
        <w:t xml:space="preserve">1. </w:t>
      </w:r>
      <w:r w:rsidR="00CF09F1" w:rsidRPr="00AA65DB">
        <w:rPr>
          <w:rFonts w:eastAsia="Aptos"/>
          <w:sz w:val="28"/>
          <w:szCs w:val="28"/>
        </w:rPr>
        <w:t>– 5. [</w:t>
      </w:r>
      <w:r w:rsidRPr="00AA65DB">
        <w:rPr>
          <w:rFonts w:eastAsia="Aptos"/>
          <w:sz w:val="28"/>
          <w:szCs w:val="28"/>
        </w:rPr>
        <w:t>No change]</w:t>
      </w:r>
    </w:p>
    <w:p w14:paraId="0D6327A2" w14:textId="77777777" w:rsidR="008A6833" w:rsidRPr="00AA65DB" w:rsidRDefault="008A6833" w:rsidP="00CF09F1">
      <w:pPr>
        <w:spacing w:line="240" w:lineRule="auto"/>
        <w:ind w:right="180"/>
        <w:jc w:val="both"/>
        <w:rPr>
          <w:rFonts w:eastAsia="Aptos"/>
          <w:sz w:val="28"/>
          <w:szCs w:val="28"/>
        </w:rPr>
      </w:pPr>
    </w:p>
    <w:p w14:paraId="2FF4391C" w14:textId="77777777" w:rsidR="008A6833" w:rsidRPr="00AA65DB" w:rsidRDefault="008A6833" w:rsidP="008A6833">
      <w:pPr>
        <w:spacing w:line="240" w:lineRule="auto"/>
        <w:ind w:left="540" w:right="180"/>
        <w:jc w:val="both"/>
        <w:rPr>
          <w:rFonts w:eastAsia="Aptos"/>
          <w:sz w:val="28"/>
          <w:szCs w:val="28"/>
          <w:u w:val="single"/>
        </w:rPr>
      </w:pPr>
      <w:r w:rsidRPr="00AA65DB">
        <w:rPr>
          <w:rFonts w:eastAsia="Aptos"/>
          <w:sz w:val="28"/>
          <w:szCs w:val="28"/>
        </w:rPr>
        <w:t xml:space="preserve">6. </w:t>
      </w:r>
      <w:r w:rsidRPr="00AA65DB">
        <w:rPr>
          <w:rFonts w:eastAsia="Aptos"/>
          <w:i/>
          <w:iCs/>
          <w:sz w:val="28"/>
          <w:szCs w:val="28"/>
        </w:rPr>
        <w:t>Sealing the Record/Protective Orders.</w:t>
      </w:r>
      <w:r w:rsidRPr="00AA65DB">
        <w:rPr>
          <w:rFonts w:eastAsia="Aptos"/>
          <w:sz w:val="28"/>
          <w:szCs w:val="28"/>
        </w:rPr>
        <w:t xml:space="preserve"> Upon motion by a party or by a person from whom the information or evidence was obtained, and for good cause shown, </w:t>
      </w:r>
      <w:r w:rsidRPr="00AA65DB">
        <w:rPr>
          <w:rFonts w:eastAsia="Aptos"/>
          <w:sz w:val="28"/>
          <w:szCs w:val="28"/>
          <w:u w:val="single"/>
        </w:rPr>
        <w:t>the presiding disciplinary judge in pre-complaint proceedings,</w:t>
      </w:r>
      <w:r w:rsidRPr="00AA65DB">
        <w:rPr>
          <w:rFonts w:eastAsia="Aptos"/>
          <w:sz w:val="28"/>
          <w:szCs w:val="28"/>
        </w:rPr>
        <w:t xml:space="preserve"> the superior court or this court in post-complaint </w:t>
      </w:r>
      <w:r w:rsidRPr="00AA65DB">
        <w:rPr>
          <w:rFonts w:eastAsia="Aptos"/>
          <w:strike/>
          <w:sz w:val="28"/>
          <w:szCs w:val="28"/>
        </w:rPr>
        <w:t>matters</w:t>
      </w:r>
      <w:r w:rsidRPr="00AA65DB">
        <w:rPr>
          <w:rFonts w:eastAsia="Aptos"/>
          <w:sz w:val="28"/>
          <w:szCs w:val="28"/>
        </w:rPr>
        <w:t xml:space="preserve"> </w:t>
      </w:r>
      <w:r w:rsidRPr="00AA65DB">
        <w:rPr>
          <w:rFonts w:eastAsia="Aptos"/>
          <w:sz w:val="28"/>
          <w:szCs w:val="28"/>
          <w:u w:val="single"/>
        </w:rPr>
        <w:t>proceedings</w:t>
      </w:r>
      <w:r w:rsidRPr="00AA65DB">
        <w:rPr>
          <w:rFonts w:eastAsia="Aptos"/>
          <w:sz w:val="28"/>
          <w:szCs w:val="28"/>
        </w:rPr>
        <w:t xml:space="preserve">, may </w:t>
      </w:r>
      <w:r w:rsidRPr="00AA65DB">
        <w:rPr>
          <w:rFonts w:eastAsia="Aptos"/>
          <w:sz w:val="28"/>
          <w:szCs w:val="28"/>
          <w:u w:val="single"/>
        </w:rPr>
        <w:t>issue an</w:t>
      </w:r>
      <w:r w:rsidRPr="00AA65DB">
        <w:rPr>
          <w:rFonts w:eastAsia="Aptos"/>
          <w:sz w:val="28"/>
          <w:szCs w:val="28"/>
        </w:rPr>
        <w:t xml:space="preserve"> order </w:t>
      </w:r>
      <w:r w:rsidRPr="00AA65DB">
        <w:rPr>
          <w:rFonts w:eastAsia="Aptos"/>
          <w:strike/>
          <w:sz w:val="28"/>
          <w:szCs w:val="28"/>
        </w:rPr>
        <w:t>that</w:t>
      </w:r>
      <w:r w:rsidRPr="00AA65DB">
        <w:rPr>
          <w:rFonts w:eastAsia="Aptos"/>
          <w:sz w:val="28"/>
          <w:szCs w:val="28"/>
        </w:rPr>
        <w:t xml:space="preserve"> </w:t>
      </w:r>
      <w:r w:rsidRPr="00AA65DB">
        <w:rPr>
          <w:rFonts w:eastAsia="Aptos"/>
          <w:sz w:val="28"/>
          <w:szCs w:val="28"/>
          <w:u w:val="single"/>
        </w:rPr>
        <w:t>sealing</w:t>
      </w:r>
      <w:r w:rsidRPr="00AA65DB">
        <w:rPr>
          <w:rFonts w:eastAsia="Aptos"/>
          <w:sz w:val="28"/>
          <w:szCs w:val="28"/>
        </w:rPr>
        <w:t xml:space="preserve"> a portion of the record and/or state bar file </w:t>
      </w:r>
      <w:r w:rsidRPr="00AA65DB">
        <w:rPr>
          <w:rFonts w:eastAsia="Aptos"/>
          <w:strike/>
          <w:sz w:val="28"/>
          <w:szCs w:val="28"/>
        </w:rPr>
        <w:t>be sealed</w:t>
      </w:r>
      <w:r w:rsidRPr="00AA65DB">
        <w:rPr>
          <w:rFonts w:eastAsia="Aptos"/>
          <w:sz w:val="28"/>
          <w:szCs w:val="28"/>
        </w:rPr>
        <w:t xml:space="preserve"> and </w:t>
      </w:r>
      <w:proofErr w:type="spellStart"/>
      <w:r w:rsidRPr="00AA65DB">
        <w:rPr>
          <w:rFonts w:eastAsia="Aptos"/>
          <w:sz w:val="28"/>
          <w:szCs w:val="28"/>
        </w:rPr>
        <w:t>tak</w:t>
      </w:r>
      <w:r w:rsidRPr="00AA65DB">
        <w:rPr>
          <w:rFonts w:eastAsia="Aptos"/>
          <w:strike/>
          <w:sz w:val="28"/>
          <w:szCs w:val="28"/>
        </w:rPr>
        <w:t>e</w:t>
      </w:r>
      <w:r w:rsidRPr="00AA65DB">
        <w:rPr>
          <w:rFonts w:eastAsia="Aptos"/>
          <w:sz w:val="28"/>
          <w:szCs w:val="28"/>
          <w:u w:val="single"/>
        </w:rPr>
        <w:t>ing</w:t>
      </w:r>
      <w:proofErr w:type="spellEnd"/>
      <w:r w:rsidRPr="00AA65DB">
        <w:rPr>
          <w:rFonts w:eastAsia="Aptos"/>
          <w:sz w:val="28"/>
          <w:szCs w:val="28"/>
        </w:rPr>
        <w:t xml:space="preserve"> other measures to assure the confidentiality of the sealed information. Material sealed shall remain confidential notwithstanding the remaining record in the </w:t>
      </w:r>
      <w:proofErr w:type="gramStart"/>
      <w:r w:rsidRPr="00AA65DB">
        <w:rPr>
          <w:rFonts w:eastAsia="Aptos"/>
          <w:sz w:val="28"/>
          <w:szCs w:val="28"/>
        </w:rPr>
        <w:t>matter</w:t>
      </w:r>
      <w:proofErr w:type="gramEnd"/>
      <w:r w:rsidRPr="00AA65DB">
        <w:rPr>
          <w:rFonts w:eastAsia="Aptos"/>
          <w:sz w:val="28"/>
          <w:szCs w:val="28"/>
        </w:rPr>
        <w:t xml:space="preserve"> is made public. Sealed material shall be opened and viewed only by an order of </w:t>
      </w:r>
      <w:proofErr w:type="gramStart"/>
      <w:r w:rsidRPr="00AA65DB">
        <w:rPr>
          <w:rFonts w:eastAsia="Aptos"/>
          <w:strike/>
          <w:sz w:val="28"/>
          <w:szCs w:val="28"/>
        </w:rPr>
        <w:t>a</w:t>
      </w:r>
      <w:r w:rsidRPr="00AA65DB">
        <w:rPr>
          <w:rFonts w:eastAsia="Aptos"/>
          <w:sz w:val="28"/>
          <w:szCs w:val="28"/>
        </w:rPr>
        <w:t xml:space="preserve"> </w:t>
      </w:r>
      <w:r w:rsidRPr="00AA65DB">
        <w:rPr>
          <w:rFonts w:eastAsia="Aptos"/>
          <w:sz w:val="28"/>
          <w:szCs w:val="28"/>
          <w:u w:val="single"/>
        </w:rPr>
        <w:t>the</w:t>
      </w:r>
      <w:proofErr w:type="gramEnd"/>
      <w:r w:rsidRPr="00AA65DB">
        <w:rPr>
          <w:rFonts w:eastAsia="Aptos"/>
          <w:sz w:val="28"/>
          <w:szCs w:val="28"/>
          <w:u w:val="single"/>
        </w:rPr>
        <w:t xml:space="preserve"> issuing</w:t>
      </w:r>
      <w:r w:rsidRPr="00AA65DB">
        <w:rPr>
          <w:rFonts w:eastAsia="Aptos"/>
          <w:sz w:val="28"/>
          <w:szCs w:val="28"/>
        </w:rPr>
        <w:t xml:space="preserve"> court for use by such body and the parties in </w:t>
      </w:r>
      <w:r w:rsidRPr="00AA65DB">
        <w:rPr>
          <w:rFonts w:eastAsia="Aptos"/>
          <w:sz w:val="28"/>
          <w:szCs w:val="28"/>
          <w:u w:val="single"/>
        </w:rPr>
        <w:t>pending</w:t>
      </w:r>
      <w:r w:rsidRPr="00AA65DB">
        <w:rPr>
          <w:rFonts w:eastAsia="Aptos"/>
          <w:sz w:val="28"/>
          <w:szCs w:val="28"/>
        </w:rPr>
        <w:t xml:space="preserve"> proceedings </w:t>
      </w:r>
      <w:r w:rsidRPr="00AA65DB">
        <w:rPr>
          <w:rFonts w:eastAsia="Aptos"/>
          <w:strike/>
          <w:sz w:val="28"/>
          <w:szCs w:val="28"/>
        </w:rPr>
        <w:t>then pending before it</w:t>
      </w:r>
      <w:r w:rsidRPr="00AA65DB">
        <w:rPr>
          <w:rFonts w:eastAsia="Aptos"/>
          <w:sz w:val="28"/>
          <w:szCs w:val="28"/>
        </w:rPr>
        <w:t xml:space="preserve">, and otherwise only upon notice to and an opportunity to be heard by the parties and the witness or other person </w:t>
      </w:r>
      <w:r w:rsidRPr="00AA65DB">
        <w:rPr>
          <w:rFonts w:eastAsia="Aptos"/>
          <w:strike/>
          <w:sz w:val="28"/>
          <w:szCs w:val="28"/>
        </w:rPr>
        <w:t>furnishing</w:t>
      </w:r>
      <w:r w:rsidRPr="00AA65DB">
        <w:rPr>
          <w:rFonts w:eastAsia="Aptos"/>
          <w:sz w:val="28"/>
          <w:szCs w:val="28"/>
        </w:rPr>
        <w:t xml:space="preserve"> </w:t>
      </w:r>
      <w:r w:rsidRPr="00AA65DB">
        <w:rPr>
          <w:rFonts w:eastAsia="Aptos"/>
          <w:sz w:val="28"/>
          <w:szCs w:val="28"/>
          <w:u w:val="single"/>
        </w:rPr>
        <w:t>who is the subject of</w:t>
      </w:r>
      <w:r w:rsidRPr="00AA65DB">
        <w:rPr>
          <w:rFonts w:eastAsia="Aptos"/>
          <w:sz w:val="28"/>
          <w:szCs w:val="28"/>
        </w:rPr>
        <w:t xml:space="preserve"> the information. </w:t>
      </w:r>
      <w:r w:rsidRPr="00AA65DB">
        <w:rPr>
          <w:rFonts w:eastAsia="Aptos"/>
          <w:sz w:val="28"/>
          <w:szCs w:val="28"/>
          <w:u w:val="single"/>
        </w:rPr>
        <w:t>A party aggrieved by an order relating to a motion for protective order may seek review by filing a petition for special action with this court.</w:t>
      </w:r>
    </w:p>
    <w:p w14:paraId="473FB70C" w14:textId="77777777" w:rsidR="008A6833" w:rsidRPr="00AA65DB" w:rsidRDefault="008A6833" w:rsidP="008A6833">
      <w:pPr>
        <w:spacing w:line="240" w:lineRule="auto"/>
        <w:ind w:left="540" w:right="180"/>
        <w:jc w:val="both"/>
        <w:rPr>
          <w:rFonts w:eastAsia="Aptos"/>
          <w:sz w:val="28"/>
          <w:szCs w:val="28"/>
        </w:rPr>
      </w:pPr>
    </w:p>
    <w:p w14:paraId="725E12F6" w14:textId="77777777" w:rsidR="008A6833" w:rsidRPr="00AA65DB" w:rsidRDefault="008A6833" w:rsidP="008A6833">
      <w:pPr>
        <w:spacing w:line="240" w:lineRule="auto"/>
        <w:ind w:left="540" w:right="180"/>
        <w:jc w:val="both"/>
        <w:rPr>
          <w:rFonts w:eastAsia="Aptos"/>
          <w:sz w:val="28"/>
          <w:szCs w:val="28"/>
        </w:rPr>
      </w:pPr>
      <w:r w:rsidRPr="00AA65DB">
        <w:rPr>
          <w:rFonts w:eastAsia="Aptos"/>
          <w:sz w:val="28"/>
          <w:szCs w:val="28"/>
        </w:rPr>
        <w:t>7. [No change]</w:t>
      </w:r>
    </w:p>
    <w:p w14:paraId="1E0A4BC6" w14:textId="77777777" w:rsidR="008A6833" w:rsidRPr="00AA65DB" w:rsidRDefault="008A6833" w:rsidP="008A6833">
      <w:pPr>
        <w:spacing w:line="240" w:lineRule="auto"/>
        <w:ind w:left="180" w:right="180"/>
        <w:jc w:val="both"/>
        <w:rPr>
          <w:rFonts w:eastAsia="Aptos"/>
          <w:sz w:val="28"/>
          <w:szCs w:val="28"/>
        </w:rPr>
      </w:pPr>
    </w:p>
    <w:p w14:paraId="0C09ADB2" w14:textId="77777777" w:rsidR="008A6833" w:rsidRPr="00AA65DB" w:rsidRDefault="008A6833" w:rsidP="008A6833">
      <w:pPr>
        <w:spacing w:line="480" w:lineRule="auto"/>
        <w:ind w:left="180" w:right="180"/>
        <w:jc w:val="both"/>
        <w:rPr>
          <w:rFonts w:eastAsia="Aptos"/>
          <w:sz w:val="28"/>
          <w:szCs w:val="28"/>
        </w:rPr>
      </w:pPr>
      <w:r w:rsidRPr="00AA65DB">
        <w:rPr>
          <w:rFonts w:eastAsia="Aptos"/>
          <w:b/>
          <w:bCs/>
          <w:sz w:val="28"/>
          <w:szCs w:val="28"/>
        </w:rPr>
        <w:t>(c)</w:t>
      </w:r>
      <w:r w:rsidRPr="00AA65DB">
        <w:rPr>
          <w:rFonts w:eastAsia="Aptos"/>
          <w:sz w:val="28"/>
          <w:szCs w:val="28"/>
        </w:rPr>
        <w:t xml:space="preserve"> [No change]</w:t>
      </w:r>
    </w:p>
    <w:bookmarkEnd w:id="0"/>
    <w:p w14:paraId="0ABBCD37" w14:textId="77777777" w:rsidR="002C4AA6" w:rsidRPr="00AA65DB" w:rsidRDefault="002C4AA6"/>
    <w:sectPr w:rsidR="002C4AA6" w:rsidRPr="00AA6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F3648"/>
    <w:multiLevelType w:val="hybridMultilevel"/>
    <w:tmpl w:val="C62CFB0A"/>
    <w:lvl w:ilvl="0" w:tplc="CBC83FD2">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5945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33"/>
    <w:rsid w:val="002C4AA6"/>
    <w:rsid w:val="002D7F34"/>
    <w:rsid w:val="003A31AB"/>
    <w:rsid w:val="00470685"/>
    <w:rsid w:val="008A6833"/>
    <w:rsid w:val="00995C2F"/>
    <w:rsid w:val="009C7876"/>
    <w:rsid w:val="00AA65DB"/>
    <w:rsid w:val="00C50E06"/>
    <w:rsid w:val="00CF09F1"/>
    <w:rsid w:val="00D46B0B"/>
    <w:rsid w:val="00F308F1"/>
    <w:rsid w:val="00FC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A46B"/>
  <w15:chartTrackingRefBased/>
  <w15:docId w15:val="{B4228B7E-E700-415D-9A80-627D9DEF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833"/>
    <w:pPr>
      <w:spacing w:after="0" w:line="508" w:lineRule="exact"/>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A68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68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68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683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A683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A683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A683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A683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A683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833"/>
    <w:rPr>
      <w:rFonts w:eastAsiaTheme="majorEastAsia" w:cstheme="majorBidi"/>
      <w:color w:val="272727" w:themeColor="text1" w:themeTint="D8"/>
    </w:rPr>
  </w:style>
  <w:style w:type="paragraph" w:styleId="Title">
    <w:name w:val="Title"/>
    <w:basedOn w:val="Normal"/>
    <w:next w:val="Normal"/>
    <w:link w:val="TitleChar"/>
    <w:uiPriority w:val="10"/>
    <w:qFormat/>
    <w:rsid w:val="008A68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6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8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6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83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A6833"/>
    <w:rPr>
      <w:i/>
      <w:iCs/>
      <w:color w:val="404040" w:themeColor="text1" w:themeTint="BF"/>
    </w:rPr>
  </w:style>
  <w:style w:type="paragraph" w:styleId="ListParagraph">
    <w:name w:val="List Paragraph"/>
    <w:basedOn w:val="Normal"/>
    <w:uiPriority w:val="34"/>
    <w:qFormat/>
    <w:rsid w:val="008A683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A6833"/>
    <w:rPr>
      <w:i/>
      <w:iCs/>
      <w:color w:val="0F4761" w:themeColor="accent1" w:themeShade="BF"/>
    </w:rPr>
  </w:style>
  <w:style w:type="paragraph" w:styleId="IntenseQuote">
    <w:name w:val="Intense Quote"/>
    <w:basedOn w:val="Normal"/>
    <w:next w:val="Normal"/>
    <w:link w:val="IntenseQuoteChar"/>
    <w:uiPriority w:val="30"/>
    <w:qFormat/>
    <w:rsid w:val="008A68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A6833"/>
    <w:rPr>
      <w:i/>
      <w:iCs/>
      <w:color w:val="0F4761" w:themeColor="accent1" w:themeShade="BF"/>
    </w:rPr>
  </w:style>
  <w:style w:type="character" w:styleId="IntenseReference">
    <w:name w:val="Intense Reference"/>
    <w:basedOn w:val="DefaultParagraphFont"/>
    <w:uiPriority w:val="32"/>
    <w:qFormat/>
    <w:rsid w:val="008A6833"/>
    <w:rPr>
      <w:b/>
      <w:bCs/>
      <w:smallCaps/>
      <w:color w:val="0F4761" w:themeColor="accent1" w:themeShade="BF"/>
      <w:spacing w:val="5"/>
    </w:rPr>
  </w:style>
  <w:style w:type="character" w:styleId="Hyperlink">
    <w:name w:val="Hyperlink"/>
    <w:basedOn w:val="DefaultParagraphFont"/>
    <w:uiPriority w:val="99"/>
    <w:unhideWhenUsed/>
    <w:rsid w:val="00AA65DB"/>
    <w:rPr>
      <w:color w:val="467886" w:themeColor="hyperlink"/>
      <w:u w:val="single"/>
    </w:rPr>
  </w:style>
  <w:style w:type="character" w:styleId="UnresolvedMention">
    <w:name w:val="Unresolved Mention"/>
    <w:basedOn w:val="DefaultParagraphFont"/>
    <w:uiPriority w:val="99"/>
    <w:semiHidden/>
    <w:unhideWhenUsed/>
    <w:rsid w:val="00AA6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next.westlaw.com/Link/Document/FullText?findType=L&amp;pubNum=1003572&amp;cite=AZSTRCPR65&amp;originatingDoc=NF0597311152511ECA6D2CF80FAB5985B&amp;refType=LQ&amp;originationContext=document&amp;transitionType=DocumentItem&amp;ppcid=ec3f64e2dbce4be78b8a30040be2ac61&amp;contextData=(sc.Category)" TargetMode="External"/><Relationship Id="rId5" Type="http://schemas.openxmlformats.org/officeDocument/2006/relationships/hyperlink" Target="https://1.next.westlaw.com/Link/Document/FullText?findType=L&amp;pubNum=1003572&amp;cite=AZSTRCPR65&amp;originatingDoc=NF0597311152511ECA6D2CF80FAB5985B&amp;refType=LQ&amp;originationContext=document&amp;transitionType=DocumentItem&amp;ppcid=ec3f64e2dbce4be78b8a30040be2ac61&amp;contextData=(sc.Categ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952</Words>
  <Characters>4842</Characters>
  <Application>Microsoft Office Word</Application>
  <DocSecurity>0</DocSecurity>
  <Lines>138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3</cp:revision>
  <dcterms:created xsi:type="dcterms:W3CDTF">2026-01-07T22:50:00Z</dcterms:created>
  <dcterms:modified xsi:type="dcterms:W3CDTF">2026-01-13T00:29:00Z</dcterms:modified>
</cp:coreProperties>
</file>