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4DD2" w14:textId="2E4C0FFB" w:rsidR="007E390D" w:rsidRPr="007E390D" w:rsidRDefault="007E390D" w:rsidP="007E390D">
      <w:pPr>
        <w:shd w:val="clear" w:color="auto" w:fill="FFFFFF"/>
        <w:spacing w:after="360" w:line="240" w:lineRule="auto"/>
        <w:jc w:val="center"/>
        <w:textAlignment w:val="baseline"/>
        <w:rPr>
          <w:color w:val="000000" w:themeColor="text1"/>
          <w:kern w:val="2"/>
          <w:sz w:val="28"/>
          <w:szCs w:val="28"/>
        </w:rPr>
      </w:pPr>
      <w:r w:rsidRPr="006C547B">
        <w:rPr>
          <w:b/>
          <w:bCs/>
          <w:color w:val="000000" w:themeColor="text1"/>
          <w:kern w:val="2"/>
          <w:sz w:val="28"/>
          <w:szCs w:val="28"/>
        </w:rPr>
        <w:t xml:space="preserve">APPENDIX </w:t>
      </w:r>
      <w:r w:rsidR="002221A2">
        <w:rPr>
          <w:b/>
          <w:bCs/>
          <w:color w:val="000000" w:themeColor="text1"/>
          <w:kern w:val="2"/>
          <w:sz w:val="28"/>
          <w:szCs w:val="28"/>
        </w:rPr>
        <w:t>B</w:t>
      </w:r>
      <w:r w:rsidR="003C23F8">
        <w:rPr>
          <w:b/>
          <w:bCs/>
          <w:color w:val="000000" w:themeColor="text1"/>
          <w:kern w:val="2"/>
          <w:sz w:val="28"/>
          <w:szCs w:val="28"/>
        </w:rPr>
        <w:t xml:space="preserve"> - </w:t>
      </w:r>
      <w:r w:rsidR="002221A2">
        <w:rPr>
          <w:b/>
          <w:bCs/>
          <w:color w:val="000000" w:themeColor="text1"/>
          <w:kern w:val="2"/>
          <w:sz w:val="28"/>
          <w:szCs w:val="28"/>
        </w:rPr>
        <w:t>Clean</w:t>
      </w:r>
    </w:p>
    <w:p w14:paraId="37B8B8F8" w14:textId="6973F95B" w:rsidR="007E390D" w:rsidRPr="00C13CD4" w:rsidRDefault="007E390D" w:rsidP="007E390D">
      <w:pPr>
        <w:spacing w:after="120"/>
        <w:rPr>
          <w:b/>
          <w:bCs/>
          <w:sz w:val="28"/>
          <w:szCs w:val="28"/>
        </w:rPr>
      </w:pPr>
      <w:r w:rsidRPr="00C13CD4">
        <w:rPr>
          <w:b/>
          <w:bCs/>
          <w:sz w:val="28"/>
          <w:szCs w:val="28"/>
        </w:rPr>
        <w:t xml:space="preserve">Rule 32. Organization of the State Bar of Arizona </w:t>
      </w:r>
    </w:p>
    <w:p w14:paraId="449CCA40" w14:textId="77777777" w:rsidR="007E390D" w:rsidRPr="00C13CD4" w:rsidRDefault="007E390D" w:rsidP="007E390D">
      <w:pPr>
        <w:ind w:firstLine="360"/>
        <w:rPr>
          <w:sz w:val="28"/>
          <w:szCs w:val="28"/>
        </w:rPr>
      </w:pPr>
      <w:r w:rsidRPr="00C13CD4">
        <w:rPr>
          <w:b/>
          <w:bCs/>
          <w:sz w:val="28"/>
          <w:szCs w:val="28"/>
        </w:rPr>
        <w:t>(a) State Bar of Arizona.</w:t>
      </w:r>
      <w:r w:rsidRPr="00C13CD4">
        <w:rPr>
          <w:sz w:val="28"/>
          <w:szCs w:val="28"/>
        </w:rPr>
        <w:t xml:space="preserve"> The Supreme Court of Arizona maintains under its direction and control a corporate organization known as the State Bar of Arizona.</w:t>
      </w:r>
    </w:p>
    <w:p w14:paraId="4E07D004" w14:textId="77777777" w:rsidR="007E390D" w:rsidRPr="00C13CD4" w:rsidRDefault="007E390D" w:rsidP="007E390D">
      <w:pPr>
        <w:ind w:left="450"/>
        <w:rPr>
          <w:sz w:val="28"/>
          <w:szCs w:val="28"/>
        </w:rPr>
      </w:pPr>
      <w:r w:rsidRPr="00C13CD4">
        <w:rPr>
          <w:sz w:val="28"/>
          <w:szCs w:val="28"/>
        </w:rPr>
        <w:t xml:space="preserve">1.  </w:t>
      </w:r>
      <w:r w:rsidRPr="00C13CD4">
        <w:rPr>
          <w:i/>
          <w:iCs/>
          <w:sz w:val="28"/>
          <w:szCs w:val="28"/>
        </w:rPr>
        <w:t>Practice of law</w:t>
      </w:r>
      <w:r w:rsidRPr="00C13CD4">
        <w:rPr>
          <w:sz w:val="28"/>
          <w:szCs w:val="28"/>
        </w:rPr>
        <w:t>. Every person licensed by this Court to engage in the practice of law must be a member of the State Bar of Arizona in accordance with these rules.</w:t>
      </w:r>
    </w:p>
    <w:p w14:paraId="1CC41055" w14:textId="6C824C28" w:rsidR="007E390D" w:rsidRPr="00C13CD4" w:rsidRDefault="007E390D" w:rsidP="007E390D">
      <w:pPr>
        <w:ind w:left="450"/>
        <w:rPr>
          <w:sz w:val="28"/>
          <w:szCs w:val="28"/>
        </w:rPr>
      </w:pPr>
      <w:r w:rsidRPr="00C13CD4">
        <w:rPr>
          <w:sz w:val="28"/>
          <w:szCs w:val="28"/>
        </w:rPr>
        <w:t xml:space="preserve">2.  </w:t>
      </w:r>
      <w:r w:rsidRPr="00C13CD4">
        <w:rPr>
          <w:i/>
          <w:iCs/>
          <w:sz w:val="28"/>
          <w:szCs w:val="28"/>
        </w:rPr>
        <w:t>Mission</w:t>
      </w:r>
      <w:r w:rsidRPr="00C13CD4">
        <w:rPr>
          <w:sz w:val="28"/>
          <w:szCs w:val="28"/>
        </w:rPr>
        <w:t>. The State Bar of Arizona exists to serve and protect the public with respect to the provision of legal services</w:t>
      </w:r>
      <w:r w:rsidR="00CE215F">
        <w:rPr>
          <w:sz w:val="28"/>
          <w:szCs w:val="28"/>
        </w:rPr>
        <w:t xml:space="preserve">, </w:t>
      </w:r>
      <w:r w:rsidRPr="00C13CD4">
        <w:rPr>
          <w:sz w:val="28"/>
          <w:szCs w:val="28"/>
        </w:rPr>
        <w:t>access to justice</w:t>
      </w:r>
      <w:r w:rsidRPr="007E390D">
        <w:rPr>
          <w:sz w:val="28"/>
          <w:szCs w:val="28"/>
        </w:rPr>
        <w:t xml:space="preserve"> </w:t>
      </w:r>
      <w:r w:rsidRPr="002221A2">
        <w:rPr>
          <w:sz w:val="28"/>
          <w:szCs w:val="28"/>
        </w:rPr>
        <w:t>and promoting confidence in the Rule of Law</w:t>
      </w:r>
      <w:r w:rsidRPr="00C13CD4">
        <w:rPr>
          <w:sz w:val="28"/>
          <w:szCs w:val="28"/>
        </w:rPr>
        <w:t>.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6EB9A627" w14:textId="46E25FA2" w:rsidR="007E390D" w:rsidRPr="00C13CD4" w:rsidRDefault="007E390D" w:rsidP="007E390D">
      <w:pPr>
        <w:ind w:left="720"/>
        <w:rPr>
          <w:sz w:val="28"/>
          <w:szCs w:val="28"/>
        </w:rPr>
      </w:pPr>
      <w:r w:rsidRPr="00C13CD4">
        <w:rPr>
          <w:sz w:val="28"/>
          <w:szCs w:val="28"/>
        </w:rPr>
        <w:t>A.</w:t>
      </w:r>
      <w:r>
        <w:rPr>
          <w:sz w:val="28"/>
          <w:szCs w:val="28"/>
        </w:rPr>
        <w:t xml:space="preserve"> – E. [No change]</w:t>
      </w:r>
    </w:p>
    <w:p w14:paraId="63282440" w14:textId="33110FFE" w:rsidR="007E390D" w:rsidRPr="00C13CD4" w:rsidRDefault="007E390D" w:rsidP="007E390D">
      <w:pPr>
        <w:ind w:firstLine="360"/>
        <w:rPr>
          <w:sz w:val="28"/>
          <w:szCs w:val="28"/>
        </w:rPr>
      </w:pPr>
      <w:r w:rsidRPr="00C13CD4">
        <w:rPr>
          <w:b/>
          <w:bCs/>
          <w:sz w:val="28"/>
          <w:szCs w:val="28"/>
        </w:rPr>
        <w:t>(b – m)</w:t>
      </w:r>
      <w:r w:rsidRPr="00C13CD4">
        <w:rPr>
          <w:sz w:val="28"/>
          <w:szCs w:val="28"/>
        </w:rPr>
        <w:t xml:space="preserve">  </w:t>
      </w:r>
      <w:r>
        <w:rPr>
          <w:sz w:val="28"/>
          <w:szCs w:val="28"/>
        </w:rPr>
        <w:t>[No change]</w:t>
      </w:r>
    </w:p>
    <w:p w14:paraId="633A0D1D" w14:textId="77777777" w:rsidR="002C4AA6" w:rsidRDefault="002C4AA6"/>
    <w:sectPr w:rsidR="002C4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0D"/>
    <w:rsid w:val="002221A2"/>
    <w:rsid w:val="002C4AA6"/>
    <w:rsid w:val="003C23F8"/>
    <w:rsid w:val="007E390D"/>
    <w:rsid w:val="00995C2F"/>
    <w:rsid w:val="009C7876"/>
    <w:rsid w:val="00B646AD"/>
    <w:rsid w:val="00C50E06"/>
    <w:rsid w:val="00CE215F"/>
    <w:rsid w:val="00D46B0B"/>
    <w:rsid w:val="00E53378"/>
    <w:rsid w:val="00F308F1"/>
    <w:rsid w:val="00FC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5D6A"/>
  <w15:chartTrackingRefBased/>
  <w15:docId w15:val="{1EF85651-54F9-402F-9BFB-8D18002A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0D"/>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E39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39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39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390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390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390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390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390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390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90D"/>
    <w:rPr>
      <w:rFonts w:eastAsiaTheme="majorEastAsia" w:cstheme="majorBidi"/>
      <w:color w:val="272727" w:themeColor="text1" w:themeTint="D8"/>
    </w:rPr>
  </w:style>
  <w:style w:type="paragraph" w:styleId="Title">
    <w:name w:val="Title"/>
    <w:basedOn w:val="Normal"/>
    <w:next w:val="Normal"/>
    <w:link w:val="TitleChar"/>
    <w:uiPriority w:val="10"/>
    <w:qFormat/>
    <w:rsid w:val="007E39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9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90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390D"/>
    <w:rPr>
      <w:i/>
      <w:iCs/>
      <w:color w:val="404040" w:themeColor="text1" w:themeTint="BF"/>
    </w:rPr>
  </w:style>
  <w:style w:type="paragraph" w:styleId="ListParagraph">
    <w:name w:val="List Paragraph"/>
    <w:basedOn w:val="Normal"/>
    <w:uiPriority w:val="34"/>
    <w:qFormat/>
    <w:rsid w:val="007E390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E390D"/>
    <w:rPr>
      <w:i/>
      <w:iCs/>
      <w:color w:val="0F4761" w:themeColor="accent1" w:themeShade="BF"/>
    </w:rPr>
  </w:style>
  <w:style w:type="paragraph" w:styleId="IntenseQuote">
    <w:name w:val="Intense Quote"/>
    <w:basedOn w:val="Normal"/>
    <w:next w:val="Normal"/>
    <w:link w:val="IntenseQuoteChar"/>
    <w:uiPriority w:val="30"/>
    <w:qFormat/>
    <w:rsid w:val="007E39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390D"/>
    <w:rPr>
      <w:i/>
      <w:iCs/>
      <w:color w:val="0F4761" w:themeColor="accent1" w:themeShade="BF"/>
    </w:rPr>
  </w:style>
  <w:style w:type="character" w:styleId="IntenseReference">
    <w:name w:val="Intense Reference"/>
    <w:basedOn w:val="DefaultParagraphFont"/>
    <w:uiPriority w:val="32"/>
    <w:qFormat/>
    <w:rsid w:val="007E3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770</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4</cp:revision>
  <dcterms:created xsi:type="dcterms:W3CDTF">2026-01-05T21:31:00Z</dcterms:created>
  <dcterms:modified xsi:type="dcterms:W3CDTF">2026-01-12T23:31:00Z</dcterms:modified>
</cp:coreProperties>
</file>