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E7" w:rsidRDefault="00D23BE7">
      <w:pPr>
        <w:spacing w:line="349" w:lineRule="exact"/>
        <w:rPr>
          <w:rFonts w:ascii="Tms Rmn" w:hAnsi="Tms Rmn" w:cs="Tms Rmn"/>
        </w:rPr>
      </w:pPr>
      <w:bookmarkStart w:id="0" w:name="_GoBack"/>
      <w:bookmarkEnd w:id="0"/>
      <w:r>
        <w:rPr>
          <w:rFonts w:ascii="Tms Rmn" w:hAnsi="Tms Rmn" w:cs="Tms Rmn"/>
          <w:sz w:val="28"/>
          <w:szCs w:val="28"/>
        </w:rPr>
        <w:t>Mike Palmer</w:t>
      </w:r>
    </w:p>
    <w:p w:rsidR="00D23BE7" w:rsidRDefault="00D23BE7">
      <w:pPr>
        <w:spacing w:line="349" w:lineRule="exact"/>
        <w:rPr>
          <w:rFonts w:ascii="Tms Rmn" w:hAnsi="Tms Rmn" w:cs="Tms Rmn"/>
        </w:rPr>
      </w:pPr>
      <w:r>
        <w:rPr>
          <w:rFonts w:ascii="Tms Rmn" w:hAnsi="Tms Rmn" w:cs="Tms Rmn"/>
          <w:sz w:val="28"/>
          <w:szCs w:val="28"/>
        </w:rPr>
        <w:t>18402 N. 19</w:t>
      </w:r>
      <w:r>
        <w:rPr>
          <w:rFonts w:ascii="Tms Rmn" w:hAnsi="Tms Rmn" w:cs="Tms Rmn"/>
          <w:sz w:val="28"/>
          <w:szCs w:val="28"/>
          <w:vertAlign w:val="superscript"/>
        </w:rPr>
        <w:t>th</w:t>
      </w:r>
      <w:r>
        <w:rPr>
          <w:rFonts w:ascii="Tms Rmn" w:hAnsi="Tms Rmn" w:cs="Tms Rmn"/>
          <w:sz w:val="28"/>
          <w:szCs w:val="28"/>
        </w:rPr>
        <w:t xml:space="preserve"> Ave., #109</w:t>
      </w:r>
    </w:p>
    <w:p w:rsidR="00D23BE7" w:rsidRDefault="00D23BE7">
      <w:pPr>
        <w:spacing w:line="349" w:lineRule="exact"/>
        <w:rPr>
          <w:rFonts w:ascii="Tms Rmn" w:hAnsi="Tms Rmn" w:cs="Tms Rmn"/>
        </w:rPr>
      </w:pPr>
      <w:r>
        <w:rPr>
          <w:rFonts w:ascii="Tms Rmn" w:hAnsi="Tms Rmn" w:cs="Tms Rmn"/>
          <w:sz w:val="28"/>
          <w:szCs w:val="28"/>
        </w:rPr>
        <w:t>Phoenix, AZ 85023</w:t>
      </w:r>
    </w:p>
    <w:p w:rsidR="00D23BE7" w:rsidRDefault="00D23BE7">
      <w:pPr>
        <w:spacing w:line="349" w:lineRule="exact"/>
      </w:pPr>
      <w:r>
        <w:rPr>
          <w:sz w:val="28"/>
          <w:szCs w:val="28"/>
        </w:rPr>
        <w:t>mppalmer@aol.com</w:t>
      </w:r>
    </w:p>
    <w:p w:rsidR="00D23BE7" w:rsidRDefault="00D23BE7">
      <w:pPr>
        <w:spacing w:line="349" w:lineRule="exact"/>
      </w:pPr>
    </w:p>
    <w:p w:rsidR="00D23BE7" w:rsidRDefault="00D23BE7">
      <w:pPr>
        <w:spacing w:line="349" w:lineRule="exact"/>
        <w:jc w:val="center"/>
        <w:rPr>
          <w:b/>
          <w:bCs/>
          <w:sz w:val="28"/>
          <w:szCs w:val="28"/>
        </w:rPr>
      </w:pPr>
      <w:r>
        <w:rPr>
          <w:b/>
          <w:bCs/>
          <w:sz w:val="28"/>
          <w:szCs w:val="28"/>
        </w:rPr>
        <w:t>IN THE SUPREME COURT</w:t>
      </w:r>
    </w:p>
    <w:p w:rsidR="00D23BE7" w:rsidRDefault="00D23BE7">
      <w:pPr>
        <w:spacing w:line="349" w:lineRule="exact"/>
        <w:jc w:val="center"/>
      </w:pPr>
      <w:r>
        <w:rPr>
          <w:b/>
          <w:bCs/>
          <w:sz w:val="28"/>
          <w:szCs w:val="28"/>
        </w:rPr>
        <w:t>STATE OF ARIZONA</w:t>
      </w:r>
    </w:p>
    <w:p w:rsidR="00D23BE7" w:rsidRDefault="00D23BE7">
      <w:pPr>
        <w:spacing w:line="349" w:lineRule="exact"/>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D23BE7">
        <w:tblPrEx>
          <w:tblCellMar>
            <w:top w:w="0" w:type="dxa"/>
            <w:bottom w:w="0" w:type="dxa"/>
          </w:tblCellMar>
        </w:tblPrEx>
        <w:trPr>
          <w:jc w:val="center"/>
        </w:trPr>
        <w:tc>
          <w:tcPr>
            <w:tcW w:w="4860" w:type="dxa"/>
            <w:tcBorders>
              <w:top w:val="single" w:sz="6" w:space="0" w:color="FFFFFF"/>
              <w:left w:val="single" w:sz="6" w:space="0" w:color="FFFFFF"/>
              <w:bottom w:val="single" w:sz="20" w:space="0" w:color="000000"/>
              <w:right w:val="single" w:sz="20" w:space="0" w:color="000000"/>
            </w:tcBorders>
          </w:tcPr>
          <w:p w:rsidR="00D23BE7" w:rsidRDefault="00D23BE7">
            <w:pPr>
              <w:spacing w:line="120" w:lineRule="exact"/>
            </w:pPr>
          </w:p>
          <w:p w:rsidR="00D23BE7" w:rsidRDefault="00D23BE7">
            <w:pPr>
              <w:spacing w:line="418" w:lineRule="exact"/>
              <w:rPr>
                <w:sz w:val="28"/>
                <w:szCs w:val="28"/>
              </w:rPr>
            </w:pPr>
          </w:p>
          <w:p w:rsidR="00D23BE7" w:rsidRDefault="00D23BE7">
            <w:pPr>
              <w:spacing w:line="291" w:lineRule="exact"/>
              <w:rPr>
                <w:sz w:val="28"/>
                <w:szCs w:val="28"/>
              </w:rPr>
            </w:pPr>
            <w:r>
              <w:rPr>
                <w:sz w:val="28"/>
                <w:szCs w:val="28"/>
              </w:rPr>
              <w:t>In the Matter of:</w:t>
            </w:r>
          </w:p>
          <w:p w:rsidR="00D23BE7" w:rsidRDefault="00D23BE7">
            <w:pPr>
              <w:spacing w:line="349" w:lineRule="exact"/>
              <w:rPr>
                <w:sz w:val="28"/>
                <w:szCs w:val="28"/>
              </w:rPr>
            </w:pPr>
          </w:p>
          <w:p w:rsidR="00D23BE7" w:rsidRDefault="00D23BE7">
            <w:pPr>
              <w:spacing w:after="58" w:line="291" w:lineRule="exact"/>
              <w:rPr>
                <w:sz w:val="28"/>
                <w:szCs w:val="28"/>
              </w:rPr>
            </w:pPr>
            <w:r>
              <w:rPr>
                <w:sz w:val="28"/>
                <w:szCs w:val="28"/>
              </w:rPr>
              <w:t>PETITION TO ABROGATE RULE 25(g)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D23BE7" w:rsidRDefault="00D23BE7">
            <w:pPr>
              <w:spacing w:line="120" w:lineRule="exact"/>
              <w:rPr>
                <w:sz w:val="28"/>
                <w:szCs w:val="28"/>
              </w:rPr>
            </w:pPr>
          </w:p>
          <w:p w:rsidR="00D23BE7" w:rsidRDefault="00D23BE7">
            <w:pPr>
              <w:spacing w:line="291" w:lineRule="exact"/>
              <w:rPr>
                <w:rFonts w:ascii="Tms Rmn" w:hAnsi="Tms Rmn" w:cs="Tms Rmn"/>
                <w:sz w:val="28"/>
                <w:szCs w:val="28"/>
              </w:rPr>
            </w:pPr>
            <w:r>
              <w:rPr>
                <w:rFonts w:ascii="Tms Rmn" w:hAnsi="Tms Rmn" w:cs="Tms Rmn"/>
                <w:sz w:val="28"/>
                <w:szCs w:val="28"/>
              </w:rPr>
              <w:t xml:space="preserve"> </w:t>
            </w:r>
          </w:p>
          <w:p w:rsidR="00D23BE7" w:rsidRDefault="00D23BE7">
            <w:pPr>
              <w:spacing w:line="291" w:lineRule="exact"/>
              <w:rPr>
                <w:rFonts w:ascii="Tms Rmn" w:hAnsi="Tms Rmn" w:cs="Tms Rmn"/>
              </w:rPr>
            </w:pPr>
            <w:r>
              <w:rPr>
                <w:rFonts w:ascii="Tms Rmn" w:hAnsi="Tms Rmn" w:cs="Tms Rmn"/>
                <w:sz w:val="28"/>
                <w:szCs w:val="28"/>
              </w:rPr>
              <w:t>Supreme Court No. R-__-_____</w:t>
            </w:r>
          </w:p>
          <w:p w:rsidR="00D23BE7" w:rsidRDefault="00D23BE7">
            <w:pPr>
              <w:spacing w:line="291" w:lineRule="exact"/>
              <w:rPr>
                <w:rFonts w:ascii="Tms Rmn" w:hAnsi="Tms Rmn" w:cs="Tms Rmn"/>
                <w:sz w:val="28"/>
                <w:szCs w:val="28"/>
              </w:rPr>
            </w:pPr>
          </w:p>
          <w:p w:rsidR="00D23BE7" w:rsidRDefault="00D23BE7">
            <w:pPr>
              <w:spacing w:line="291" w:lineRule="exact"/>
              <w:rPr>
                <w:rFonts w:ascii="Tms Rmn" w:hAnsi="Tms Rmn" w:cs="Tms Rmn"/>
                <w:b/>
                <w:bCs/>
                <w:sz w:val="28"/>
                <w:szCs w:val="28"/>
              </w:rPr>
            </w:pPr>
            <w:r>
              <w:rPr>
                <w:rFonts w:ascii="Tms Rmn" w:hAnsi="Tms Rmn" w:cs="Tms Rmn"/>
                <w:b/>
                <w:bCs/>
                <w:sz w:val="28"/>
                <w:szCs w:val="28"/>
              </w:rPr>
              <w:t>Petition to Abrogate ("Repeal") Rule 25(g) of the Arizona Rules of Protective Order Procedure for being patently unlawful</w:t>
            </w:r>
          </w:p>
          <w:p w:rsidR="00D23BE7" w:rsidRDefault="00D23BE7">
            <w:pPr>
              <w:spacing w:after="58" w:line="291" w:lineRule="exact"/>
            </w:pPr>
          </w:p>
        </w:tc>
      </w:tr>
    </w:tbl>
    <w:p w:rsidR="00D23BE7" w:rsidRDefault="00D23BE7">
      <w:pPr>
        <w:spacing w:line="582" w:lineRule="exact"/>
        <w:ind w:firstLine="720"/>
        <w:rPr>
          <w:rFonts w:ascii="Tms Rmn" w:hAnsi="Tms Rmn" w:cs="Tms Rmn"/>
          <w:sz w:val="28"/>
          <w:szCs w:val="28"/>
        </w:rPr>
      </w:pPr>
      <w:r>
        <w:rPr>
          <w:rFonts w:ascii="Tms Rmn" w:hAnsi="Tms Rmn" w:cs="Tms Rmn"/>
          <w:sz w:val="28"/>
          <w:szCs w:val="28"/>
        </w:rPr>
        <w:t>Pursuant to Rule 28 of the Supreme Court, Mike Palmer petitions this Court to abrogate Rule 25(g) of Protective Order Procedure because it unlawfully tells judges that they can issue unlawful orders to prohibit defendants in civil Injunctions against Harassment from possessing firearms.</w:t>
      </w:r>
    </w:p>
    <w:p w:rsidR="00D23BE7" w:rsidRDefault="00D23BE7">
      <w:pPr>
        <w:spacing w:line="582" w:lineRule="exact"/>
        <w:ind w:firstLine="720"/>
        <w:rPr>
          <w:rFonts w:ascii="Tms Rmn" w:hAnsi="Tms Rmn" w:cs="Tms Rmn"/>
          <w:sz w:val="28"/>
          <w:szCs w:val="28"/>
        </w:rPr>
      </w:pPr>
      <w:r>
        <w:rPr>
          <w:rFonts w:ascii="Tms Rmn" w:hAnsi="Tms Rmn" w:cs="Tms Rmn"/>
          <w:b/>
          <w:bCs/>
          <w:sz w:val="28"/>
          <w:szCs w:val="28"/>
        </w:rPr>
        <w:t>I.</w:t>
      </w:r>
      <w:r>
        <w:rPr>
          <w:rFonts w:ascii="Tms Rmn" w:hAnsi="Tms Rmn" w:cs="Tms Rmn"/>
          <w:b/>
          <w:bCs/>
          <w:sz w:val="28"/>
          <w:szCs w:val="28"/>
        </w:rPr>
        <w:tab/>
        <w:t>Preface</w:t>
      </w:r>
    </w:p>
    <w:p w:rsidR="00D23BE7" w:rsidRDefault="00D23BE7">
      <w:pPr>
        <w:spacing w:line="582" w:lineRule="exact"/>
        <w:ind w:firstLine="720"/>
        <w:rPr>
          <w:rFonts w:ascii="Tms Rmn" w:hAnsi="Tms Rmn" w:cs="Tms Rmn"/>
          <w:sz w:val="28"/>
          <w:szCs w:val="28"/>
        </w:rPr>
      </w:pPr>
      <w:r>
        <w:rPr>
          <w:rFonts w:ascii="Tms Rmn" w:hAnsi="Tms Rmn" w:cs="Tms Rmn"/>
          <w:sz w:val="28"/>
          <w:szCs w:val="28"/>
        </w:rPr>
        <w:t>This petition to repeal Rule 25(g) is another in a long line of petitions for same dating back to 2009. (I incorporate all the arguments in those petitions herein.) What’s new this time? More evidence from the 2025 Legislature itself that our elected representatives never intended for – and so never provided for – defendants in civil IAH’s to be prohibited from possessing firearms.</w:t>
      </w:r>
    </w:p>
    <w:p w:rsidR="00D23BE7" w:rsidRDefault="00D23BE7">
      <w:pPr>
        <w:spacing w:line="582" w:lineRule="exact"/>
        <w:ind w:firstLine="720"/>
        <w:rPr>
          <w:rFonts w:ascii="Tms Rmn" w:hAnsi="Tms Rmn" w:cs="Tms Rmn"/>
          <w:sz w:val="28"/>
          <w:szCs w:val="28"/>
        </w:rPr>
        <w:sectPr w:rsidR="00D23BE7">
          <w:pgSz w:w="12240" w:h="15840"/>
          <w:pgMar w:top="1440" w:right="1440" w:bottom="1440" w:left="1440" w:header="1440" w:footer="144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 xml:space="preserve">Specifically, during the 2025 Session of the Arizona Legislature, some representatives introduced HB 2512, an Act to, among other things, amend Sections 13-3101 and 13-3602 of the Arizona Revised Statutes as they relate to [the </w:t>
      </w:r>
      <w:r>
        <w:rPr>
          <w:rFonts w:ascii="Tms Rmn" w:hAnsi="Tms Rmn" w:cs="Tms Rmn"/>
          <w:sz w:val="28"/>
          <w:szCs w:val="28"/>
        </w:rPr>
        <w:lastRenderedPageBreak/>
        <w:t xml:space="preserve">prohibited possession of ] Firearms. (Full Text of the Bill in the Appendix.) Note that, as it relates to Legislative intent, this Bill died on </w:t>
      </w:r>
      <w:r>
        <w:rPr>
          <w:rFonts w:ascii="Tms Rmn" w:hAnsi="Tms Rmn" w:cs="Tms Rmn"/>
          <w:i/>
          <w:iCs/>
          <w:sz w:val="28"/>
          <w:szCs w:val="28"/>
        </w:rPr>
        <w:t>Sine Die</w:t>
      </w:r>
      <w:r>
        <w:rPr>
          <w:rFonts w:ascii="Tms Rmn" w:hAnsi="Tms Rmn" w:cs="Tms Rmn"/>
          <w:sz w:val="28"/>
          <w:szCs w:val="28"/>
        </w:rPr>
        <w:t>, failing to ever be voted on. This shows that the Legislature had no intention to add more to existing prohibitions than it has already said. I’ll cite the failed amendments in my analysis next.</w:t>
      </w:r>
    </w:p>
    <w:p w:rsidR="00D23BE7" w:rsidRDefault="00D23BE7">
      <w:pPr>
        <w:spacing w:line="582" w:lineRule="exact"/>
        <w:ind w:firstLine="720"/>
        <w:rPr>
          <w:rFonts w:ascii="Tms Rmn" w:hAnsi="Tms Rmn" w:cs="Tms Rmn"/>
          <w:sz w:val="28"/>
          <w:szCs w:val="28"/>
        </w:rPr>
      </w:pPr>
      <w:r>
        <w:rPr>
          <w:rFonts w:ascii="Tms Rmn" w:hAnsi="Tms Rmn" w:cs="Tms Rmn"/>
          <w:b/>
          <w:bCs/>
          <w:sz w:val="28"/>
          <w:szCs w:val="28"/>
        </w:rPr>
        <w:t>II.</w:t>
      </w:r>
      <w:r>
        <w:rPr>
          <w:rFonts w:ascii="Tms Rmn" w:hAnsi="Tms Rmn" w:cs="Tms Rmn"/>
          <w:b/>
          <w:bCs/>
          <w:sz w:val="28"/>
          <w:szCs w:val="28"/>
        </w:rPr>
        <w:tab/>
        <w:t>Analysis</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Rule 25(g), a Rule of Procedure for civil Injunctions Against Harassment, is titled “Firearms.” It says in full "The judicial officer </w:t>
      </w:r>
      <w:r>
        <w:rPr>
          <w:rFonts w:ascii="Tms Rmn" w:hAnsi="Tms Rmn" w:cs="Tms Rmn"/>
          <w:b/>
          <w:bCs/>
          <w:sz w:val="28"/>
          <w:szCs w:val="28"/>
        </w:rPr>
        <w:t>must</w:t>
      </w:r>
      <w:r>
        <w:rPr>
          <w:rFonts w:ascii="Tms Rmn" w:hAnsi="Tms Rmn" w:cs="Tms Rmn"/>
          <w:sz w:val="28"/>
          <w:szCs w:val="28"/>
        </w:rPr>
        <w:t xml:space="preserve"> ask the plaintiff about the defendant's use of or access to </w:t>
      </w:r>
      <w:r>
        <w:rPr>
          <w:rFonts w:ascii="Tms Rmn" w:hAnsi="Tms Rmn" w:cs="Tms Rmn"/>
          <w:b/>
          <w:bCs/>
          <w:sz w:val="28"/>
          <w:szCs w:val="28"/>
        </w:rPr>
        <w:t>firearms</w:t>
      </w:r>
      <w:r>
        <w:rPr>
          <w:rFonts w:ascii="Tms Rmn" w:hAnsi="Tms Rmn" w:cs="Tms Rmn"/>
          <w:sz w:val="28"/>
          <w:szCs w:val="28"/>
        </w:rPr>
        <w:t xml:space="preserve">. If necessary to protect the plaintiff or any other specifically designated person, the judicial officer may </w:t>
      </w:r>
      <w:r>
        <w:rPr>
          <w:rFonts w:ascii="Tms Rmn" w:hAnsi="Tms Rmn" w:cs="Tms Rmn"/>
          <w:b/>
          <w:bCs/>
          <w:sz w:val="28"/>
          <w:szCs w:val="28"/>
        </w:rPr>
        <w:t>prohibit</w:t>
      </w:r>
      <w:r>
        <w:rPr>
          <w:rFonts w:ascii="Tms Rmn" w:hAnsi="Tms Rmn" w:cs="Tms Rmn"/>
          <w:sz w:val="28"/>
          <w:szCs w:val="28"/>
        </w:rPr>
        <w:t xml:space="preserve"> the defendant from possessing, purchasing, or receiving </w:t>
      </w:r>
      <w:r>
        <w:rPr>
          <w:rFonts w:ascii="Tms Rmn" w:hAnsi="Tms Rmn" w:cs="Tms Rmn"/>
          <w:b/>
          <w:bCs/>
          <w:sz w:val="28"/>
          <w:szCs w:val="28"/>
        </w:rPr>
        <w:t>firearms</w:t>
      </w:r>
      <w:r>
        <w:rPr>
          <w:rFonts w:ascii="Tms Rmn" w:hAnsi="Tms Rmn" w:cs="Tms Rmn"/>
          <w:sz w:val="28"/>
          <w:szCs w:val="28"/>
        </w:rPr>
        <w:t xml:space="preserve"> for the duration of the order." The Rule does not cite any authority for anything it says. In fact, even though the Rule is titled “Firearms,” the word “firearm” is nowhere in the only statute governing civil IAH’s. (A.R.S. §12-1809.)</w:t>
      </w:r>
    </w:p>
    <w:p w:rsidR="00D23BE7" w:rsidRDefault="00D23BE7">
      <w:pPr>
        <w:spacing w:line="582" w:lineRule="exact"/>
        <w:ind w:firstLine="720"/>
        <w:rPr>
          <w:rFonts w:ascii="Tms Rmn" w:hAnsi="Tms Rmn" w:cs="Tms Rmn"/>
          <w:sz w:val="28"/>
          <w:szCs w:val="28"/>
        </w:rPr>
      </w:pPr>
      <w:r>
        <w:rPr>
          <w:rFonts w:ascii="Tms Rmn" w:hAnsi="Tms Rmn" w:cs="Tms Rmn"/>
          <w:sz w:val="28"/>
          <w:szCs w:val="28"/>
        </w:rPr>
        <w:t>Consistent with Rule 25(g)’s lack of statutory authority for its title, there is also nothing in the statute about prohibiting a defendant in a civil IAH from possessing firearms. Nor anything about requiring a judge to ask a plaintiff about a defendant’s use of firearms. (Use the Search feature of your browser to search for these words on the legislature’s website.) The judiciary’s language for Rule 25(g) was created out of nothing, as shown at the end.</w:t>
      </w:r>
    </w:p>
    <w:p w:rsidR="00D23BE7" w:rsidRDefault="00D23BE7">
      <w:pPr>
        <w:spacing w:line="582" w:lineRule="exact"/>
        <w:ind w:firstLine="720"/>
        <w:rPr>
          <w:rFonts w:ascii="Tms Rmn" w:hAnsi="Tms Rmn" w:cs="Tms Rmn"/>
          <w:sz w:val="28"/>
          <w:szCs w:val="28"/>
        </w:rPr>
        <w:sectPr w:rsidR="00D23BE7">
          <w:footerReference w:type="default" r:id="rId6"/>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 xml:space="preserve"> The fact that our elected representatives didn’t say anything in civil IAH law about firearms, nor the prohibited possession thereof, is in stark contrast to what </w:t>
      </w:r>
      <w:r>
        <w:rPr>
          <w:rFonts w:ascii="Tms Rmn" w:hAnsi="Tms Rmn" w:cs="Tms Rmn"/>
          <w:sz w:val="28"/>
          <w:szCs w:val="28"/>
        </w:rPr>
        <w:lastRenderedPageBreak/>
        <w:t>they said in their criminal Domestic Violence Order of Protection law, where our representatives specifically define “Firearm” and specifically say that a court can “prohibit the defendant from possessing or purchasing a firearm for the duration of the [DV] order.” (A.R.S. §13-3101(A)(4), 13-3602(G)(4).)</w:t>
      </w:r>
    </w:p>
    <w:p w:rsidR="00D23BE7" w:rsidRDefault="00D23BE7">
      <w:pPr>
        <w:spacing w:line="582" w:lineRule="exact"/>
        <w:ind w:firstLine="720"/>
        <w:rPr>
          <w:rFonts w:ascii="Tms Rmn" w:hAnsi="Tms Rmn" w:cs="Tms Rmn"/>
          <w:sz w:val="28"/>
          <w:szCs w:val="28"/>
        </w:rPr>
      </w:pPr>
      <w:r>
        <w:rPr>
          <w:rFonts w:ascii="Tms Rmn" w:hAnsi="Tms Rmn" w:cs="Tms Rmn"/>
          <w:sz w:val="28"/>
          <w:szCs w:val="28"/>
        </w:rPr>
        <w:t>Since our representatives specifically define Firearm in criminal DV law and provide for the prohibited possession of firearms therein, they could have, if it were their intent, similarly defined firearms and provided for the prohibited possession of firearms in their civil IAH statute. But they haven’t. That’s because that’s not what they – and by extension, We, the People of Arizona – want.</w:t>
      </w:r>
    </w:p>
    <w:p w:rsidR="00D23BE7" w:rsidRDefault="00D23BE7">
      <w:pPr>
        <w:spacing w:line="582" w:lineRule="exact"/>
        <w:ind w:firstLine="720"/>
        <w:rPr>
          <w:rFonts w:ascii="Tms Rmn" w:hAnsi="Tms Rmn" w:cs="Tms Rmn"/>
          <w:sz w:val="28"/>
          <w:szCs w:val="28"/>
        </w:rPr>
      </w:pPr>
      <w:r>
        <w:rPr>
          <w:rFonts w:ascii="Tms Rmn" w:hAnsi="Tms Rmn" w:cs="Tms Rmn"/>
          <w:sz w:val="28"/>
          <w:szCs w:val="28"/>
        </w:rPr>
        <w:t>Even though the Legislature doesn’t provide for prohibiting firearms in civil IAH’s as it did in crim DV OOP’s, this Court tells its officers that, because the Legislature allowed judges to “grant relief necessary” in civil IAH’s, judges can prohibit defendants in civil IAH’s from possessing firearms. That “grant relief necessary” allows judges to deprive Arizonans our state and federal constitutional rights to bear arms.</w:t>
      </w:r>
    </w:p>
    <w:p w:rsidR="00D23BE7" w:rsidRDefault="00D23BE7">
      <w:pPr>
        <w:spacing w:line="582" w:lineRule="exact"/>
        <w:ind w:firstLine="720"/>
        <w:rPr>
          <w:rFonts w:ascii="Tms Rmn" w:hAnsi="Tms Rmn" w:cs="Tms Rmn"/>
          <w:sz w:val="28"/>
          <w:szCs w:val="28"/>
        </w:rPr>
      </w:pPr>
      <w:r>
        <w:rPr>
          <w:rFonts w:ascii="Tms Rmn" w:hAnsi="Tms Rmn" w:cs="Tms Rmn"/>
          <w:sz w:val="28"/>
          <w:szCs w:val="28"/>
        </w:rPr>
        <w:t>Let’s assume for now that it’s true that, when our representatives wrote “grant relief necessary,” they meant, in a very obtuse way, to prohibit defendants in civil IAH’s from possessing firearms. That they really meant to suspend the constitutional rights of defendants to keep and bear arms.</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 xml:space="preserve">If it were true that our elected representatives meant for “grant relief necessary” to allow judges to “prohibit the defendant from possessing, purchasing, or receiving firearms for the duration of the order” (so as “to protect the plaintiff”), </w:t>
      </w:r>
      <w:r>
        <w:rPr>
          <w:rFonts w:ascii="Tms Rmn" w:hAnsi="Tms Rmn" w:cs="Tms Rmn"/>
          <w:sz w:val="28"/>
          <w:szCs w:val="28"/>
        </w:rPr>
        <w:lastRenderedPageBreak/>
        <w:t xml:space="preserve">then why did our representatives put the language above – plus scads of other language about prohibiting firearm possession – in DV law? </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Asking because the phrase “grant relief [that is] necessary” is also in the crim DV statute! (See §13-3602(G)(6).) So if it were true that “grant relief necessary” were all that is needed to prohibit possession of firearms, then all the added language in crim DV OOP law is superfluous. </w:t>
      </w:r>
    </w:p>
    <w:p w:rsidR="00D23BE7" w:rsidRDefault="00D23BE7">
      <w:pPr>
        <w:spacing w:line="582" w:lineRule="exact"/>
        <w:ind w:firstLine="720"/>
        <w:rPr>
          <w:rFonts w:ascii="Tms Rmn" w:hAnsi="Tms Rmn" w:cs="Tms Rmn"/>
          <w:sz w:val="28"/>
          <w:szCs w:val="28"/>
        </w:rPr>
      </w:pPr>
      <w:r>
        <w:rPr>
          <w:rFonts w:ascii="Tms Rmn" w:hAnsi="Tms Rmn" w:cs="Tms Rmn"/>
          <w:sz w:val="28"/>
          <w:szCs w:val="28"/>
        </w:rPr>
        <w:t>But our legislators did not waste their time writing unneeded superfluous language. (Especially with Leg Council looking over their shoulder.) They knew that “grant relief necessary” does not allow judges to violate an individual’s constitutional right to bear arms in defense of himself. To suspend that right, one has to trigger the federal Gun Control Act, which can only be triggered by meeting two prongs in orders of protection.</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 xml:space="preserve">“A higher standard of review applies when a court's order implicates a defendant's right to possess firearms under the Second amendment to the United States Constitution or under Article 2, Section 26, of the Arizona Constitution. A firearm restriction under the federal Gun Control Act is triggered by an order of protection that the order includes a finding that [the] person represents a </w:t>
      </w:r>
      <w:r>
        <w:rPr>
          <w:rFonts w:ascii="Tms Rmn" w:hAnsi="Tms Rmn" w:cs="Tms Rmn"/>
          <w:b/>
          <w:bCs/>
          <w:sz w:val="28"/>
          <w:szCs w:val="28"/>
        </w:rPr>
        <w:t>credible threat</w:t>
      </w:r>
      <w:r>
        <w:rPr>
          <w:rFonts w:ascii="Tms Rmn" w:hAnsi="Tms Rmn" w:cs="Tms Rmn"/>
          <w:sz w:val="28"/>
          <w:szCs w:val="28"/>
        </w:rPr>
        <w:t xml:space="preserve"> to the physical safety of [the] </w:t>
      </w:r>
      <w:r>
        <w:rPr>
          <w:rFonts w:ascii="Tms Rmn" w:hAnsi="Tms Rmn" w:cs="Tms Rmn"/>
          <w:b/>
          <w:bCs/>
          <w:sz w:val="28"/>
          <w:szCs w:val="28"/>
        </w:rPr>
        <w:t xml:space="preserve">intimate partner </w:t>
      </w:r>
      <w:r>
        <w:rPr>
          <w:rFonts w:ascii="Tms Rmn" w:hAnsi="Tms Rmn" w:cs="Tms Rmn"/>
          <w:sz w:val="28"/>
          <w:szCs w:val="28"/>
        </w:rPr>
        <w:t>or child.” (</w:t>
      </w:r>
      <w:r>
        <w:rPr>
          <w:rFonts w:ascii="Tms Rmn" w:hAnsi="Tms Rmn" w:cs="Tms Rmn"/>
          <w:i/>
          <w:iCs/>
          <w:sz w:val="28"/>
          <w:szCs w:val="28"/>
        </w:rPr>
        <w:t>Savord v. Morton</w:t>
      </w:r>
      <w:r>
        <w:rPr>
          <w:rFonts w:ascii="Tms Rmn" w:hAnsi="Tms Rmn" w:cs="Tms Rmn"/>
          <w:sz w:val="28"/>
          <w:szCs w:val="28"/>
        </w:rPr>
        <w:t>, 330 P. 3d 1013 - Ariz: Court of Appeals, 1st Div. 2014, internal quotes omitted.)</w:t>
      </w:r>
    </w:p>
    <w:p w:rsidR="00D23BE7" w:rsidRDefault="00D23BE7">
      <w:pPr>
        <w:spacing w:line="582" w:lineRule="exact"/>
        <w:ind w:firstLine="720"/>
        <w:rPr>
          <w:rFonts w:ascii="Tms Rmn" w:hAnsi="Tms Rmn" w:cs="Tms Rmn"/>
          <w:sz w:val="28"/>
          <w:szCs w:val="28"/>
        </w:rPr>
      </w:pPr>
      <w:r>
        <w:rPr>
          <w:rFonts w:ascii="Tms Rmn" w:hAnsi="Tms Rmn" w:cs="Tms Rmn"/>
          <w:sz w:val="28"/>
          <w:szCs w:val="28"/>
        </w:rPr>
        <w:t>This is why the phrase “credible threat” appears in Crim DV OOP law. It is a necessary prong to prohibit possession of firearms in DV matters.</w:t>
      </w: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But the phrase “credible threat” is nowhere in civil IAH law. Nor is there anything about a “finding” of credible threat. Therefore, one of the prongs needed to deprive defendants their constitutional rights to bear arms – to make them a prohibited possessor – can never be met in a civil IAH.</w:t>
      </w:r>
    </w:p>
    <w:p w:rsidR="00D23BE7" w:rsidRDefault="00D23BE7">
      <w:pPr>
        <w:spacing w:line="582" w:lineRule="exact"/>
        <w:ind w:firstLine="720"/>
        <w:rPr>
          <w:rFonts w:ascii="Tms Rmn" w:hAnsi="Tms Rmn" w:cs="Tms Rmn"/>
          <w:sz w:val="28"/>
          <w:szCs w:val="28"/>
        </w:rPr>
      </w:pPr>
      <w:r>
        <w:rPr>
          <w:rFonts w:ascii="Tms Rmn" w:hAnsi="Tms Rmn" w:cs="Tms Rmn"/>
          <w:sz w:val="28"/>
          <w:szCs w:val="28"/>
        </w:rPr>
        <w:t>But even if “grant relief necessary” did allow the deprivation of constitutional rights, it would still be unconstitutional to use it to make defendants civil IAH’s prohibited possessors because there is no “intimate partner” relationship in civil IAH’s. (Else they would be domestic violence matters.) Therefore the second prong can never be met in a civil IAH to make a defendant a prohibited possessor.</w:t>
      </w:r>
    </w:p>
    <w:p w:rsidR="00D23BE7" w:rsidRDefault="00D23BE7">
      <w:pPr>
        <w:spacing w:line="582" w:lineRule="exact"/>
        <w:ind w:firstLine="720"/>
        <w:rPr>
          <w:rFonts w:ascii="Tms Rmn" w:hAnsi="Tms Rmn" w:cs="Tms Rmn"/>
          <w:sz w:val="28"/>
          <w:szCs w:val="28"/>
        </w:rPr>
      </w:pPr>
      <w:r>
        <w:rPr>
          <w:rFonts w:ascii="Tms Rmn" w:hAnsi="Tms Rmn" w:cs="Tms Rmn"/>
          <w:sz w:val="28"/>
          <w:szCs w:val="28"/>
        </w:rPr>
        <w:t>Also, if our representatives had meant to prohibit firearms in civil IAH’s, then they would have had to define “Firearm” in the civil statute as they had in the criminal statute. And if they had meant to prohibit firearms in civil IAH’s, then they also would have had to codify the conditions for when a judge can do that. And how it’s done. Etc. But our representatives didn’t do any of this because they never meant to prohibit firearm possession in civil IAH’s.</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 xml:space="preserve">As it goes to this instant petition, if it were true that the Arizona Legislature meant to prohibit firearms in civil IAH’s, then the individual legislators who introduced HB 2512 to amend criminal DV law to further strengthen those prohibitions would have also acted to amend A.R.S. §12-1809 with the same language. Specifically, those legislators sought to add an entirely new section to the criminal code, §13-3601.03, to ensure that a prohibited possessor transfer his/her </w:t>
      </w:r>
      <w:r>
        <w:rPr>
          <w:rFonts w:ascii="Tms Rmn" w:hAnsi="Tms Rmn" w:cs="Tms Rmn"/>
          <w:sz w:val="28"/>
          <w:szCs w:val="28"/>
        </w:rPr>
        <w:lastRenderedPageBreak/>
        <w:t xml:space="preserve">firearms to an outside agent when so ordered by a judge. They even wanted Search Warrants to seize firearms if law enforcement suspected that a defendant had firearms but hadn’t transferred them! </w:t>
      </w:r>
    </w:p>
    <w:p w:rsidR="00D23BE7" w:rsidRDefault="00D23BE7">
      <w:pPr>
        <w:spacing w:line="582" w:lineRule="exact"/>
        <w:ind w:firstLine="720"/>
        <w:rPr>
          <w:rFonts w:ascii="Tms Rmn" w:hAnsi="Tms Rmn" w:cs="Tms Rmn"/>
          <w:sz w:val="28"/>
          <w:szCs w:val="28"/>
        </w:rPr>
      </w:pPr>
      <w:r>
        <w:rPr>
          <w:rFonts w:ascii="Tms Rmn" w:hAnsi="Tms Rmn" w:cs="Tms Rmn"/>
          <w:sz w:val="28"/>
          <w:szCs w:val="28"/>
        </w:rPr>
        <w:t>But they didn’t offer to add this language to civil IAH law because they knew that civil IAH law does not allow prohibiting possession in the first place.</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That they knew this is shown in HB 2512 itself, where they wanted to add language that smeared domestic firearm prohibition law over onto civil IAH’s. </w:t>
      </w:r>
    </w:p>
    <w:p w:rsidR="00D23BE7" w:rsidRDefault="00D23BE7">
      <w:pPr>
        <w:spacing w:line="582" w:lineRule="exact"/>
        <w:rPr>
          <w:rFonts w:ascii="Tms Rmn" w:hAnsi="Tms Rmn" w:cs="Tms Rmn"/>
          <w:sz w:val="28"/>
          <w:szCs w:val="28"/>
        </w:rPr>
      </w:pPr>
      <w:r>
        <w:rPr>
          <w:rFonts w:ascii="Tms Rmn" w:hAnsi="Tms Rmn" w:cs="Tms Rmn"/>
          <w:sz w:val="28"/>
          <w:szCs w:val="28"/>
        </w:rPr>
        <w:t>Specifically, the legislators wanted to enlarge the definition of domestic violence to include the accusation of “seriously disruptive behavior.” (Defined in A.R.S. § 13-2904(A)(1), the catch-all known as “Disorderly conduct.”) This would have effectively opened the door to make all defendants in civil IAH’s potential prohibited possessors via criminal DV law, since a finding of “harassment” implies seriously disruptive behavior!</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 Nice try. But the majority of our representatives rejected all of this because it was still not their intent to, among other things, make defendants in civil IAH’s prohibited possessors.</w:t>
      </w:r>
    </w:p>
    <w:p w:rsidR="00D23BE7" w:rsidRDefault="00D23BE7">
      <w:pPr>
        <w:spacing w:line="582" w:lineRule="exact"/>
        <w:ind w:firstLine="720"/>
        <w:rPr>
          <w:rFonts w:ascii="Tms Rmn" w:hAnsi="Tms Rmn" w:cs="Tms Rmn"/>
          <w:sz w:val="28"/>
          <w:szCs w:val="28"/>
        </w:rPr>
      </w:pPr>
      <w:r>
        <w:rPr>
          <w:rFonts w:ascii="Tms Rmn" w:hAnsi="Tms Rmn" w:cs="Tms Rmn"/>
          <w:sz w:val="28"/>
          <w:szCs w:val="28"/>
        </w:rPr>
        <w:t>So how did we get this lawless Rule of Procedure?</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Well, Thurgood Marshall said “You do what you think is right and let the law catch up.”</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While it might sound noble on its face to substitute what you think is right versus what our elected representatives say is right, at best it is lawlessness. (By definition.) At worst it is traitorous because a judge is setting himself up as King, </w:t>
      </w:r>
      <w:r>
        <w:rPr>
          <w:rFonts w:ascii="Tms Rmn" w:hAnsi="Tms Rmn" w:cs="Tms Rmn"/>
          <w:sz w:val="28"/>
          <w:szCs w:val="28"/>
        </w:rPr>
        <w:lastRenderedPageBreak/>
        <w:t>demanding that we obey his “law” instead of our elected representatives’ law.</w:t>
      </w:r>
    </w:p>
    <w:p w:rsidR="00D23BE7" w:rsidRDefault="00D23BE7">
      <w:pPr>
        <w:spacing w:line="582" w:lineRule="exact"/>
        <w:ind w:firstLine="720"/>
        <w:rPr>
          <w:rFonts w:ascii="Tms Rmn" w:hAnsi="Tms Rmn" w:cs="Tms Rmn"/>
          <w:sz w:val="28"/>
          <w:szCs w:val="28"/>
        </w:rPr>
      </w:pPr>
      <w:r>
        <w:rPr>
          <w:rFonts w:ascii="Tms Rmn" w:hAnsi="Tms Rmn" w:cs="Tms Rmn"/>
          <w:sz w:val="28"/>
          <w:szCs w:val="28"/>
        </w:rPr>
        <w:t>But as some remind us, we have No Kings. Still, a majority of the CIDVC thinks they are kings, since they made up their own law in Marshall-ish fashion, expecting our law to catch up. (Which HB 2512 would have done.)</w:t>
      </w:r>
    </w:p>
    <w:p w:rsidR="00D23BE7" w:rsidRDefault="00D23BE7">
      <w:pPr>
        <w:spacing w:line="582" w:lineRule="exact"/>
        <w:ind w:firstLine="720"/>
        <w:rPr>
          <w:rFonts w:ascii="Tms Rmn" w:hAnsi="Tms Rmn" w:cs="Tms Rmn"/>
          <w:sz w:val="28"/>
          <w:szCs w:val="28"/>
        </w:rPr>
      </w:pPr>
      <w:r>
        <w:rPr>
          <w:rFonts w:ascii="Tms Rmn" w:hAnsi="Tms Rmn" w:cs="Tms Rmn"/>
          <w:sz w:val="28"/>
          <w:szCs w:val="28"/>
        </w:rPr>
        <w:t>We see this evidenced in the Domestic Violence Benchbook. (See the last three pages in the Appendix.) Twenty years ago, a majority of the CIDVC felt that the Legislature hadn’t gone far enough to protect plaintiffs in civil Injunctions Against Harassment. (And/or they hated gun ownership and used whatever they could to undermine it.) So even though the Committee acknowledged that a judge could only prohibit defendants from possessing firearms if the “intimate partner” test had been met (in which case, a matter would automatically be a criminal DV OOP matter, not a civil IAH), the Committee, nevertheless, wrote “In an IAH, the JO may have discretion to prohibit firearms.”</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As shown above, there was no basis in law for this Note. It was just the CIDVC’s Personal Policy. But their Note eventually became part of the Rules of Procedure. </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So here we are, years later, still trying to right this constitutional wrong. (No thanks to the CIDVC who’s been fighting the electorate the whole time.)</w:t>
      </w:r>
    </w:p>
    <w:p w:rsidR="00D23BE7" w:rsidRDefault="00D23BE7">
      <w:pPr>
        <w:spacing w:line="582" w:lineRule="exact"/>
        <w:ind w:firstLine="720"/>
        <w:rPr>
          <w:rFonts w:ascii="Tms Rmn" w:hAnsi="Tms Rmn" w:cs="Tms Rmn"/>
          <w:sz w:val="28"/>
          <w:szCs w:val="28"/>
        </w:rPr>
      </w:pPr>
      <w:r>
        <w:rPr>
          <w:rFonts w:ascii="Tms Rmn" w:hAnsi="Tms Rmn" w:cs="Tms Rmn"/>
          <w:sz w:val="28"/>
          <w:szCs w:val="28"/>
        </w:rPr>
        <w:t>Now, a US Senator for Arizona is in the news for correctly reminding Military service members that they only have to obey lawful orders.</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This is also true for Arizona Peace Officers who are only required to carry out lawful orders. (See AZ POST Rule R13-4-105(E).) And it’s also true for us. </w:t>
      </w:r>
      <w:r>
        <w:rPr>
          <w:rFonts w:ascii="Tms Rmn" w:hAnsi="Tms Rmn" w:cs="Tms Rmn"/>
          <w:sz w:val="28"/>
          <w:szCs w:val="28"/>
        </w:rPr>
        <w:lastRenderedPageBreak/>
        <w:t>(Civilians.) For example, we only have to obey “lawful orders” given by law enforcement in emergency situations. (See Disorderly conduct, A.R.S. 13-2904(1)(5).)</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Arizonans can read A.R.S. § 12-1809 for themselves. We can see that there’s nothing in the law – which our two coequal branches of government (our Legislature and our Governor) – passed on to us about prohibiting possession of our firearms in civil IAH law. </w:t>
      </w:r>
    </w:p>
    <w:p w:rsidR="00D23BE7" w:rsidRDefault="00D23BE7">
      <w:pPr>
        <w:spacing w:line="582" w:lineRule="exact"/>
        <w:ind w:firstLine="720"/>
        <w:rPr>
          <w:rFonts w:ascii="Tms Rmn" w:hAnsi="Tms Rmn" w:cs="Tms Rmn"/>
          <w:sz w:val="28"/>
          <w:szCs w:val="28"/>
        </w:rPr>
      </w:pPr>
      <w:r>
        <w:rPr>
          <w:rFonts w:ascii="Tms Rmn" w:hAnsi="Tms Rmn" w:cs="Tms Rmn"/>
          <w:sz w:val="28"/>
          <w:szCs w:val="28"/>
        </w:rPr>
        <w:t>So any Arizonan can see that Rule 25(g) is a patently unlawful order because the judiciary made up “law.” And as our U.S. senator reminds us, we do not have to obey unlawful orders.</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 Furthermore, Arizonans are lately seeing a lot of judges nationally disregard laws that they don’t like, then being overruled by the US Supreme Court because the judges ruled according to their own personal Policies/beliefs – what THEY thought was right – not according to the law. This is undermining public confidence in the judiciary and breaking down society. We are already seeing “restlessness” in the streets in the more lawless states.</w:t>
      </w:r>
    </w:p>
    <w:p w:rsidR="00D23BE7" w:rsidRDefault="00D23BE7">
      <w:pPr>
        <w:spacing w:line="582" w:lineRule="exact"/>
        <w:ind w:firstLine="720"/>
        <w:rPr>
          <w:rFonts w:ascii="Tms Rmn" w:hAnsi="Tms Rmn" w:cs="Tms Rmn"/>
          <w:sz w:val="28"/>
          <w:szCs w:val="28"/>
        </w:rPr>
        <w:sectPr w:rsidR="00D23BE7">
          <w:type w:val="continuous"/>
          <w:pgSz w:w="12240" w:h="15840"/>
          <w:pgMar w:top="1440" w:right="1440" w:bottom="990" w:left="1440" w:header="1440" w:footer="990" w:gutter="0"/>
          <w:cols w:space="720"/>
          <w:noEndnote/>
        </w:sectPr>
      </w:pPr>
    </w:p>
    <w:p w:rsidR="00D23BE7" w:rsidRDefault="00D23BE7">
      <w:pPr>
        <w:spacing w:line="582" w:lineRule="exact"/>
        <w:ind w:firstLine="720"/>
        <w:rPr>
          <w:rFonts w:ascii="Tms Rmn" w:hAnsi="Tms Rmn" w:cs="Tms Rmn"/>
          <w:sz w:val="28"/>
          <w:szCs w:val="28"/>
        </w:rPr>
      </w:pPr>
      <w:r>
        <w:rPr>
          <w:rFonts w:ascii="Tms Rmn" w:hAnsi="Tms Rmn" w:cs="Tms Rmn"/>
          <w:sz w:val="28"/>
          <w:szCs w:val="28"/>
        </w:rPr>
        <w:lastRenderedPageBreak/>
        <w:t>So, for the sake of public confidence in the Arizona judiciary, for the sake of public confidence in our three coequal branches of government, and for our society in general, it would be good if you all would also obey the law here.</w:t>
      </w:r>
    </w:p>
    <w:p w:rsidR="00D23BE7" w:rsidRDefault="00D23BE7">
      <w:pPr>
        <w:spacing w:line="582" w:lineRule="exact"/>
        <w:ind w:firstLine="720"/>
        <w:rPr>
          <w:rFonts w:ascii="Tms Rmn" w:hAnsi="Tms Rmn" w:cs="Tms Rmn"/>
          <w:sz w:val="28"/>
          <w:szCs w:val="28"/>
        </w:rPr>
      </w:pPr>
      <w:r>
        <w:rPr>
          <w:rFonts w:ascii="Tms Rmn" w:hAnsi="Tms Rmn" w:cs="Tms Rmn"/>
          <w:sz w:val="28"/>
          <w:szCs w:val="28"/>
        </w:rPr>
        <w:t xml:space="preserve">Last, in the Bible, God warned His people “Do not add to what I command you and do not subtract from it ... ” (Deuteronomy 4:2.) He warned them because it IS man’s propensity to rebel by adding and subtracting from the Law as we see fit. </w:t>
      </w:r>
      <w:r>
        <w:rPr>
          <w:rFonts w:ascii="Tms Rmn" w:hAnsi="Tms Rmn" w:cs="Tms Rmn"/>
          <w:sz w:val="28"/>
          <w:szCs w:val="28"/>
        </w:rPr>
        <w:lastRenderedPageBreak/>
        <w:t>(As evidenced in Judges 21:25.) Repent by repealing Rule 25(g)!</w:t>
      </w:r>
    </w:p>
    <w:p w:rsidR="00D23BE7" w:rsidRDefault="00D23BE7">
      <w:pPr>
        <w:spacing w:line="582" w:lineRule="exact"/>
        <w:ind w:firstLine="720"/>
        <w:rPr>
          <w:rFonts w:ascii="Tms Rmn" w:hAnsi="Tms Rmn" w:cs="Tms Rmn"/>
          <w:sz w:val="28"/>
          <w:szCs w:val="28"/>
        </w:rPr>
      </w:pPr>
      <w:r>
        <w:rPr>
          <w:rFonts w:ascii="Tms Rmn" w:hAnsi="Tms Rmn" w:cs="Tms Rmn"/>
          <w:b/>
          <w:bCs/>
          <w:sz w:val="28"/>
          <w:szCs w:val="28"/>
        </w:rPr>
        <w:t>III.</w:t>
      </w:r>
      <w:r>
        <w:rPr>
          <w:rFonts w:ascii="Tms Rmn" w:hAnsi="Tms Rmn" w:cs="Tms Rmn"/>
          <w:b/>
          <w:bCs/>
          <w:sz w:val="28"/>
          <w:szCs w:val="28"/>
        </w:rPr>
        <w:tab/>
        <w:t>Contents of the Proposed Rule Amendment</w:t>
      </w:r>
    </w:p>
    <w:p w:rsidR="00D23BE7" w:rsidRDefault="00D23BE7">
      <w:pPr>
        <w:spacing w:line="582" w:lineRule="exact"/>
        <w:ind w:firstLine="720"/>
        <w:rPr>
          <w:rFonts w:ascii="Tms Rmn" w:hAnsi="Tms Rmn" w:cs="Tms Rmn"/>
          <w:sz w:val="28"/>
          <w:szCs w:val="28"/>
        </w:rPr>
      </w:pPr>
      <w:r>
        <w:rPr>
          <w:rFonts w:ascii="Tms Rmn" w:hAnsi="Tms Rmn" w:cs="Tms Rmn"/>
          <w:sz w:val="28"/>
          <w:szCs w:val="28"/>
        </w:rPr>
        <w:t>Delete all of Rule 25(g).</w:t>
      </w:r>
    </w:p>
    <w:p w:rsidR="00D23BE7" w:rsidRDefault="00D23BE7">
      <w:pPr>
        <w:spacing w:line="582" w:lineRule="exact"/>
        <w:ind w:firstLine="720"/>
        <w:rPr>
          <w:rFonts w:ascii="Tms Rmn" w:hAnsi="Tms Rmn" w:cs="Tms Rmn"/>
          <w:sz w:val="28"/>
          <w:szCs w:val="28"/>
        </w:rPr>
      </w:pPr>
      <w:r>
        <w:rPr>
          <w:rFonts w:ascii="Tms Rmn" w:hAnsi="Tms Rmn" w:cs="Tms Rmn"/>
          <w:strike/>
          <w:sz w:val="28"/>
          <w:szCs w:val="28"/>
        </w:rPr>
        <w:t>(g) Firearms. The judicial officer must ask the plaintiff about the defendant's use of or access to firearms. If necessary to protect the plaintiff or any other specifically designated person, the judicial officer may prohibit the defendant from possessing, purchasing, or receiving firearms for the duration of the order.</w:t>
      </w:r>
    </w:p>
    <w:p w:rsidR="00D23BE7" w:rsidRDefault="00D23BE7">
      <w:pPr>
        <w:spacing w:line="582" w:lineRule="exact"/>
        <w:ind w:firstLine="720"/>
        <w:rPr>
          <w:rFonts w:ascii="Tms Rmn" w:hAnsi="Tms Rmn" w:cs="Tms Rmn"/>
          <w:sz w:val="28"/>
          <w:szCs w:val="28"/>
        </w:rPr>
      </w:pPr>
      <w:r>
        <w:rPr>
          <w:rFonts w:ascii="Tms Rmn" w:hAnsi="Tms Rmn" w:cs="Tms Rmn"/>
          <w:b/>
          <w:bCs/>
          <w:sz w:val="28"/>
          <w:szCs w:val="28"/>
        </w:rPr>
        <w:t>IV.</w:t>
      </w:r>
      <w:r>
        <w:rPr>
          <w:rFonts w:ascii="Tms Rmn" w:hAnsi="Tms Rmn" w:cs="Tms Rmn"/>
          <w:b/>
          <w:bCs/>
          <w:sz w:val="28"/>
          <w:szCs w:val="28"/>
        </w:rPr>
        <w:tab/>
        <w:t>Disclosure</w:t>
      </w:r>
      <w:r>
        <w:rPr>
          <w:rFonts w:ascii="Tms Rmn" w:hAnsi="Tms Rmn" w:cs="Tms Rmn"/>
          <w:sz w:val="28"/>
          <w:szCs w:val="28"/>
        </w:rPr>
        <w:tab/>
      </w:r>
    </w:p>
    <w:p w:rsidR="00D23BE7" w:rsidRDefault="00D23BE7">
      <w:pPr>
        <w:spacing w:line="582" w:lineRule="exact"/>
        <w:ind w:firstLine="1440"/>
        <w:rPr>
          <w:rFonts w:ascii="Tms Rmn" w:hAnsi="Tms Rmn" w:cs="Tms Rmn"/>
          <w:sz w:val="28"/>
          <w:szCs w:val="28"/>
        </w:rPr>
      </w:pPr>
      <w:r>
        <w:rPr>
          <w:rFonts w:ascii="Tms Rmn" w:hAnsi="Tms Rmn" w:cs="Tms Rmn"/>
          <w:sz w:val="28"/>
          <w:szCs w:val="28"/>
        </w:rPr>
        <w:t>To the best of my knowledge I am the only one who filed a similar petition within the previous five years.</w:t>
      </w:r>
    </w:p>
    <w:p w:rsidR="00D23BE7" w:rsidRDefault="00D23BE7">
      <w:pPr>
        <w:spacing w:line="582" w:lineRule="exact"/>
        <w:ind w:firstLine="720"/>
        <w:rPr>
          <w:rFonts w:ascii="Tms Rmn" w:hAnsi="Tms Rmn" w:cs="Tms Rmn"/>
          <w:sz w:val="28"/>
          <w:szCs w:val="28"/>
        </w:rPr>
      </w:pPr>
    </w:p>
    <w:p w:rsidR="00D23BE7" w:rsidRDefault="00D23BE7">
      <w:pPr>
        <w:spacing w:line="582" w:lineRule="exact"/>
        <w:ind w:firstLine="720"/>
        <w:rPr>
          <w:rFonts w:ascii="Tms Rmn" w:hAnsi="Tms Rmn" w:cs="Tms Rmn"/>
          <w:sz w:val="28"/>
          <w:szCs w:val="28"/>
        </w:rPr>
      </w:pPr>
      <w:r>
        <w:rPr>
          <w:rFonts w:ascii="Tms Rmn" w:hAnsi="Tms Rmn" w:cs="Tms Rmn"/>
          <w:sz w:val="28"/>
          <w:szCs w:val="28"/>
        </w:rPr>
        <w:t>SUBMITTED this 12th day of January 2026.</w:t>
      </w:r>
    </w:p>
    <w:p w:rsidR="00D23BE7" w:rsidRDefault="00D23BE7">
      <w:pPr>
        <w:spacing w:line="582" w:lineRule="exact"/>
        <w:ind w:firstLine="5040"/>
        <w:rPr>
          <w:sz w:val="28"/>
          <w:szCs w:val="28"/>
        </w:rPr>
      </w:pPr>
      <w:r>
        <w:rPr>
          <w:rFonts w:ascii="Tms Rmn" w:hAnsi="Tms Rmn" w:cs="Tms Rmn"/>
          <w:sz w:val="28"/>
          <w:szCs w:val="28"/>
        </w:rPr>
        <w:t>By /s/ Mike Palmer</w:t>
      </w:r>
      <w:r>
        <w:rPr>
          <w:rFonts w:ascii="Tms Rmn" w:hAnsi="Tms Rmn" w:cs="Tms Rmn"/>
          <w:sz w:val="28"/>
          <w:szCs w:val="28"/>
        </w:rPr>
        <w:tab/>
      </w:r>
      <w:r>
        <w:rPr>
          <w:rFonts w:ascii="Tms Rmn" w:hAnsi="Tms Rmn" w:cs="Tms Rmn"/>
          <w:sz w:val="28"/>
          <w:szCs w:val="28"/>
        </w:rPr>
        <w:tab/>
      </w:r>
      <w:r>
        <w:rPr>
          <w:rFonts w:ascii="Tms Rmn" w:hAnsi="Tms Rmn" w:cs="Tms Rmn"/>
          <w:sz w:val="28"/>
          <w:szCs w:val="28"/>
        </w:rPr>
        <w:tab/>
        <w:t xml:space="preserve"> </w:t>
      </w:r>
      <w:r>
        <w:rPr>
          <w:sz w:val="28"/>
          <w:szCs w:val="28"/>
        </w:rPr>
        <w:tab/>
      </w:r>
    </w:p>
    <w:p w:rsidR="00D23BE7" w:rsidRDefault="00D23BE7">
      <w:pPr>
        <w:spacing w:line="582" w:lineRule="exact"/>
        <w:ind w:firstLine="5040"/>
        <w:rPr>
          <w:sz w:val="28"/>
          <w:szCs w:val="28"/>
        </w:rPr>
        <w:sectPr w:rsidR="00D23BE7">
          <w:footerReference w:type="default" r:id="rId7"/>
          <w:type w:val="continuous"/>
          <w:pgSz w:w="12240" w:h="15840"/>
          <w:pgMar w:top="1440" w:right="1440" w:bottom="990" w:left="1440" w:header="1440" w:footer="990" w:gutter="0"/>
          <w:cols w:space="720"/>
          <w:noEndnote/>
        </w:sectPr>
      </w:pPr>
    </w:p>
    <w:p w:rsidR="00D23BE7" w:rsidRDefault="00D23BE7">
      <w:pPr>
        <w:spacing w:line="583" w:lineRule="exact"/>
        <w:ind w:firstLine="720"/>
        <w:jc w:val="center"/>
        <w:rPr>
          <w:rFonts w:ascii="Tms Rmn" w:hAnsi="Tms Rmn" w:cs="Tms Rmn"/>
          <w:sz w:val="28"/>
          <w:szCs w:val="28"/>
        </w:rPr>
      </w:pPr>
    </w:p>
    <w:p w:rsidR="00D23BE7" w:rsidRDefault="00D23BE7">
      <w:pPr>
        <w:spacing w:line="583" w:lineRule="exact"/>
        <w:ind w:firstLine="720"/>
        <w:jc w:val="center"/>
        <w:rPr>
          <w:rFonts w:ascii="Tms Rmn" w:hAnsi="Tms Rmn" w:cs="Tms Rmn"/>
          <w:sz w:val="28"/>
          <w:szCs w:val="28"/>
        </w:rPr>
      </w:pPr>
    </w:p>
    <w:p w:rsidR="00D23BE7" w:rsidRDefault="00D23BE7">
      <w:pPr>
        <w:spacing w:line="583" w:lineRule="exact"/>
        <w:ind w:firstLine="720"/>
        <w:jc w:val="center"/>
        <w:rPr>
          <w:rFonts w:ascii="Tms Rmn" w:hAnsi="Tms Rmn" w:cs="Tms Rmn"/>
          <w:sz w:val="28"/>
          <w:szCs w:val="28"/>
        </w:rPr>
      </w:pPr>
    </w:p>
    <w:p w:rsidR="00D23BE7" w:rsidRDefault="00D23BE7">
      <w:pPr>
        <w:spacing w:line="583" w:lineRule="exact"/>
        <w:ind w:firstLine="720"/>
        <w:jc w:val="center"/>
        <w:rPr>
          <w:rFonts w:ascii="Tms Rmn" w:hAnsi="Tms Rmn" w:cs="Tms Rmn"/>
          <w:sz w:val="28"/>
          <w:szCs w:val="28"/>
        </w:rPr>
      </w:pPr>
    </w:p>
    <w:p w:rsidR="00D23BE7" w:rsidRDefault="00D23BE7">
      <w:pPr>
        <w:spacing w:line="583" w:lineRule="exact"/>
        <w:ind w:firstLine="720"/>
        <w:jc w:val="center"/>
        <w:rPr>
          <w:rFonts w:ascii="Calibri" w:hAnsi="Calibri" w:cs="Calibri"/>
          <w:sz w:val="20"/>
          <w:szCs w:val="20"/>
        </w:rPr>
      </w:pPr>
      <w:r>
        <w:rPr>
          <w:rFonts w:ascii="Tms Rmn" w:hAnsi="Tms Rmn" w:cs="Tms Rmn"/>
          <w:sz w:val="72"/>
          <w:szCs w:val="72"/>
        </w:rPr>
        <w:t>APPENDIX</w:t>
      </w: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5040"/>
      </w:pP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720"/>
        <w:sectPr w:rsidR="00D23BE7">
          <w:footerReference w:type="default" r:id="rId8"/>
          <w:pgSz w:w="12240" w:h="15840"/>
          <w:pgMar w:top="1440" w:right="1440" w:bottom="990" w:left="1440" w:header="1440" w:footer="990" w:gutter="0"/>
          <w:cols w:space="720"/>
          <w:noEndnote/>
        </w:sectPr>
      </w:pPr>
    </w:p>
    <w:p w:rsidR="00D23BE7" w:rsidRDefault="00D23BE7">
      <w:pPr>
        <w:framePr w:w="9336" w:h="10500" w:hRule="exact" w:wrap="auto" w:hAnchor="margin" w:x="1" w:y="1015"/>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525pt">
            <v:imagedata r:id="rId9" o:title="" cropbottom="-1019f" cropright="-1057f"/>
          </v:shape>
        </w:pict>
      </w:r>
    </w:p>
    <w:p w:rsidR="00D23BE7" w:rsidRDefault="00D23BE7">
      <w:pPr>
        <w:spacing w:line="583" w:lineRule="exact"/>
        <w:ind w:firstLine="720"/>
        <w:sectPr w:rsidR="00D23BE7">
          <w:pgSz w:w="12240" w:h="15840"/>
          <w:pgMar w:top="1440" w:right="1440" w:bottom="990" w:left="1440" w:header="1440" w:footer="990" w:gutter="0"/>
          <w:cols w:space="720"/>
          <w:noEndnote/>
        </w:sectPr>
      </w:pPr>
    </w:p>
    <w:p w:rsidR="00D23BE7" w:rsidRDefault="00D23BE7">
      <w:pPr>
        <w:spacing w:line="583" w:lineRule="exact"/>
        <w:ind w:firstLine="5040"/>
      </w:pPr>
    </w:p>
    <w:p w:rsidR="00D23BE7" w:rsidRDefault="00D23BE7">
      <w:pPr>
        <w:framePr w:w="8964" w:h="10164" w:hRule="exact" w:wrap="auto" w:hAnchor="page" w:x="1097" w:y="1279"/>
      </w:pPr>
      <w:r>
        <w:pict>
          <v:shape id="_x0000_i1026" type="#_x0000_t75" style="width:448.2pt;height:507.6pt">
            <v:imagedata r:id="rId10" o:title="" cropbottom="-292f" cropright="-732f"/>
          </v:shape>
        </w:pict>
      </w: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720"/>
      </w:pPr>
    </w:p>
    <w:p w:rsidR="00D23BE7" w:rsidRDefault="00D23BE7">
      <w:pPr>
        <w:spacing w:line="583" w:lineRule="exact"/>
        <w:ind w:firstLine="720"/>
        <w:sectPr w:rsidR="00D23BE7">
          <w:pgSz w:w="12240" w:h="15840"/>
          <w:pgMar w:top="1440" w:right="1440" w:bottom="990" w:left="1440" w:header="1440" w:footer="990" w:gutter="0"/>
          <w:cols w:space="720"/>
          <w:noEndnote/>
        </w:sectPr>
      </w:pPr>
    </w:p>
    <w:p w:rsidR="00D23BE7" w:rsidRDefault="00D23BE7">
      <w:pPr>
        <w:framePr w:w="9276" w:h="10428" w:hRule="exact" w:wrap="auto" w:vAnchor="text" w:hAnchor="margin" w:x="-623" w:y="1324"/>
      </w:pPr>
      <w:r>
        <w:lastRenderedPageBreak/>
        <w:pict>
          <v:shape id="_x0000_i1027" type="#_x0000_t75" style="width:464.4pt;height:521.4pt">
            <v:imagedata r:id="rId11" o:title="" cropbottom="-564f" cropright="-634f"/>
          </v:shape>
        </w:pict>
      </w:r>
    </w:p>
    <w:p w:rsidR="00D23BE7" w:rsidRDefault="00D23BE7">
      <w:pPr>
        <w:spacing w:line="583" w:lineRule="exact"/>
        <w:ind w:firstLine="1440"/>
      </w:pPr>
    </w:p>
    <w:sectPr w:rsidR="00D23BE7" w:rsidSect="00D23BE7">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E7" w:rsidRDefault="00D23BE7" w:rsidP="00D23BE7">
      <w:r>
        <w:separator/>
      </w:r>
    </w:p>
  </w:endnote>
  <w:endnote w:type="continuationSeparator" w:id="0">
    <w:p w:rsidR="00D23BE7" w:rsidRDefault="00D23BE7" w:rsidP="00D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E7" w:rsidRDefault="00D23BE7">
    <w:pPr>
      <w:spacing w:line="240" w:lineRule="exact"/>
    </w:pPr>
  </w:p>
  <w:p w:rsidR="00D23BE7" w:rsidRDefault="00D23BE7">
    <w:pPr>
      <w:framePr w:w="9361" w:wrap="notBeside" w:vAnchor="text" w:hAnchor="text" w:x="1" w:y="1"/>
      <w:jc w:val="center"/>
    </w:pPr>
    <w:r>
      <w:fldChar w:fldCharType="begin"/>
    </w:r>
    <w:r>
      <w:instrText xml:space="preserve">PAGE </w:instrText>
    </w:r>
    <w:r w:rsidR="003813C4">
      <w:fldChar w:fldCharType="separate"/>
    </w:r>
    <w:r w:rsidR="003813C4">
      <w:rPr>
        <w:noProof/>
      </w:rPr>
      <w:t>2</w:t>
    </w:r>
    <w:r>
      <w:fldChar w:fldCharType="end"/>
    </w:r>
  </w:p>
  <w:p w:rsidR="00D23BE7" w:rsidRDefault="00D23B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E7" w:rsidRDefault="00D23BE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E7" w:rsidRDefault="00D23BE7">
    <w:pPr>
      <w:spacing w:line="240" w:lineRule="exact"/>
    </w:pPr>
  </w:p>
  <w:p w:rsidR="00D23BE7" w:rsidRDefault="00D23BE7">
    <w:pPr>
      <w:framePr w:w="9361" w:wrap="notBeside" w:vAnchor="text" w:hAnchor="text" w:x="1" w:y="1"/>
      <w:jc w:val="center"/>
    </w:pPr>
  </w:p>
  <w:p w:rsidR="00D23BE7" w:rsidRDefault="00D23B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E7" w:rsidRDefault="00D23BE7" w:rsidP="00D23BE7">
      <w:r>
        <w:separator/>
      </w:r>
    </w:p>
  </w:footnote>
  <w:footnote w:type="continuationSeparator" w:id="0">
    <w:p w:rsidR="00D23BE7" w:rsidRDefault="00D23BE7" w:rsidP="00D2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BE7"/>
    <w:rsid w:val="003813C4"/>
    <w:rsid w:val="00D2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2026-01-12T22:33:00Z</dcterms:created>
  <dcterms:modified xsi:type="dcterms:W3CDTF">2026-01-12T22:33:00Z</dcterms:modified>
</cp:coreProperties>
</file>