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00E570F4" w14:textId="53F809AD" w:rsidR="00C41CA7" w:rsidRDefault="005A1EDB">
      <w:pPr>
        <w:jc w:val="both"/>
        <w:rPr>
          <w:rFonts w:ascii="Century Schoolbook" w:hAnsi="Century Schoolbook"/>
          <w:sz w:val="28"/>
          <w:szCs w:val="28"/>
        </w:rPr>
      </w:pPr>
      <w:hyperlink r:id="rId8" w:history="1">
        <w:r w:rsidRPr="009624DB">
          <w:rPr>
            <w:rStyle w:val="Hyperlink"/>
            <w:rFonts w:ascii="Century Schoolbook" w:hAnsi="Century Schoolbook"/>
            <w:sz w:val="28"/>
            <w:szCs w:val="28"/>
          </w:rPr>
          <w:t>gsakall@sc.pima.gov</w:t>
        </w:r>
      </w:hyperlink>
    </w:p>
    <w:p w14:paraId="1FD324D9" w14:textId="77777777" w:rsidR="005A1EDB" w:rsidRPr="005F6F54" w:rsidRDefault="005A1EDB">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2CE3E7D3"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EAD51D5"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PETITION TO AMEND </w:t>
      </w:r>
      <w:proofErr w:type="gramStart"/>
      <w:r w:rsidRPr="005F6F54">
        <w:rPr>
          <w:rFonts w:ascii="Century Schoolbook" w:hAnsi="Century Schoolbook"/>
          <w:color w:val="000000"/>
          <w:sz w:val="26"/>
          <w:szCs w:val="26"/>
        </w:rPr>
        <w:t>RULE</w:t>
      </w:r>
      <w:r w:rsidR="005A1EDB">
        <w:rPr>
          <w:rFonts w:ascii="Century Schoolbook" w:hAnsi="Century Schoolbook"/>
          <w:color w:val="000000"/>
          <w:sz w:val="26"/>
          <w:szCs w:val="26"/>
        </w:rPr>
        <w:t>S</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5C9060F6" w14:textId="43D16D58" w:rsidR="005A1EDB" w:rsidRDefault="005A1EDB"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14, 45, &amp; 45.1, and TO </w:t>
      </w:r>
      <w:proofErr w:type="gramStart"/>
      <w:r>
        <w:rPr>
          <w:rFonts w:ascii="Century Schoolbook" w:hAnsi="Century Schoolbook"/>
          <w:color w:val="000000"/>
          <w:sz w:val="26"/>
          <w:szCs w:val="26"/>
        </w:rPr>
        <w:t>ADOPT</w:t>
      </w:r>
      <w:r>
        <w:rPr>
          <w:rFonts w:ascii="Century Schoolbook" w:hAnsi="Century Schoolbook"/>
          <w:color w:val="000000"/>
          <w:sz w:val="26"/>
          <w:szCs w:val="26"/>
        </w:rPr>
        <w:tab/>
        <w:t>)</w:t>
      </w:r>
      <w:proofErr w:type="gramEnd"/>
    </w:p>
    <w:p w14:paraId="2C7B5172" w14:textId="2C955C9D" w:rsidR="00A7057A" w:rsidRPr="005F6F54" w:rsidRDefault="005A1EDB"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RULE 45.2,</w:t>
      </w:r>
      <w:r w:rsidR="005501C1" w:rsidRPr="005F6F54">
        <w:rPr>
          <w:rFonts w:ascii="Century Schoolbook" w:hAnsi="Century Schoolbook"/>
          <w:color w:val="000000"/>
          <w:sz w:val="26"/>
          <w:szCs w:val="26"/>
        </w:rPr>
        <w:t xml:space="preserve"> </w:t>
      </w:r>
      <w:r w:rsidR="0044074C"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ab/>
      </w:r>
      <w:r w:rsidR="00DB362E">
        <w:rPr>
          <w:rFonts w:ascii="Century Schoolbook" w:hAnsi="Century Schoolbook"/>
          <w:color w:val="000000"/>
          <w:sz w:val="26"/>
          <w:szCs w:val="26"/>
        </w:rPr>
        <w:t>)</w:t>
      </w:r>
      <w:r w:rsidR="003C3420" w:rsidRPr="005F6F54">
        <w:rPr>
          <w:rFonts w:ascii="Century Schoolbook" w:hAnsi="Century Schoolbook"/>
          <w:color w:val="000000"/>
          <w:sz w:val="26"/>
          <w:szCs w:val="26"/>
        </w:rPr>
        <w:tab/>
      </w:r>
    </w:p>
    <w:p w14:paraId="355F5966" w14:textId="1AEFB4EB"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FAMILY </w:t>
      </w:r>
      <w:r w:rsidR="0044074C" w:rsidRPr="005F6F54">
        <w:rPr>
          <w:rFonts w:ascii="Century Schoolbook" w:hAnsi="Century Schoolbook"/>
          <w:color w:val="000000"/>
          <w:sz w:val="26"/>
          <w:szCs w:val="26"/>
        </w:rPr>
        <w:t xml:space="preserve">LAW PROCEDURE </w:t>
      </w:r>
      <w:r w:rsidR="0044074C" w:rsidRPr="005F6F54">
        <w:rPr>
          <w:rFonts w:ascii="Century Schoolbook" w:hAnsi="Century Schoolbook"/>
          <w:color w:val="000000"/>
          <w:sz w:val="26"/>
          <w:szCs w:val="26"/>
        </w:rPr>
        <w:tab/>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40A9C400" w14:textId="59942B81" w:rsidR="003127DC" w:rsidRPr="00FA4D0C" w:rsidRDefault="00716C66" w:rsidP="003127DC">
      <w:pPr>
        <w:spacing w:line="480" w:lineRule="auto"/>
        <w:ind w:left="144"/>
        <w:jc w:val="both"/>
        <w:rPr>
          <w:rFonts w:ascii="Century Schoolbook" w:hAnsi="Century Schoolbook"/>
          <w:sz w:val="26"/>
          <w:szCs w:val="26"/>
        </w:rPr>
      </w:pPr>
      <w:r w:rsidRPr="00FA4D0C">
        <w:rPr>
          <w:rFonts w:ascii="Century Schoolbook" w:hAnsi="Century Schoolbook"/>
          <w:sz w:val="26"/>
          <w:szCs w:val="26"/>
        </w:rPr>
        <w:tab/>
      </w:r>
      <w:r w:rsidR="005501C1" w:rsidRPr="00FA4D0C">
        <w:rPr>
          <w:rFonts w:ascii="Century Schoolbook" w:hAnsi="Century Schoolbook"/>
          <w:sz w:val="26"/>
          <w:szCs w:val="26"/>
        </w:rPr>
        <w:t xml:space="preserve">The </w:t>
      </w:r>
      <w:r w:rsidR="004E3A71" w:rsidRPr="00FA4D0C">
        <w:rPr>
          <w:rFonts w:ascii="Century Schoolbook" w:hAnsi="Century Schoolbook"/>
          <w:sz w:val="26"/>
          <w:szCs w:val="26"/>
        </w:rPr>
        <w:t>Committee</w:t>
      </w:r>
      <w:r w:rsidR="003C3420" w:rsidRPr="00FA4D0C">
        <w:rPr>
          <w:rFonts w:ascii="Century Schoolbook" w:hAnsi="Century Schoolbook"/>
          <w:sz w:val="26"/>
          <w:szCs w:val="26"/>
        </w:rPr>
        <w:t xml:space="preserve"> on Family Court (“COFC”)</w:t>
      </w:r>
      <w:r w:rsidR="005A1EDB" w:rsidRPr="00FA4D0C">
        <w:rPr>
          <w:rFonts w:ascii="Century Schoolbook" w:hAnsi="Century Schoolbook"/>
          <w:sz w:val="26"/>
          <w:szCs w:val="26"/>
        </w:rPr>
        <w:t xml:space="preserve"> </w:t>
      </w:r>
      <w:r w:rsidR="00716377" w:rsidRPr="00FA4D0C">
        <w:rPr>
          <w:rFonts w:ascii="Century Schoolbook" w:hAnsi="Century Schoolbook"/>
          <w:sz w:val="26"/>
          <w:szCs w:val="26"/>
        </w:rPr>
        <w:t xml:space="preserve">respectfully </w:t>
      </w:r>
      <w:r w:rsidR="005501C1" w:rsidRPr="00FA4D0C">
        <w:rPr>
          <w:rFonts w:ascii="Century Schoolbook" w:hAnsi="Century Schoolbook"/>
          <w:sz w:val="26"/>
          <w:szCs w:val="26"/>
        </w:rPr>
        <w:t xml:space="preserve">requests that the Court </w:t>
      </w:r>
      <w:r w:rsidR="00DB362E" w:rsidRPr="00FA4D0C">
        <w:rPr>
          <w:rFonts w:ascii="Century Schoolbook" w:hAnsi="Century Schoolbook"/>
          <w:sz w:val="26"/>
          <w:szCs w:val="26"/>
        </w:rPr>
        <w:t>amend Rule</w:t>
      </w:r>
      <w:r w:rsidR="005A1EDB" w:rsidRPr="00FA4D0C">
        <w:rPr>
          <w:rFonts w:ascii="Century Schoolbook" w:hAnsi="Century Schoolbook"/>
          <w:sz w:val="26"/>
          <w:szCs w:val="26"/>
        </w:rPr>
        <w:t>s 14, 45, and 45.1 and to adopt Rule 45.2 of the Arizona Rules of Family Law Procedure.</w:t>
      </w:r>
      <w:r w:rsidR="003127DC" w:rsidRPr="00FA4D0C">
        <w:rPr>
          <w:rFonts w:ascii="Century Schoolbook" w:hAnsi="Century Schoolbook"/>
          <w:sz w:val="26"/>
          <w:szCs w:val="26"/>
        </w:rPr>
        <w:t xml:space="preserve"> The adoption of Rule 45.2 would extend the summary consent decree process to unmarried parents who have proceedings under Title 25 to establish maternity or paternity, legal decision-making, parenting time, and child support.</w:t>
      </w:r>
    </w:p>
    <w:p w14:paraId="51F56F52" w14:textId="080D89B4" w:rsidR="003127DC" w:rsidRPr="00FA4D0C" w:rsidRDefault="005A1EDB" w:rsidP="00FA4D0C">
      <w:pPr>
        <w:spacing w:line="480" w:lineRule="auto"/>
        <w:ind w:left="144"/>
        <w:jc w:val="both"/>
        <w:rPr>
          <w:rFonts w:ascii="Century Schoolbook" w:hAnsi="Century Schoolbook"/>
          <w:sz w:val="26"/>
          <w:szCs w:val="26"/>
        </w:rPr>
      </w:pPr>
      <w:r w:rsidRPr="00FA4D0C">
        <w:rPr>
          <w:rFonts w:ascii="Century Schoolbook" w:hAnsi="Century Schoolbook"/>
          <w:sz w:val="26"/>
          <w:szCs w:val="26"/>
        </w:rPr>
        <w:tab/>
        <w:t xml:space="preserve">In 2022, </w:t>
      </w:r>
      <w:r w:rsidR="003127DC" w:rsidRPr="00FA4D0C">
        <w:rPr>
          <w:rFonts w:ascii="Century Schoolbook" w:eastAsia="Calibri" w:hAnsi="Century Schoolbook" w:cs="Calibri"/>
          <w:color w:val="000000" w:themeColor="text1"/>
          <w:sz w:val="26"/>
          <w:szCs w:val="26"/>
        </w:rPr>
        <w:t xml:space="preserve">the Legislature enacted A.R.S. § 25-314.01 (S.B. 1383) to provide for a summary consent petition and decree process for married couples.  </w:t>
      </w:r>
      <w:r w:rsidR="00FA4D0C" w:rsidRPr="00FA4D0C">
        <w:rPr>
          <w:rFonts w:ascii="Century Schoolbook" w:eastAsia="Calibri" w:hAnsi="Century Schoolbook" w:cs="Calibri"/>
          <w:color w:val="000000" w:themeColor="text1"/>
          <w:sz w:val="26"/>
          <w:szCs w:val="26"/>
        </w:rPr>
        <w:t>In response to S.B. 1383 and</w:t>
      </w:r>
      <w:r w:rsidR="00FA4D0C" w:rsidRPr="00FA4D0C">
        <w:rPr>
          <w:rFonts w:ascii="Century Schoolbook" w:hAnsi="Century Schoolbook"/>
          <w:sz w:val="26"/>
          <w:szCs w:val="26"/>
        </w:rPr>
        <w:t xml:space="preserve"> R-22-0031</w:t>
      </w:r>
      <w:r w:rsidR="003127DC" w:rsidRPr="00FA4D0C">
        <w:rPr>
          <w:rFonts w:ascii="Century Schoolbook" w:eastAsia="Calibri" w:hAnsi="Century Schoolbook" w:cs="Calibri"/>
          <w:color w:val="000000" w:themeColor="text1"/>
          <w:sz w:val="26"/>
          <w:szCs w:val="26"/>
        </w:rPr>
        <w:t xml:space="preserve">, </w:t>
      </w:r>
      <w:r w:rsidR="003127DC" w:rsidRPr="00FA4D0C">
        <w:rPr>
          <w:rFonts w:ascii="Century Schoolbook" w:hAnsi="Century Schoolbook"/>
          <w:sz w:val="26"/>
          <w:szCs w:val="26"/>
        </w:rPr>
        <w:t>th</w:t>
      </w:r>
      <w:r w:rsidR="00102BEB">
        <w:rPr>
          <w:rFonts w:ascii="Century Schoolbook" w:hAnsi="Century Schoolbook"/>
          <w:sz w:val="26"/>
          <w:szCs w:val="26"/>
        </w:rPr>
        <w:t>e</w:t>
      </w:r>
      <w:r w:rsidR="003127DC" w:rsidRPr="00FA4D0C">
        <w:rPr>
          <w:rFonts w:ascii="Century Schoolbook" w:hAnsi="Century Schoolbook"/>
          <w:sz w:val="26"/>
          <w:szCs w:val="26"/>
        </w:rPr>
        <w:t xml:space="preserve"> Court adopted Rule 45.1</w:t>
      </w:r>
      <w:r w:rsidR="00FA4D0C">
        <w:rPr>
          <w:rFonts w:ascii="Century Schoolbook" w:hAnsi="Century Schoolbook"/>
          <w:sz w:val="26"/>
          <w:szCs w:val="26"/>
        </w:rPr>
        <w:t>, and i</w:t>
      </w:r>
      <w:r w:rsidR="003127DC" w:rsidRPr="00FA4D0C">
        <w:rPr>
          <w:rFonts w:ascii="Century Schoolbook" w:hAnsi="Century Schoolbook"/>
          <w:sz w:val="26"/>
          <w:szCs w:val="26"/>
        </w:rPr>
        <w:t>n 2023, the Court adopted Rule 45.1 on a permanent basis.</w:t>
      </w:r>
    </w:p>
    <w:p w14:paraId="673368D5" w14:textId="7EB6F4D3" w:rsidR="003127DC" w:rsidRPr="00FA4D0C" w:rsidRDefault="003127DC" w:rsidP="003127DC">
      <w:pPr>
        <w:spacing w:line="480" w:lineRule="auto"/>
        <w:ind w:left="144" w:firstLine="576"/>
        <w:jc w:val="both"/>
        <w:rPr>
          <w:rFonts w:ascii="Century Schoolbook" w:eastAsia="Calibri" w:hAnsi="Century Schoolbook" w:cs="Calibri"/>
          <w:color w:val="000000" w:themeColor="text1"/>
          <w:sz w:val="26"/>
          <w:szCs w:val="26"/>
        </w:rPr>
      </w:pPr>
      <w:r w:rsidRPr="00FA4D0C">
        <w:rPr>
          <w:rFonts w:ascii="Century Schoolbook" w:eastAsia="Calibri" w:hAnsi="Century Schoolbook" w:cs="Calibri"/>
          <w:color w:val="000000" w:themeColor="text1"/>
          <w:sz w:val="26"/>
          <w:szCs w:val="26"/>
        </w:rPr>
        <w:lastRenderedPageBreak/>
        <w:t xml:space="preserve">The current summary consent process allows for those married couples who have full agreements on all issues to file a single petition. The process </w:t>
      </w:r>
      <w:r w:rsidR="00102BEB">
        <w:rPr>
          <w:rFonts w:ascii="Century Schoolbook" w:eastAsia="Calibri" w:hAnsi="Century Schoolbook" w:cs="Calibri"/>
          <w:color w:val="000000" w:themeColor="text1"/>
          <w:sz w:val="26"/>
          <w:szCs w:val="26"/>
        </w:rPr>
        <w:t xml:space="preserve">also </w:t>
      </w:r>
      <w:r w:rsidRPr="00FA4D0C">
        <w:rPr>
          <w:rFonts w:ascii="Century Schoolbook" w:eastAsia="Calibri" w:hAnsi="Century Schoolbook" w:cs="Calibri"/>
          <w:color w:val="000000" w:themeColor="text1"/>
          <w:sz w:val="26"/>
          <w:szCs w:val="26"/>
        </w:rPr>
        <w:t xml:space="preserve">allows for cost savings to the parties (§ 25-314.01(B)) and is an alternative to the prior </w:t>
      </w:r>
      <w:r w:rsidR="00102BEB">
        <w:rPr>
          <w:rFonts w:ascii="Century Schoolbook" w:eastAsia="Calibri" w:hAnsi="Century Schoolbook" w:cs="Calibri"/>
          <w:color w:val="000000" w:themeColor="text1"/>
          <w:sz w:val="26"/>
          <w:szCs w:val="26"/>
        </w:rPr>
        <w:t>procedure</w:t>
      </w:r>
      <w:r w:rsidRPr="00FA4D0C">
        <w:rPr>
          <w:rFonts w:ascii="Century Schoolbook" w:eastAsia="Calibri" w:hAnsi="Century Schoolbook" w:cs="Calibri"/>
          <w:color w:val="000000" w:themeColor="text1"/>
          <w:sz w:val="26"/>
          <w:szCs w:val="26"/>
        </w:rPr>
        <w:t xml:space="preserve"> where many of those </w:t>
      </w:r>
      <w:r w:rsidR="00102BEB">
        <w:rPr>
          <w:rFonts w:ascii="Century Schoolbook" w:eastAsia="Calibri" w:hAnsi="Century Schoolbook" w:cs="Calibri"/>
          <w:color w:val="000000" w:themeColor="text1"/>
          <w:sz w:val="26"/>
          <w:szCs w:val="26"/>
        </w:rPr>
        <w:t xml:space="preserve">uncontested </w:t>
      </w:r>
      <w:r w:rsidRPr="00FA4D0C">
        <w:rPr>
          <w:rFonts w:ascii="Century Schoolbook" w:eastAsia="Calibri" w:hAnsi="Century Schoolbook" w:cs="Calibri"/>
          <w:color w:val="000000" w:themeColor="text1"/>
          <w:sz w:val="26"/>
          <w:szCs w:val="26"/>
        </w:rPr>
        <w:t xml:space="preserve">cases involving full agreements </w:t>
      </w:r>
      <w:r w:rsidR="00102BEB">
        <w:rPr>
          <w:rFonts w:ascii="Century Schoolbook" w:eastAsia="Calibri" w:hAnsi="Century Schoolbook" w:cs="Calibri"/>
          <w:color w:val="000000" w:themeColor="text1"/>
          <w:sz w:val="26"/>
          <w:szCs w:val="26"/>
        </w:rPr>
        <w:t xml:space="preserve">practically were </w:t>
      </w:r>
      <w:r w:rsidRPr="00FA4D0C">
        <w:rPr>
          <w:rFonts w:ascii="Century Schoolbook" w:eastAsia="Calibri" w:hAnsi="Century Schoolbook" w:cs="Calibri"/>
          <w:color w:val="000000" w:themeColor="text1"/>
          <w:sz w:val="26"/>
          <w:szCs w:val="26"/>
        </w:rPr>
        <w:t>resolved by a default decree</w:t>
      </w:r>
      <w:bookmarkStart w:id="0" w:name="_Hlk218758803"/>
      <w:r w:rsidRPr="00FA4D0C">
        <w:rPr>
          <w:rFonts w:ascii="Century Schoolbook" w:eastAsia="Calibri" w:hAnsi="Century Schoolbook" w:cs="Calibri"/>
          <w:color w:val="000000" w:themeColor="text1"/>
          <w:sz w:val="26"/>
          <w:szCs w:val="26"/>
        </w:rPr>
        <w:t>.</w:t>
      </w:r>
    </w:p>
    <w:p w14:paraId="60C9AEBD" w14:textId="62CDF258" w:rsidR="003127DC" w:rsidRPr="00FA4D0C" w:rsidRDefault="003127DC" w:rsidP="003127DC">
      <w:pPr>
        <w:spacing w:line="480" w:lineRule="auto"/>
        <w:ind w:left="144" w:firstLine="576"/>
        <w:jc w:val="both"/>
        <w:rPr>
          <w:rFonts w:ascii="Century Schoolbook" w:hAnsi="Century Schoolbook"/>
          <w:sz w:val="26"/>
          <w:szCs w:val="26"/>
        </w:rPr>
      </w:pPr>
      <w:r w:rsidRPr="00FA4D0C">
        <w:rPr>
          <w:rFonts w:ascii="Century Schoolbook" w:eastAsia="Calibri" w:hAnsi="Century Schoolbook" w:cs="Calibri"/>
          <w:color w:val="000000" w:themeColor="text1"/>
          <w:sz w:val="26"/>
          <w:szCs w:val="26"/>
        </w:rPr>
        <w:t xml:space="preserve">The summary consent process has been popular amongst court users and the </w:t>
      </w:r>
      <w:r w:rsidR="00FA4D0C">
        <w:rPr>
          <w:rFonts w:ascii="Century Schoolbook" w:eastAsia="Calibri" w:hAnsi="Century Schoolbook" w:cs="Calibri"/>
          <w:color w:val="000000" w:themeColor="text1"/>
          <w:sz w:val="26"/>
          <w:szCs w:val="26"/>
        </w:rPr>
        <w:t>family court</w:t>
      </w:r>
      <w:r w:rsidRPr="00FA4D0C">
        <w:rPr>
          <w:rFonts w:ascii="Century Schoolbook" w:eastAsia="Calibri" w:hAnsi="Century Schoolbook" w:cs="Calibri"/>
          <w:color w:val="000000" w:themeColor="text1"/>
          <w:sz w:val="26"/>
          <w:szCs w:val="26"/>
        </w:rPr>
        <w:t>. In 2024, Maricopa County Superior Court processed over 3,000 summary consent decree and averaged over 300 per month in the first 4 months of 2025.  Almost 25% of dissolution actions filed in Maricopa County are resolved by parties who have reached agreements before they file with the court.</w:t>
      </w:r>
      <w:bookmarkEnd w:id="0"/>
      <w:r w:rsidRPr="00FA4D0C">
        <w:rPr>
          <w:rFonts w:ascii="Century Schoolbook" w:eastAsia="Calibri" w:hAnsi="Century Schoolbook" w:cs="Calibri"/>
          <w:color w:val="000000" w:themeColor="text1"/>
          <w:sz w:val="26"/>
          <w:szCs w:val="26"/>
        </w:rPr>
        <w:t xml:space="preserve">  </w:t>
      </w:r>
    </w:p>
    <w:p w14:paraId="61E636EA" w14:textId="23FAEBA6" w:rsidR="005A1EDB" w:rsidRPr="00FA4D0C" w:rsidRDefault="003127DC" w:rsidP="00FA4D0C">
      <w:pPr>
        <w:spacing w:line="480" w:lineRule="auto"/>
        <w:ind w:left="144" w:firstLine="576"/>
        <w:jc w:val="both"/>
        <w:rPr>
          <w:rFonts w:ascii="Century Schoolbook" w:hAnsi="Century Schoolbook"/>
          <w:sz w:val="26"/>
          <w:szCs w:val="26"/>
        </w:rPr>
      </w:pPr>
      <w:r w:rsidRPr="00FA4D0C">
        <w:rPr>
          <w:rFonts w:ascii="Century Schoolbook" w:eastAsia="Calibri" w:hAnsi="Century Schoolbook" w:cs="Calibri"/>
          <w:color w:val="000000" w:themeColor="text1"/>
          <w:sz w:val="26"/>
          <w:szCs w:val="26"/>
        </w:rPr>
        <w:t xml:space="preserve">The summary consent process keeps </w:t>
      </w:r>
      <w:r w:rsidR="00FA4D0C" w:rsidRPr="00FA4D0C">
        <w:rPr>
          <w:rFonts w:ascii="Century Schoolbook" w:eastAsia="Calibri" w:hAnsi="Century Schoolbook" w:cs="Calibri"/>
          <w:color w:val="000000" w:themeColor="text1"/>
          <w:sz w:val="26"/>
          <w:szCs w:val="26"/>
        </w:rPr>
        <w:t xml:space="preserve">married </w:t>
      </w:r>
      <w:r w:rsidRPr="00FA4D0C">
        <w:rPr>
          <w:rFonts w:ascii="Century Schoolbook" w:eastAsia="Calibri" w:hAnsi="Century Schoolbook" w:cs="Calibri"/>
          <w:color w:val="000000" w:themeColor="text1"/>
          <w:sz w:val="26"/>
          <w:szCs w:val="26"/>
        </w:rPr>
        <w:t xml:space="preserve">parties out of the adversarial process </w:t>
      </w:r>
      <w:r w:rsidR="00102BEB">
        <w:rPr>
          <w:rFonts w:ascii="Century Schoolbook" w:eastAsia="Calibri" w:hAnsi="Century Schoolbook" w:cs="Calibri"/>
          <w:color w:val="000000" w:themeColor="text1"/>
          <w:sz w:val="26"/>
          <w:szCs w:val="26"/>
        </w:rPr>
        <w:t xml:space="preserve">if they have already reached full </w:t>
      </w:r>
      <w:proofErr w:type="gramStart"/>
      <w:r w:rsidR="00102BEB">
        <w:rPr>
          <w:rFonts w:ascii="Century Schoolbook" w:eastAsia="Calibri" w:hAnsi="Century Schoolbook" w:cs="Calibri"/>
          <w:color w:val="000000" w:themeColor="text1"/>
          <w:sz w:val="26"/>
          <w:szCs w:val="26"/>
        </w:rPr>
        <w:t xml:space="preserve">agreements, </w:t>
      </w:r>
      <w:r w:rsidRPr="00FA4D0C">
        <w:rPr>
          <w:rFonts w:ascii="Century Schoolbook" w:eastAsia="Calibri" w:hAnsi="Century Schoolbook" w:cs="Calibri"/>
          <w:color w:val="000000" w:themeColor="text1"/>
          <w:sz w:val="26"/>
          <w:szCs w:val="26"/>
        </w:rPr>
        <w:t>and</w:t>
      </w:r>
      <w:proofErr w:type="gramEnd"/>
      <w:r w:rsidRPr="00FA4D0C">
        <w:rPr>
          <w:rFonts w:ascii="Century Schoolbook" w:eastAsia="Calibri" w:hAnsi="Century Schoolbook" w:cs="Calibri"/>
          <w:color w:val="000000" w:themeColor="text1"/>
          <w:sz w:val="26"/>
          <w:szCs w:val="26"/>
        </w:rPr>
        <w:t xml:space="preserve"> also assists the family court in timely resolution of cases. Despite the summary consent process’ popularity and efficiency, it is currently only available for married couples. It is not available to </w:t>
      </w:r>
      <w:r w:rsidR="00495964">
        <w:rPr>
          <w:rFonts w:ascii="Century Schoolbook" w:eastAsia="Calibri" w:hAnsi="Century Schoolbook" w:cs="Calibri"/>
          <w:color w:val="000000" w:themeColor="text1"/>
          <w:sz w:val="26"/>
          <w:szCs w:val="26"/>
        </w:rPr>
        <w:t>un</w:t>
      </w:r>
      <w:r w:rsidRPr="00FA4D0C">
        <w:rPr>
          <w:rFonts w:ascii="Century Schoolbook" w:eastAsia="Calibri" w:hAnsi="Century Schoolbook" w:cs="Calibri"/>
          <w:color w:val="000000" w:themeColor="text1"/>
          <w:sz w:val="26"/>
          <w:szCs w:val="26"/>
        </w:rPr>
        <w:t xml:space="preserve">married </w:t>
      </w:r>
      <w:r w:rsidR="00495964">
        <w:rPr>
          <w:rFonts w:ascii="Century Schoolbook" w:eastAsia="Calibri" w:hAnsi="Century Schoolbook" w:cs="Calibri"/>
          <w:color w:val="000000" w:themeColor="text1"/>
          <w:sz w:val="26"/>
          <w:szCs w:val="26"/>
        </w:rPr>
        <w:t xml:space="preserve">parents </w:t>
      </w:r>
      <w:r w:rsidRPr="00FA4D0C">
        <w:rPr>
          <w:rFonts w:ascii="Century Schoolbook" w:eastAsia="Calibri" w:hAnsi="Century Schoolbook" w:cs="Calibri"/>
          <w:color w:val="000000" w:themeColor="text1"/>
          <w:sz w:val="26"/>
          <w:szCs w:val="26"/>
        </w:rPr>
        <w:t>who are seeking family court orders concerning their minor children. This proposal would make it available</w:t>
      </w:r>
      <w:r w:rsidR="00FA4D0C" w:rsidRPr="00FA4D0C">
        <w:rPr>
          <w:rFonts w:ascii="Century Schoolbook" w:eastAsia="Calibri" w:hAnsi="Century Schoolbook" w:cs="Calibri"/>
          <w:color w:val="000000" w:themeColor="text1"/>
          <w:sz w:val="26"/>
          <w:szCs w:val="26"/>
        </w:rPr>
        <w:t xml:space="preserve"> </w:t>
      </w:r>
      <w:r w:rsidR="005A1EDB" w:rsidRPr="00FA4D0C">
        <w:rPr>
          <w:rFonts w:ascii="Century Schoolbook" w:hAnsi="Century Schoolbook"/>
          <w:sz w:val="26"/>
          <w:szCs w:val="26"/>
        </w:rPr>
        <w:t xml:space="preserve">to unmarried </w:t>
      </w:r>
      <w:r w:rsidRPr="00FA4D0C">
        <w:rPr>
          <w:rFonts w:ascii="Century Schoolbook" w:hAnsi="Century Schoolbook"/>
          <w:sz w:val="26"/>
          <w:szCs w:val="26"/>
        </w:rPr>
        <w:t>parents</w:t>
      </w:r>
      <w:r w:rsidR="005A1EDB" w:rsidRPr="00FA4D0C">
        <w:rPr>
          <w:rFonts w:ascii="Century Schoolbook" w:hAnsi="Century Schoolbook"/>
          <w:sz w:val="26"/>
          <w:szCs w:val="26"/>
        </w:rPr>
        <w:t xml:space="preserve"> who have proceedings under Title 25 </w:t>
      </w:r>
      <w:r w:rsidRPr="00FA4D0C">
        <w:rPr>
          <w:rFonts w:ascii="Century Schoolbook" w:hAnsi="Century Schoolbook"/>
          <w:sz w:val="26"/>
          <w:szCs w:val="26"/>
        </w:rPr>
        <w:t xml:space="preserve">to </w:t>
      </w:r>
      <w:r w:rsidR="005A1EDB" w:rsidRPr="00FA4D0C">
        <w:rPr>
          <w:rFonts w:ascii="Century Schoolbook" w:hAnsi="Century Schoolbook"/>
          <w:sz w:val="26"/>
          <w:szCs w:val="26"/>
        </w:rPr>
        <w:t>establish maternity or paternity, legal decision-making, parenting time, and child support.</w:t>
      </w:r>
    </w:p>
    <w:p w14:paraId="1F764C20" w14:textId="3FFF5118" w:rsidR="00FA4D0C" w:rsidRDefault="00FA4D0C" w:rsidP="00FA4D0C">
      <w:pPr>
        <w:spacing w:line="480" w:lineRule="auto"/>
        <w:ind w:left="144" w:firstLine="576"/>
        <w:jc w:val="both"/>
        <w:rPr>
          <w:rFonts w:ascii="Century Schoolbook" w:eastAsia="Calibri" w:hAnsi="Century Schoolbook" w:cs="Calibri"/>
          <w:color w:val="000000" w:themeColor="text1"/>
          <w:sz w:val="26"/>
          <w:szCs w:val="26"/>
        </w:rPr>
      </w:pPr>
      <w:r w:rsidRPr="00FA4D0C">
        <w:rPr>
          <w:rFonts w:ascii="Century Schoolbook" w:eastAsia="Calibri" w:hAnsi="Century Schoolbook" w:cs="Calibri"/>
          <w:color w:val="000000" w:themeColor="text1"/>
          <w:sz w:val="26"/>
          <w:szCs w:val="26"/>
        </w:rPr>
        <w:lastRenderedPageBreak/>
        <w:t xml:space="preserve">Proposed Rule 45.2(d)(4) contains language about “additional required fees.” It is drafted in the hope that the Legislature will pass legislation </w:t>
      </w:r>
      <w:proofErr w:type="gramStart"/>
      <w:r w:rsidRPr="00FA4D0C">
        <w:rPr>
          <w:rFonts w:ascii="Century Schoolbook" w:eastAsia="Calibri" w:hAnsi="Century Schoolbook" w:cs="Calibri"/>
          <w:color w:val="000000" w:themeColor="text1"/>
          <w:sz w:val="26"/>
          <w:szCs w:val="26"/>
        </w:rPr>
        <w:t>similar to</w:t>
      </w:r>
      <w:proofErr w:type="gramEnd"/>
      <w:r w:rsidRPr="00FA4D0C">
        <w:rPr>
          <w:rFonts w:ascii="Century Schoolbook" w:eastAsia="Calibri" w:hAnsi="Century Schoolbook" w:cs="Calibri"/>
          <w:color w:val="000000" w:themeColor="text1"/>
          <w:sz w:val="26"/>
          <w:szCs w:val="26"/>
        </w:rPr>
        <w:t xml:space="preserve"> S.B. 1383 which would reduce the filing fees for a summary consent decree for unmarried persons. If </w:t>
      </w:r>
      <w:r w:rsidR="00102BEB">
        <w:rPr>
          <w:rFonts w:ascii="Century Schoolbook" w:eastAsia="Calibri" w:hAnsi="Century Schoolbook" w:cs="Calibri"/>
          <w:color w:val="000000" w:themeColor="text1"/>
          <w:sz w:val="26"/>
          <w:szCs w:val="26"/>
        </w:rPr>
        <w:t>the Legislature</w:t>
      </w:r>
      <w:r w:rsidRPr="00FA4D0C">
        <w:rPr>
          <w:rFonts w:ascii="Century Schoolbook" w:eastAsia="Calibri" w:hAnsi="Century Schoolbook" w:cs="Calibri"/>
          <w:color w:val="000000" w:themeColor="text1"/>
          <w:sz w:val="26"/>
          <w:szCs w:val="26"/>
        </w:rPr>
        <w:t xml:space="preserve"> does not do so, then the summary consent decree process could still be implemented without the reduced filing fees.</w:t>
      </w:r>
    </w:p>
    <w:p w14:paraId="63A374DD" w14:textId="4BD45622" w:rsidR="00495964" w:rsidRPr="00FA4D0C" w:rsidRDefault="00495964" w:rsidP="00FA4D0C">
      <w:pPr>
        <w:spacing w:line="480" w:lineRule="auto"/>
        <w:ind w:left="144" w:firstLine="576"/>
        <w:jc w:val="both"/>
        <w:rPr>
          <w:rFonts w:ascii="Century Schoolbook" w:hAnsi="Century Schoolbook"/>
          <w:sz w:val="26"/>
          <w:szCs w:val="26"/>
        </w:rPr>
      </w:pPr>
      <w:r w:rsidRPr="00FA4D0C">
        <w:rPr>
          <w:rFonts w:ascii="Century Schoolbook" w:eastAsia="Calibri" w:hAnsi="Century Schoolbook" w:cs="Calibri"/>
          <w:color w:val="000000" w:themeColor="text1"/>
          <w:sz w:val="26"/>
          <w:szCs w:val="26"/>
        </w:rPr>
        <w:t xml:space="preserve">The proposed amendments to Rules 14 and 45 are stylistic in </w:t>
      </w:r>
      <w:proofErr w:type="gramStart"/>
      <w:r w:rsidRPr="00FA4D0C">
        <w:rPr>
          <w:rFonts w:ascii="Century Schoolbook" w:eastAsia="Calibri" w:hAnsi="Century Schoolbook" w:cs="Calibri"/>
          <w:color w:val="000000" w:themeColor="text1"/>
          <w:sz w:val="26"/>
          <w:szCs w:val="26"/>
        </w:rPr>
        <w:t>nature</w:t>
      </w:r>
      <w:r w:rsidR="00102BEB">
        <w:rPr>
          <w:rFonts w:ascii="Century Schoolbook" w:eastAsia="Calibri" w:hAnsi="Century Schoolbook" w:cs="Calibri"/>
          <w:color w:val="000000" w:themeColor="text1"/>
          <w:sz w:val="26"/>
          <w:szCs w:val="26"/>
        </w:rPr>
        <w:t>,</w:t>
      </w:r>
      <w:r w:rsidRPr="00FA4D0C">
        <w:rPr>
          <w:rFonts w:ascii="Century Schoolbook" w:eastAsia="Calibri" w:hAnsi="Century Schoolbook" w:cs="Calibri"/>
          <w:color w:val="000000" w:themeColor="text1"/>
          <w:sz w:val="26"/>
          <w:szCs w:val="26"/>
        </w:rPr>
        <w:t xml:space="preserve"> and</w:t>
      </w:r>
      <w:proofErr w:type="gramEnd"/>
      <w:r w:rsidRPr="00FA4D0C">
        <w:rPr>
          <w:rFonts w:ascii="Century Schoolbook" w:eastAsia="Calibri" w:hAnsi="Century Schoolbook" w:cs="Calibri"/>
          <w:color w:val="000000" w:themeColor="text1"/>
          <w:sz w:val="26"/>
          <w:szCs w:val="26"/>
        </w:rPr>
        <w:t xml:space="preserve"> recognize that there are final orders </w:t>
      </w:r>
      <w:r>
        <w:rPr>
          <w:rFonts w:ascii="Century Schoolbook" w:eastAsia="Calibri" w:hAnsi="Century Schoolbook" w:cs="Calibri"/>
          <w:color w:val="000000" w:themeColor="text1"/>
          <w:sz w:val="26"/>
          <w:szCs w:val="26"/>
        </w:rPr>
        <w:t xml:space="preserve">in Title 25 matters </w:t>
      </w:r>
      <w:r w:rsidRPr="00FA4D0C">
        <w:rPr>
          <w:rFonts w:ascii="Century Schoolbook" w:eastAsia="Calibri" w:hAnsi="Century Schoolbook" w:cs="Calibri"/>
          <w:color w:val="000000" w:themeColor="text1"/>
          <w:sz w:val="26"/>
          <w:szCs w:val="26"/>
        </w:rPr>
        <w:t xml:space="preserve">which are not decrees. The proposed amendments to Rule 45.1 address practical concerns of the family court when one or both parties seek to withdraw from the </w:t>
      </w:r>
      <w:r w:rsidR="00102BEB">
        <w:rPr>
          <w:rFonts w:ascii="Century Schoolbook" w:eastAsia="Calibri" w:hAnsi="Century Schoolbook" w:cs="Calibri"/>
          <w:color w:val="000000" w:themeColor="text1"/>
          <w:sz w:val="26"/>
          <w:szCs w:val="26"/>
        </w:rPr>
        <w:t xml:space="preserve">current </w:t>
      </w:r>
      <w:r w:rsidRPr="00FA4D0C">
        <w:rPr>
          <w:rFonts w:ascii="Century Schoolbook" w:eastAsia="Calibri" w:hAnsi="Century Schoolbook" w:cs="Calibri"/>
          <w:color w:val="000000" w:themeColor="text1"/>
          <w:sz w:val="26"/>
          <w:szCs w:val="26"/>
        </w:rPr>
        <w:t>summary consent decree process.</w:t>
      </w:r>
    </w:p>
    <w:p w14:paraId="69ED0F26" w14:textId="18EFEA3F" w:rsidR="00AB5CD0" w:rsidRDefault="00FA4D0C" w:rsidP="00AB5CD0">
      <w:pPr>
        <w:spacing w:line="480" w:lineRule="auto"/>
        <w:ind w:left="144" w:firstLine="576"/>
        <w:jc w:val="both"/>
        <w:rPr>
          <w:rFonts w:ascii="Century Schoolbook" w:eastAsia="Calibri" w:hAnsi="Century Schoolbook" w:cs="Calibri"/>
          <w:color w:val="000000" w:themeColor="text1"/>
          <w:sz w:val="26"/>
          <w:szCs w:val="26"/>
        </w:rPr>
      </w:pPr>
      <w:r w:rsidRPr="00FA4D0C">
        <w:rPr>
          <w:rFonts w:ascii="Century Schoolbook" w:eastAsia="Calibri" w:hAnsi="Century Schoolbook" w:cs="Calibri"/>
          <w:color w:val="000000" w:themeColor="text1"/>
          <w:sz w:val="26"/>
          <w:szCs w:val="26"/>
        </w:rPr>
        <w:t xml:space="preserve">At its May 15, </w:t>
      </w:r>
      <w:proofErr w:type="gramStart"/>
      <w:r w:rsidRPr="00FA4D0C">
        <w:rPr>
          <w:rFonts w:ascii="Century Schoolbook" w:eastAsia="Calibri" w:hAnsi="Century Schoolbook" w:cs="Calibri"/>
          <w:color w:val="000000" w:themeColor="text1"/>
          <w:sz w:val="26"/>
          <w:szCs w:val="26"/>
        </w:rPr>
        <w:t>2025</w:t>
      </w:r>
      <w:proofErr w:type="gramEnd"/>
      <w:r w:rsidRPr="00FA4D0C">
        <w:rPr>
          <w:rFonts w:ascii="Century Schoolbook" w:eastAsia="Calibri" w:hAnsi="Century Schoolbook" w:cs="Calibri"/>
          <w:color w:val="000000" w:themeColor="text1"/>
          <w:sz w:val="26"/>
          <w:szCs w:val="26"/>
        </w:rPr>
        <w:t xml:space="preserve"> meeting, the COFC unanimously approved the attached proposals.</w:t>
      </w:r>
    </w:p>
    <w:p w14:paraId="04DB1841" w14:textId="5FDADBF0" w:rsidR="006270B5" w:rsidRPr="00AB5CD0" w:rsidRDefault="006270B5" w:rsidP="00AB5CD0">
      <w:pPr>
        <w:spacing w:line="480" w:lineRule="auto"/>
        <w:ind w:left="144" w:firstLine="576"/>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t>The COFC respectfully request</w:t>
      </w:r>
      <w:r w:rsidR="00C35669">
        <w:rPr>
          <w:rFonts w:ascii="Century Schoolbook" w:eastAsia="Calibri" w:hAnsi="Century Schoolbook" w:cs="Calibri"/>
          <w:color w:val="000000" w:themeColor="text1"/>
          <w:sz w:val="26"/>
          <w:szCs w:val="26"/>
        </w:rPr>
        <w:t>s</w:t>
      </w:r>
      <w:r>
        <w:rPr>
          <w:rFonts w:ascii="Century Schoolbook" w:eastAsia="Calibri" w:hAnsi="Century Schoolbook" w:cs="Calibri"/>
          <w:color w:val="000000" w:themeColor="text1"/>
          <w:sz w:val="26"/>
          <w:szCs w:val="26"/>
        </w:rPr>
        <w:t xml:space="preserve"> that the Court adopt the proposals in the attached Appendix.</w:t>
      </w:r>
    </w:p>
    <w:p w14:paraId="13EAD0F2" w14:textId="5AE3BF68"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5A1EDB">
        <w:rPr>
          <w:rFonts w:ascii="Century Schoolbook" w:hAnsi="Century Schoolbook"/>
          <w:sz w:val="26"/>
          <w:szCs w:val="26"/>
        </w:rPr>
        <w:t>8th day of January, 2026</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1FACF646"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5A1EDB">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1EE14228" w:rsidR="006270B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42B3C09D" w14:textId="77777777" w:rsidR="006270B5" w:rsidRDefault="006270B5">
      <w:pPr>
        <w:rPr>
          <w:rFonts w:ascii="Century Schoolbook" w:hAnsi="Century Schoolbook"/>
          <w:sz w:val="26"/>
          <w:szCs w:val="26"/>
        </w:rPr>
      </w:pPr>
      <w:r>
        <w:rPr>
          <w:rFonts w:ascii="Century Schoolbook" w:hAnsi="Century Schoolbook"/>
          <w:sz w:val="26"/>
          <w:szCs w:val="26"/>
        </w:rPr>
        <w:br w:type="page"/>
      </w:r>
    </w:p>
    <w:p w14:paraId="016D23A2" w14:textId="0DC42AE2" w:rsidR="006270B5" w:rsidRPr="006270B5" w:rsidRDefault="006270B5" w:rsidP="006270B5">
      <w:pPr>
        <w:jc w:val="center"/>
        <w:rPr>
          <w:rFonts w:ascii="Century Schoolbook" w:hAnsi="Century Schoolbook"/>
          <w:b/>
          <w:bCs/>
          <w:sz w:val="26"/>
          <w:szCs w:val="26"/>
          <w:u w:val="single"/>
        </w:rPr>
      </w:pPr>
      <w:r w:rsidRPr="006270B5">
        <w:rPr>
          <w:rFonts w:ascii="Century Schoolbook" w:hAnsi="Century Schoolbook"/>
          <w:b/>
          <w:bCs/>
          <w:sz w:val="26"/>
          <w:szCs w:val="26"/>
          <w:u w:val="single"/>
        </w:rPr>
        <w:lastRenderedPageBreak/>
        <w:t>Appendix</w:t>
      </w:r>
    </w:p>
    <w:p w14:paraId="41A7A6A6" w14:textId="77777777" w:rsidR="006270B5" w:rsidRDefault="006270B5" w:rsidP="006270B5">
      <w:pPr>
        <w:jc w:val="both"/>
        <w:rPr>
          <w:rFonts w:ascii="Century Schoolbook" w:hAnsi="Century Schoolbook"/>
          <w:sz w:val="26"/>
          <w:szCs w:val="26"/>
        </w:rPr>
      </w:pPr>
    </w:p>
    <w:p w14:paraId="16AF2B58" w14:textId="52FCA736" w:rsidR="006270B5" w:rsidRDefault="006270B5" w:rsidP="006270B5">
      <w:pPr>
        <w:jc w:val="both"/>
        <w:rPr>
          <w:rFonts w:ascii="Century Schoolbook" w:hAnsi="Century Schoolbook"/>
          <w:sz w:val="26"/>
          <w:szCs w:val="26"/>
        </w:rPr>
      </w:pPr>
      <w:r w:rsidRPr="00764BCA">
        <w:rPr>
          <w:rFonts w:ascii="Century Schoolbook" w:hAnsi="Century Schoolbook"/>
          <w:sz w:val="26"/>
          <w:szCs w:val="26"/>
        </w:rPr>
        <w:t>Rule 14. Written Verifications and Unsworn Declarations Under Penalty of Perjury</w:t>
      </w:r>
    </w:p>
    <w:p w14:paraId="5ECE0D17" w14:textId="77777777" w:rsidR="006270B5" w:rsidRDefault="006270B5" w:rsidP="006270B5">
      <w:pPr>
        <w:jc w:val="both"/>
        <w:rPr>
          <w:rFonts w:ascii="Century Schoolbook" w:hAnsi="Century Schoolbook"/>
          <w:sz w:val="26"/>
          <w:szCs w:val="26"/>
        </w:rPr>
      </w:pPr>
    </w:p>
    <w:p w14:paraId="591E8CC9"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b/>
          <w:bCs/>
          <w:sz w:val="26"/>
          <w:szCs w:val="26"/>
        </w:rPr>
        <w:t>(a) Written Verification.</w:t>
      </w:r>
      <w:r w:rsidRPr="00764BCA">
        <w:rPr>
          <w:rFonts w:ascii="Century Schoolbook" w:hAnsi="Century Schoolbook"/>
          <w:sz w:val="26"/>
          <w:szCs w:val="26"/>
        </w:rPr>
        <w:t> A written verification is a sworn statement before a notary public or other officer who is authorized to administer an oath. A verification is required for:</w:t>
      </w:r>
    </w:p>
    <w:p w14:paraId="040BE63F"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(1) an acceptance of service under Rule 40(f)(1</w:t>
      </w:r>
      <w:proofErr w:type="gramStart"/>
      <w:r w:rsidRPr="00764BCA">
        <w:rPr>
          <w:rFonts w:ascii="Century Schoolbook" w:hAnsi="Century Schoolbook"/>
          <w:sz w:val="26"/>
          <w:szCs w:val="26"/>
        </w:rPr>
        <w:t>);</w:t>
      </w:r>
      <w:proofErr w:type="gramEnd"/>
    </w:p>
    <w:p w14:paraId="578CAF97"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(2) an affidavit submitted in support of an application for a default </w:t>
      </w:r>
      <w:proofErr w:type="gramStart"/>
      <w:r w:rsidRPr="00764BCA">
        <w:rPr>
          <w:rFonts w:ascii="Century Schoolbook" w:hAnsi="Century Schoolbook"/>
          <w:sz w:val="26"/>
          <w:szCs w:val="26"/>
        </w:rPr>
        <w:t>decree;</w:t>
      </w:r>
      <w:proofErr w:type="gramEnd"/>
    </w:p>
    <w:p w14:paraId="4B39103E"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(3) a consent decree</w:t>
      </w:r>
      <w:r>
        <w:rPr>
          <w:rFonts w:ascii="Century Schoolbook" w:hAnsi="Century Schoolbook"/>
          <w:sz w:val="26"/>
          <w:szCs w:val="26"/>
          <w:u w:val="single"/>
        </w:rPr>
        <w:t>, judgment, or order</w:t>
      </w:r>
      <w:r w:rsidRPr="00764BCA">
        <w:rPr>
          <w:rFonts w:ascii="Century Schoolbook" w:hAnsi="Century Schoolbook"/>
          <w:sz w:val="26"/>
          <w:szCs w:val="26"/>
        </w:rPr>
        <w:t xml:space="preserve"> under Rule 45; or</w:t>
      </w:r>
    </w:p>
    <w:p w14:paraId="6730F2F0"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(4) a stipulation or agreement that substantially changes the terms of a legal decision-making or </w:t>
      </w:r>
      <w:proofErr w:type="gramStart"/>
      <w:r w:rsidRPr="00764BCA">
        <w:rPr>
          <w:rFonts w:ascii="Century Schoolbook" w:hAnsi="Century Schoolbook"/>
          <w:sz w:val="26"/>
          <w:szCs w:val="26"/>
        </w:rPr>
        <w:t>parenting time</w:t>
      </w:r>
      <w:proofErr w:type="gramEnd"/>
      <w:r w:rsidRPr="00764BCA">
        <w:rPr>
          <w:rFonts w:ascii="Century Schoolbook" w:hAnsi="Century Schoolbook"/>
          <w:sz w:val="26"/>
          <w:szCs w:val="26"/>
        </w:rPr>
        <w:t xml:space="preserve"> order, unless the stipulation is entered </w:t>
      </w:r>
      <w:proofErr w:type="gramStart"/>
      <w:r w:rsidRPr="00764BCA">
        <w:rPr>
          <w:rFonts w:ascii="Century Schoolbook" w:hAnsi="Century Schoolbook"/>
          <w:sz w:val="26"/>
          <w:szCs w:val="26"/>
        </w:rPr>
        <w:t>in open</w:t>
      </w:r>
      <w:proofErr w:type="gramEnd"/>
      <w:r w:rsidRPr="00764BCA">
        <w:rPr>
          <w:rFonts w:ascii="Century Schoolbook" w:hAnsi="Century Schoolbook"/>
          <w:sz w:val="26"/>
          <w:szCs w:val="26"/>
        </w:rPr>
        <w:t xml:space="preserve"> court or through conciliation services.</w:t>
      </w:r>
    </w:p>
    <w:p w14:paraId="5BE4C7EA"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However, nothing in this rule precludes the Arizona Supreme Court from modifying the requirements of this rule by administrative order.</w:t>
      </w:r>
    </w:p>
    <w:p w14:paraId="72D636F8" w14:textId="77777777" w:rsidR="006270B5" w:rsidRPr="00761873" w:rsidRDefault="006270B5" w:rsidP="006270B5">
      <w:pPr>
        <w:jc w:val="both"/>
        <w:rPr>
          <w:rFonts w:ascii="Century Schoolbook" w:hAnsi="Century Schoolbook"/>
          <w:b/>
          <w:bCs/>
          <w:sz w:val="26"/>
          <w:szCs w:val="26"/>
        </w:rPr>
      </w:pPr>
      <w:r w:rsidRPr="00761873">
        <w:rPr>
          <w:rFonts w:ascii="Century Schoolbook" w:hAnsi="Century Schoolbook"/>
          <w:b/>
          <w:bCs/>
          <w:sz w:val="26"/>
          <w:szCs w:val="26"/>
        </w:rPr>
        <w:t>(b)-(c</w:t>
      </w:r>
      <w:proofErr w:type="gramStart"/>
      <w:r w:rsidRPr="00761873">
        <w:rPr>
          <w:rFonts w:ascii="Century Schoolbook" w:hAnsi="Century Schoolbook"/>
          <w:b/>
          <w:bCs/>
          <w:sz w:val="26"/>
          <w:szCs w:val="26"/>
        </w:rPr>
        <w:t xml:space="preserve">) </w:t>
      </w:r>
      <w:r w:rsidRPr="00761873">
        <w:rPr>
          <w:rFonts w:ascii="Century Schoolbook" w:hAnsi="Century Schoolbook"/>
          <w:b/>
          <w:bCs/>
          <w:sz w:val="26"/>
          <w:szCs w:val="26"/>
        </w:rPr>
        <w:tab/>
        <w:t>No</w:t>
      </w:r>
      <w:proofErr w:type="gramEnd"/>
      <w:r w:rsidRPr="00761873">
        <w:rPr>
          <w:rFonts w:ascii="Century Schoolbook" w:hAnsi="Century Schoolbook"/>
          <w:b/>
          <w:bCs/>
          <w:sz w:val="26"/>
          <w:szCs w:val="26"/>
        </w:rPr>
        <w:t xml:space="preserve"> changes proposed.</w:t>
      </w:r>
    </w:p>
    <w:p w14:paraId="05CD3DB1" w14:textId="56AAEA61" w:rsidR="006270B5" w:rsidRDefault="006270B5" w:rsidP="006270B5">
      <w:pPr>
        <w:rPr>
          <w:rFonts w:ascii="Century Schoolbook" w:hAnsi="Century Schoolbook"/>
          <w:sz w:val="26"/>
          <w:szCs w:val="26"/>
        </w:rPr>
      </w:pPr>
    </w:p>
    <w:p w14:paraId="2DC463C1" w14:textId="77777777" w:rsidR="006270B5"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Rule 45. Consent Decree, </w:t>
      </w:r>
      <w:proofErr w:type="gramStart"/>
      <w:r w:rsidRPr="00764BCA">
        <w:rPr>
          <w:rFonts w:ascii="Century Schoolbook" w:hAnsi="Century Schoolbook"/>
          <w:sz w:val="26"/>
          <w:szCs w:val="26"/>
        </w:rPr>
        <w:t>Judgment, or</w:t>
      </w:r>
      <w:proofErr w:type="gramEnd"/>
      <w:r w:rsidRPr="00764BCA">
        <w:rPr>
          <w:rFonts w:ascii="Century Schoolbook" w:hAnsi="Century Schoolbook"/>
          <w:sz w:val="26"/>
          <w:szCs w:val="26"/>
        </w:rPr>
        <w:t xml:space="preserve"> Order</w:t>
      </w:r>
    </w:p>
    <w:p w14:paraId="62339C48" w14:textId="77777777" w:rsidR="006270B5" w:rsidRDefault="006270B5" w:rsidP="006270B5">
      <w:pPr>
        <w:jc w:val="both"/>
        <w:rPr>
          <w:rFonts w:ascii="Century Schoolbook" w:hAnsi="Century Schoolbook"/>
          <w:sz w:val="26"/>
          <w:szCs w:val="26"/>
        </w:rPr>
      </w:pPr>
    </w:p>
    <w:p w14:paraId="70FF66B2"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 xml:space="preserve">(a) – (b)(3) </w:t>
      </w:r>
      <w:r w:rsidRPr="00761873">
        <w:rPr>
          <w:rFonts w:ascii="Century Schoolbook" w:hAnsi="Century Schoolbook"/>
          <w:b/>
          <w:bCs/>
          <w:sz w:val="26"/>
          <w:szCs w:val="26"/>
        </w:rPr>
        <w:tab/>
      </w:r>
      <w:r>
        <w:rPr>
          <w:rFonts w:ascii="Century Schoolbook" w:hAnsi="Century Schoolbook"/>
          <w:sz w:val="26"/>
          <w:szCs w:val="26"/>
        </w:rPr>
        <w:t>No changes proposed.</w:t>
      </w:r>
    </w:p>
    <w:p w14:paraId="1113B420"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(b)(4)</w:t>
      </w:r>
      <w:r>
        <w:rPr>
          <w:rFonts w:ascii="Century Schoolbook" w:hAnsi="Century Schoolbook"/>
          <w:sz w:val="26"/>
          <w:szCs w:val="26"/>
        </w:rPr>
        <w:t xml:space="preserve"> </w:t>
      </w:r>
      <w:r w:rsidRPr="00764BCA">
        <w:rPr>
          <w:rFonts w:ascii="Century Schoolbook" w:hAnsi="Century Schoolbook"/>
          <w:sz w:val="26"/>
          <w:szCs w:val="26"/>
        </w:rPr>
        <w:t>Both parties must personally sign the consent decree, judgment, or order before a notarial officer. Alternatively, a party may sign the consent decree</w:t>
      </w:r>
      <w:r>
        <w:rPr>
          <w:rFonts w:ascii="Century Schoolbook" w:hAnsi="Century Schoolbook"/>
          <w:sz w:val="26"/>
          <w:szCs w:val="26"/>
          <w:u w:val="single"/>
        </w:rPr>
        <w:t>, judgment, or order</w:t>
      </w:r>
      <w:r w:rsidRPr="00764BCA">
        <w:rPr>
          <w:rFonts w:ascii="Century Schoolbook" w:hAnsi="Century Schoolbook"/>
          <w:sz w:val="26"/>
          <w:szCs w:val="26"/>
        </w:rPr>
        <w:t xml:space="preserve"> in the clerk's presence after the clerk has verified the party's identity. If a party is represented by an attorney, the attorney must also sign the consent decree</w:t>
      </w:r>
      <w:r>
        <w:rPr>
          <w:rFonts w:ascii="Century Schoolbook" w:hAnsi="Century Schoolbook"/>
          <w:sz w:val="26"/>
          <w:szCs w:val="26"/>
        </w:rPr>
        <w:t>, judgment, or order</w:t>
      </w:r>
      <w:r w:rsidRPr="00764BCA">
        <w:rPr>
          <w:rFonts w:ascii="Century Schoolbook" w:hAnsi="Century Schoolbook"/>
          <w:sz w:val="26"/>
          <w:szCs w:val="26"/>
        </w:rPr>
        <w:t>.</w:t>
      </w:r>
    </w:p>
    <w:p w14:paraId="3BF1F409"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 xml:space="preserve">(c) </w:t>
      </w:r>
      <w:r w:rsidRPr="00761873">
        <w:rPr>
          <w:rFonts w:ascii="Century Schoolbook" w:hAnsi="Century Schoolbook"/>
          <w:b/>
          <w:bCs/>
          <w:sz w:val="26"/>
          <w:szCs w:val="26"/>
        </w:rPr>
        <w:tab/>
      </w:r>
      <w:r>
        <w:rPr>
          <w:rFonts w:ascii="Century Schoolbook" w:hAnsi="Century Schoolbook"/>
          <w:sz w:val="26"/>
          <w:szCs w:val="26"/>
        </w:rPr>
        <w:tab/>
        <w:t>No changes proposed.</w:t>
      </w:r>
    </w:p>
    <w:p w14:paraId="4C2BD0E4" w14:textId="77777777" w:rsidR="006270B5" w:rsidRDefault="006270B5" w:rsidP="006270B5">
      <w:pPr>
        <w:jc w:val="both"/>
        <w:rPr>
          <w:rFonts w:ascii="Century Schoolbook" w:hAnsi="Century Schoolbook"/>
          <w:sz w:val="26"/>
          <w:szCs w:val="26"/>
        </w:rPr>
      </w:pPr>
    </w:p>
    <w:p w14:paraId="4B1FC8EF" w14:textId="75EE7D20" w:rsidR="006270B5" w:rsidRDefault="006270B5" w:rsidP="006270B5">
      <w:pPr>
        <w:rPr>
          <w:rFonts w:ascii="Century Schoolbook" w:hAnsi="Century Schoolbook"/>
          <w:sz w:val="26"/>
          <w:szCs w:val="26"/>
        </w:rPr>
      </w:pPr>
      <w:r>
        <w:rPr>
          <w:rFonts w:ascii="Century Schoolbook" w:hAnsi="Century Schoolbook"/>
          <w:sz w:val="26"/>
          <w:szCs w:val="26"/>
        </w:rPr>
        <w:br w:type="page"/>
      </w:r>
      <w:r w:rsidRPr="00E80167">
        <w:rPr>
          <w:rFonts w:ascii="Century Schoolbook" w:hAnsi="Century Schoolbook"/>
          <w:sz w:val="26"/>
          <w:szCs w:val="26"/>
        </w:rPr>
        <w:lastRenderedPageBreak/>
        <w:t>Rule 45.1. Summary Consent Decree</w:t>
      </w:r>
    </w:p>
    <w:p w14:paraId="1D6C4E52" w14:textId="77777777" w:rsidR="006270B5" w:rsidRDefault="006270B5" w:rsidP="006270B5">
      <w:pPr>
        <w:jc w:val="both"/>
        <w:rPr>
          <w:rFonts w:ascii="Century Schoolbook" w:hAnsi="Century Schoolbook"/>
          <w:sz w:val="26"/>
          <w:szCs w:val="26"/>
        </w:rPr>
      </w:pPr>
    </w:p>
    <w:p w14:paraId="5F055CEE"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(a) – (d)(3)</w:t>
      </w:r>
      <w:r>
        <w:rPr>
          <w:rFonts w:ascii="Century Schoolbook" w:hAnsi="Century Schoolbook"/>
          <w:sz w:val="26"/>
          <w:szCs w:val="26"/>
        </w:rPr>
        <w:tab/>
        <w:t>No changes proposed</w:t>
      </w:r>
    </w:p>
    <w:p w14:paraId="6BCAF8B1" w14:textId="77777777" w:rsidR="006270B5" w:rsidRDefault="006270B5" w:rsidP="006270B5">
      <w:pPr>
        <w:jc w:val="both"/>
        <w:rPr>
          <w:rFonts w:ascii="Century Schoolbook" w:hAnsi="Century Schoolbook"/>
          <w:sz w:val="26"/>
          <w:szCs w:val="26"/>
        </w:rPr>
      </w:pPr>
      <w:r w:rsidRPr="00CB1883">
        <w:rPr>
          <w:rFonts w:ascii="Century Schoolbook" w:hAnsi="Century Schoolbook"/>
          <w:strike/>
          <w:sz w:val="26"/>
          <w:szCs w:val="26"/>
        </w:rPr>
        <w:t xml:space="preserve">(d)(4) </w:t>
      </w:r>
      <w:r w:rsidRPr="00CB1883">
        <w:rPr>
          <w:rFonts w:ascii="Century Schoolbook" w:hAnsi="Century Schoolbook"/>
          <w:i/>
          <w:iCs/>
          <w:strike/>
          <w:sz w:val="26"/>
          <w:szCs w:val="26"/>
        </w:rPr>
        <w:t>Notice of Intent to Withdraw</w:t>
      </w:r>
      <w:r w:rsidRPr="00E80167">
        <w:rPr>
          <w:rFonts w:ascii="Century Schoolbook" w:hAnsi="Century Schoolbook"/>
          <w:i/>
          <w:iCs/>
          <w:sz w:val="26"/>
          <w:szCs w:val="26"/>
        </w:rPr>
        <w:t>.</w:t>
      </w:r>
      <w:r w:rsidRPr="00E80167">
        <w:rPr>
          <w:rFonts w:ascii="Century Schoolbook" w:hAnsi="Century Schoolbook"/>
          <w:sz w:val="26"/>
          <w:szCs w:val="26"/>
        </w:rPr>
        <w:t> </w:t>
      </w:r>
      <w:r w:rsidRPr="00761873">
        <w:rPr>
          <w:rFonts w:ascii="Century Schoolbook" w:hAnsi="Century Schoolbook"/>
          <w:strike/>
          <w:sz w:val="26"/>
          <w:szCs w:val="26"/>
        </w:rPr>
        <w:t>Before the summary consent decree is entered, either party may request to withdraw from the agreement. If the court allows a party to withdraw, the case will continue as a dissolution or separation proceeding upon paying the additional required fees and filing the appropriate pleadings under Rule 23. The court must dismiss the case if the parties jointly withdraw from the summary consent decree agreement.</w:t>
      </w:r>
    </w:p>
    <w:p w14:paraId="64B37D28" w14:textId="77777777" w:rsidR="006270B5" w:rsidRPr="00761873" w:rsidRDefault="006270B5" w:rsidP="006270B5">
      <w:pPr>
        <w:jc w:val="both"/>
        <w:rPr>
          <w:rFonts w:ascii="Century Schoolbook" w:hAnsi="Century Schoolbook"/>
          <w:sz w:val="26"/>
          <w:szCs w:val="26"/>
          <w:u w:val="single"/>
        </w:rPr>
      </w:pPr>
      <w:r>
        <w:rPr>
          <w:rFonts w:ascii="Century Schoolbook" w:hAnsi="Century Schoolbook"/>
          <w:sz w:val="26"/>
          <w:szCs w:val="26"/>
          <w:u w:val="single"/>
        </w:rPr>
        <w:t>(d)</w:t>
      </w:r>
      <w:r w:rsidRPr="00761873">
        <w:rPr>
          <w:rFonts w:ascii="Century Schoolbook" w:hAnsi="Century Schoolbook"/>
          <w:sz w:val="26"/>
          <w:szCs w:val="26"/>
          <w:u w:val="single"/>
        </w:rPr>
        <w:t>(4) </w:t>
      </w:r>
      <w:r w:rsidRPr="00761873">
        <w:rPr>
          <w:rFonts w:ascii="Century Schoolbook" w:hAnsi="Century Schoolbook"/>
          <w:i/>
          <w:iCs/>
          <w:sz w:val="26"/>
          <w:szCs w:val="26"/>
          <w:u w:val="single"/>
        </w:rPr>
        <w:t>Unilateral</w:t>
      </w:r>
      <w:r w:rsidRPr="00761873">
        <w:rPr>
          <w:rFonts w:ascii="Century Schoolbook" w:hAnsi="Century Schoolbook"/>
          <w:sz w:val="26"/>
          <w:szCs w:val="26"/>
          <w:u w:val="single"/>
        </w:rPr>
        <w:t xml:space="preserve"> </w:t>
      </w:r>
      <w:r w:rsidRPr="00761873">
        <w:rPr>
          <w:rFonts w:ascii="Century Schoolbook" w:hAnsi="Century Schoolbook"/>
          <w:i/>
          <w:iCs/>
          <w:sz w:val="26"/>
          <w:szCs w:val="26"/>
          <w:u w:val="single"/>
        </w:rPr>
        <w:t>Notice of Intent to Withdraw.</w:t>
      </w:r>
      <w:r w:rsidRPr="00761873">
        <w:rPr>
          <w:rFonts w:ascii="Century Schoolbook" w:hAnsi="Century Schoolbook"/>
          <w:sz w:val="26"/>
          <w:szCs w:val="26"/>
          <w:u w:val="single"/>
        </w:rPr>
        <w:t> Before the summary consent judgment is entered, either party may request to withdraw from the agreement. If the court allows a party to withdraw, the case will continue as a petition to establish paternity or maternity and/or a petition to establish legal decision-making, parenting time, and child support upon payment of the additional required fees and the filing of appropriate pleadings under Rule 23.</w:t>
      </w:r>
      <w:r>
        <w:rPr>
          <w:rFonts w:ascii="Century Schoolbook" w:hAnsi="Century Schoolbook"/>
          <w:sz w:val="26"/>
          <w:szCs w:val="26"/>
          <w:u w:val="single"/>
        </w:rPr>
        <w:t xml:space="preserve"> The party that did not file the request to withdraw will be deemed the petitioner, and the party that filed the request to withdraw will be deemed the respondent.</w:t>
      </w:r>
    </w:p>
    <w:p w14:paraId="54D5663C"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(5) </w:t>
      </w:r>
      <w:r w:rsidRPr="00761873">
        <w:rPr>
          <w:rFonts w:ascii="Century Schoolbook" w:hAnsi="Century Schoolbook"/>
          <w:i/>
          <w:iCs/>
          <w:sz w:val="26"/>
          <w:szCs w:val="26"/>
          <w:u w:val="single"/>
        </w:rPr>
        <w:t>Joint Notice of Intent to Withdraw.</w:t>
      </w:r>
      <w:r w:rsidRPr="00761873">
        <w:rPr>
          <w:rFonts w:ascii="Century Schoolbook" w:hAnsi="Century Schoolbook"/>
          <w:sz w:val="26"/>
          <w:szCs w:val="26"/>
          <w:u w:val="single"/>
        </w:rPr>
        <w:t xml:space="preserve"> Before the summary consent judgment is entered, the parties may jointly withdraw from the summary consent judgment agreement, and if they do so, the court must dismiss the case. </w:t>
      </w:r>
    </w:p>
    <w:p w14:paraId="19BFEB8F" w14:textId="77777777" w:rsidR="006270B5" w:rsidRDefault="006270B5" w:rsidP="006270B5">
      <w:pPr>
        <w:jc w:val="both"/>
        <w:rPr>
          <w:rFonts w:ascii="Century Schoolbook" w:hAnsi="Century Schoolbook"/>
          <w:sz w:val="26"/>
          <w:szCs w:val="26"/>
        </w:rPr>
      </w:pPr>
      <w:r>
        <w:rPr>
          <w:rFonts w:ascii="Century Schoolbook" w:hAnsi="Century Schoolbook"/>
          <w:sz w:val="26"/>
          <w:szCs w:val="26"/>
        </w:rPr>
        <w:br w:type="page"/>
      </w:r>
    </w:p>
    <w:p w14:paraId="72BC85AB" w14:textId="77777777" w:rsidR="006270B5"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lastRenderedPageBreak/>
        <w:t xml:space="preserve">Rule 45.2. Summary </w:t>
      </w:r>
      <w:proofErr w:type="gramStart"/>
      <w:r w:rsidRPr="00761873">
        <w:rPr>
          <w:rFonts w:ascii="Century Schoolbook" w:hAnsi="Century Schoolbook"/>
          <w:sz w:val="26"/>
          <w:szCs w:val="26"/>
          <w:u w:val="single"/>
        </w:rPr>
        <w:t>Consent  Judgment</w:t>
      </w:r>
      <w:proofErr w:type="gramEnd"/>
      <w:r w:rsidRPr="00761873">
        <w:rPr>
          <w:rFonts w:ascii="Century Schoolbook" w:hAnsi="Century Schoolbook"/>
          <w:sz w:val="26"/>
          <w:szCs w:val="26"/>
          <w:u w:val="single"/>
        </w:rPr>
        <w:t>, Maternity or Paternity, Legal Decision-Making, Parenting Time, and Child Support for a Child Whose Paternity Has Been Established.</w:t>
      </w:r>
    </w:p>
    <w:p w14:paraId="02D8748F" w14:textId="77777777" w:rsidR="006270B5" w:rsidRPr="00761873" w:rsidRDefault="006270B5" w:rsidP="006270B5">
      <w:pPr>
        <w:jc w:val="both"/>
        <w:rPr>
          <w:rFonts w:ascii="Century Schoolbook" w:hAnsi="Century Schoolbook"/>
          <w:sz w:val="26"/>
          <w:szCs w:val="26"/>
          <w:u w:val="single"/>
        </w:rPr>
      </w:pPr>
    </w:p>
    <w:p w14:paraId="4560DE37"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(a) Generally.</w:t>
      </w:r>
      <w:r w:rsidRPr="00761873">
        <w:rPr>
          <w:rFonts w:ascii="Century Schoolbook" w:hAnsi="Century Schoolbook"/>
          <w:sz w:val="26"/>
          <w:szCs w:val="26"/>
          <w:u w:val="single"/>
        </w:rPr>
        <w:t> If the parties reach a comprehensive settlement on all issues before either party has petitioned to establish maternity or paternity and/or to establish legal decision-making, parenting time, and child support for a child whose paternity has been established, they may file a summary consent petition and response and pay the appropriate fees. This rule does not apply to third-party matters.</w:t>
      </w:r>
    </w:p>
    <w:p w14:paraId="3039CFC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(b) Summary Consent Petition and Response.</w:t>
      </w:r>
      <w:r w:rsidRPr="00761873">
        <w:rPr>
          <w:rFonts w:ascii="Century Schoolbook" w:hAnsi="Century Schoolbook"/>
          <w:sz w:val="26"/>
          <w:szCs w:val="26"/>
          <w:u w:val="single"/>
        </w:rPr>
        <w:t> The summary consent petition and response must be a single document captioned as “Summary Consent Petition and Response – Establishment of Maternity or Paternity” or “Summary Consent Petition and Response – Establishment of Legal Decision-Making, Parenting Time, and Child Support” and include:</w:t>
      </w:r>
    </w:p>
    <w:p w14:paraId="34E5D3EC"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(1) the birth date, occupation, and address of each party and the length of each party's domicile in </w:t>
      </w:r>
      <w:proofErr w:type="gramStart"/>
      <w:r w:rsidRPr="00761873">
        <w:rPr>
          <w:rFonts w:ascii="Century Schoolbook" w:hAnsi="Century Schoolbook"/>
          <w:sz w:val="26"/>
          <w:szCs w:val="26"/>
          <w:u w:val="single"/>
        </w:rPr>
        <w:t>Arizona;</w:t>
      </w:r>
      <w:proofErr w:type="gramEnd"/>
    </w:p>
    <w:p w14:paraId="6FFFE683"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(2) the names, birth dates, and addresses of all living children (natural or adopted) for whom a judgment of maternity or paternity and/or a judgment for legal decision-making and parenting time is </w:t>
      </w:r>
      <w:proofErr w:type="gramStart"/>
      <w:r w:rsidRPr="00761873">
        <w:rPr>
          <w:rFonts w:ascii="Century Schoolbook" w:hAnsi="Century Schoolbook"/>
          <w:sz w:val="26"/>
          <w:szCs w:val="26"/>
          <w:u w:val="single"/>
        </w:rPr>
        <w:t>sought;</w:t>
      </w:r>
      <w:proofErr w:type="gramEnd"/>
    </w:p>
    <w:p w14:paraId="473B315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(3) a statement of the grounds for the court's jurisdiction and </w:t>
      </w:r>
      <w:proofErr w:type="gramStart"/>
      <w:r w:rsidRPr="00761873">
        <w:rPr>
          <w:rFonts w:ascii="Century Schoolbook" w:hAnsi="Century Schoolbook"/>
          <w:sz w:val="26"/>
          <w:szCs w:val="26"/>
          <w:u w:val="single"/>
        </w:rPr>
        <w:t>venue;</w:t>
      </w:r>
      <w:proofErr w:type="gramEnd"/>
    </w:p>
    <w:p w14:paraId="44E1ADB4"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(4) a statement that formal service of process is </w:t>
      </w:r>
      <w:proofErr w:type="gramStart"/>
      <w:r w:rsidRPr="00761873">
        <w:rPr>
          <w:rFonts w:ascii="Century Schoolbook" w:hAnsi="Century Schoolbook"/>
          <w:sz w:val="26"/>
          <w:szCs w:val="26"/>
          <w:u w:val="single"/>
        </w:rPr>
        <w:t>waived;</w:t>
      </w:r>
      <w:proofErr w:type="gramEnd"/>
    </w:p>
    <w:p w14:paraId="20D1A1F7"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(5) a statement about the relevant facts supporting maternity or </w:t>
      </w:r>
      <w:proofErr w:type="gramStart"/>
      <w:r w:rsidRPr="00761873">
        <w:rPr>
          <w:rFonts w:ascii="Century Schoolbook" w:hAnsi="Century Schoolbook"/>
          <w:sz w:val="26"/>
          <w:szCs w:val="26"/>
          <w:u w:val="single"/>
        </w:rPr>
        <w:t>paternity;</w:t>
      </w:r>
      <w:proofErr w:type="gramEnd"/>
      <w:r w:rsidRPr="00761873">
        <w:rPr>
          <w:rFonts w:ascii="Century Schoolbook" w:hAnsi="Century Schoolbook"/>
          <w:sz w:val="26"/>
          <w:szCs w:val="26"/>
          <w:u w:val="single"/>
        </w:rPr>
        <w:t xml:space="preserve"> </w:t>
      </w:r>
    </w:p>
    <w:p w14:paraId="253F56D3"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(6) a statement that the parties have resolved all issues about maternity or paternity and/or legal decision-making, parenting time, and child </w:t>
      </w:r>
      <w:proofErr w:type="gramStart"/>
      <w:r w:rsidRPr="00761873">
        <w:rPr>
          <w:rFonts w:ascii="Century Schoolbook" w:hAnsi="Century Schoolbook"/>
          <w:sz w:val="26"/>
          <w:szCs w:val="26"/>
          <w:u w:val="single"/>
        </w:rPr>
        <w:t>support;</w:t>
      </w:r>
      <w:proofErr w:type="gramEnd"/>
    </w:p>
    <w:p w14:paraId="09F2AB2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(7) a request that the court enter a judgment of maternity or paternity and/or legal decision-making, parenting time, and child support, and a statement of the relief the parties jointly seek; and</w:t>
      </w:r>
    </w:p>
    <w:p w14:paraId="3D9DC4F9"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(8) both parties' signatures.</w:t>
      </w:r>
    </w:p>
    <w:p w14:paraId="689A6650"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(c) Preliminary Injunction.</w:t>
      </w:r>
      <w:r w:rsidRPr="00761873">
        <w:rPr>
          <w:rFonts w:ascii="Century Schoolbook" w:hAnsi="Century Schoolbook"/>
          <w:sz w:val="26"/>
          <w:szCs w:val="26"/>
          <w:u w:val="single"/>
        </w:rPr>
        <w:t> Notwithstanding the requirements of Rule 25(b) or (c), when filing a summary consent petition and response, the parties must present two copies of a preliminary injunction to the clerk to issue under A.R.S. § 25-808. The clerk will issue the injunctions and return copies to the parties.</w:t>
      </w:r>
    </w:p>
    <w:p w14:paraId="0653ED72"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(d) Entry of a Summary Consent Judgment.</w:t>
      </w:r>
    </w:p>
    <w:p w14:paraId="5CC8F4D8"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(1) </w:t>
      </w:r>
      <w:r w:rsidRPr="00761873">
        <w:rPr>
          <w:rFonts w:ascii="Century Schoolbook" w:hAnsi="Century Schoolbook"/>
          <w:i/>
          <w:iCs/>
          <w:sz w:val="26"/>
          <w:szCs w:val="26"/>
          <w:u w:val="single"/>
        </w:rPr>
        <w:t>Agreements and Proposed Decree.</w:t>
      </w:r>
      <w:r w:rsidRPr="00761873">
        <w:rPr>
          <w:rFonts w:ascii="Century Schoolbook" w:hAnsi="Century Schoolbook"/>
          <w:sz w:val="26"/>
          <w:szCs w:val="26"/>
          <w:u w:val="single"/>
        </w:rPr>
        <w:t> Upon filing the summary consent petition and response, the parties must submit to the court all required final settlement documents, including their written agreements and the proposed judgment.</w:t>
      </w:r>
    </w:p>
    <w:p w14:paraId="2465F8C8"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(2) </w:t>
      </w:r>
      <w:r w:rsidRPr="00761873">
        <w:rPr>
          <w:rFonts w:ascii="Century Schoolbook" w:hAnsi="Century Schoolbook"/>
          <w:i/>
          <w:iCs/>
          <w:sz w:val="26"/>
          <w:szCs w:val="26"/>
          <w:u w:val="single"/>
        </w:rPr>
        <w:t>Content of the Proposed Judgment.</w:t>
      </w:r>
      <w:r w:rsidRPr="00761873">
        <w:rPr>
          <w:rFonts w:ascii="Century Schoolbook" w:hAnsi="Century Schoolbook"/>
          <w:sz w:val="26"/>
          <w:szCs w:val="26"/>
          <w:u w:val="single"/>
        </w:rPr>
        <w:t xml:space="preserve"> The proposed judgment's content must meet the requirements of Rule 45(b) and (c), as applicable. </w:t>
      </w:r>
    </w:p>
    <w:p w14:paraId="7705E339"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lastRenderedPageBreak/>
        <w:t>(3</w:t>
      </w:r>
      <w:proofErr w:type="gramStart"/>
      <w:r w:rsidRPr="00761873">
        <w:rPr>
          <w:rFonts w:ascii="Century Schoolbook" w:hAnsi="Century Schoolbook"/>
          <w:sz w:val="26"/>
          <w:szCs w:val="26"/>
          <w:u w:val="single"/>
        </w:rPr>
        <w:t>) </w:t>
      </w:r>
      <w:r w:rsidRPr="00761873">
        <w:rPr>
          <w:rFonts w:ascii="Century Schoolbook" w:hAnsi="Century Schoolbook"/>
          <w:i/>
          <w:iCs/>
          <w:sz w:val="26"/>
          <w:szCs w:val="26"/>
          <w:u w:val="single"/>
        </w:rPr>
        <w:t xml:space="preserve"> Hearing</w:t>
      </w:r>
      <w:proofErr w:type="gramEnd"/>
      <w:r w:rsidRPr="00761873">
        <w:rPr>
          <w:rFonts w:ascii="Century Schoolbook" w:hAnsi="Century Schoolbook"/>
          <w:i/>
          <w:iCs/>
          <w:sz w:val="26"/>
          <w:szCs w:val="26"/>
          <w:u w:val="single"/>
        </w:rPr>
        <w:t>.</w:t>
      </w:r>
      <w:r w:rsidRPr="00761873">
        <w:rPr>
          <w:rFonts w:ascii="Century Schoolbook" w:hAnsi="Century Schoolbook"/>
          <w:sz w:val="26"/>
          <w:szCs w:val="26"/>
          <w:u w:val="single"/>
        </w:rPr>
        <w:t xml:space="preserve">  The court may enter a summary consent judgment without </w:t>
      </w:r>
      <w:proofErr w:type="gramStart"/>
      <w:r w:rsidRPr="00761873">
        <w:rPr>
          <w:rFonts w:ascii="Century Schoolbook" w:hAnsi="Century Schoolbook"/>
          <w:sz w:val="26"/>
          <w:szCs w:val="26"/>
          <w:u w:val="single"/>
        </w:rPr>
        <w:t>a hearing</w:t>
      </w:r>
      <w:proofErr w:type="gramEnd"/>
      <w:r w:rsidRPr="00761873">
        <w:rPr>
          <w:rFonts w:ascii="Century Schoolbook" w:hAnsi="Century Schoolbook"/>
          <w:sz w:val="26"/>
          <w:szCs w:val="26"/>
          <w:u w:val="single"/>
        </w:rPr>
        <w:t xml:space="preserve"> if it has determined that the parties have met the requirements for a summary consent judgment. Alternatively, the court may set a hearing on specified issues or enter other appropriate orders. The court must set the matter for hearing or rule on the lodged summary consent judgment no later </w:t>
      </w:r>
      <w:proofErr w:type="gramStart"/>
      <w:r w:rsidRPr="00761873">
        <w:rPr>
          <w:rFonts w:ascii="Century Schoolbook" w:hAnsi="Century Schoolbook"/>
          <w:sz w:val="26"/>
          <w:szCs w:val="26"/>
          <w:u w:val="single"/>
        </w:rPr>
        <w:t>than  21</w:t>
      </w:r>
      <w:proofErr w:type="gramEnd"/>
      <w:r w:rsidRPr="00761873">
        <w:rPr>
          <w:rFonts w:ascii="Century Schoolbook" w:hAnsi="Century Schoolbook"/>
          <w:sz w:val="26"/>
          <w:szCs w:val="26"/>
          <w:u w:val="single"/>
        </w:rPr>
        <w:t xml:space="preserve"> days after the filing date.</w:t>
      </w:r>
    </w:p>
    <w:p w14:paraId="37EB085B"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(4) </w:t>
      </w:r>
      <w:r w:rsidRPr="00761873">
        <w:rPr>
          <w:rFonts w:ascii="Century Schoolbook" w:hAnsi="Century Schoolbook"/>
          <w:i/>
          <w:iCs/>
          <w:sz w:val="26"/>
          <w:szCs w:val="26"/>
          <w:u w:val="single"/>
        </w:rPr>
        <w:t>Unilateral</w:t>
      </w:r>
      <w:r w:rsidRPr="00761873">
        <w:rPr>
          <w:rFonts w:ascii="Century Schoolbook" w:hAnsi="Century Schoolbook"/>
          <w:sz w:val="26"/>
          <w:szCs w:val="26"/>
          <w:u w:val="single"/>
        </w:rPr>
        <w:t xml:space="preserve"> </w:t>
      </w:r>
      <w:r w:rsidRPr="00761873">
        <w:rPr>
          <w:rFonts w:ascii="Century Schoolbook" w:hAnsi="Century Schoolbook"/>
          <w:i/>
          <w:iCs/>
          <w:sz w:val="26"/>
          <w:szCs w:val="26"/>
          <w:u w:val="single"/>
        </w:rPr>
        <w:t>Notice of Intent to Withdraw.</w:t>
      </w:r>
      <w:r w:rsidRPr="00761873">
        <w:rPr>
          <w:rFonts w:ascii="Century Schoolbook" w:hAnsi="Century Schoolbook"/>
          <w:sz w:val="26"/>
          <w:szCs w:val="26"/>
          <w:u w:val="single"/>
        </w:rPr>
        <w:t> Before the summary consent judgment is entered, either party may request to withdraw from the agreement. If the court allows a party to withdraw, the case will continue as a petition to establish paternity or maternity and/or a petition to establish legal decision-making, parenting time, and child support upon payment of the additional required fees and the filing of appropriate pleadings under Rule 23.</w:t>
      </w:r>
      <w:r>
        <w:rPr>
          <w:rFonts w:ascii="Century Schoolbook" w:hAnsi="Century Schoolbook"/>
          <w:sz w:val="26"/>
          <w:szCs w:val="26"/>
          <w:u w:val="single"/>
        </w:rPr>
        <w:t xml:space="preserve"> The party that did not file the request to withdraw will be deemed the petitioner, and the party that filed the request to withdraw will be deemed the respondent.</w:t>
      </w:r>
    </w:p>
    <w:p w14:paraId="4EAC4E45"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(5) </w:t>
      </w:r>
      <w:r w:rsidRPr="00761873">
        <w:rPr>
          <w:rFonts w:ascii="Century Schoolbook" w:hAnsi="Century Schoolbook"/>
          <w:i/>
          <w:iCs/>
          <w:sz w:val="26"/>
          <w:szCs w:val="26"/>
          <w:u w:val="single"/>
        </w:rPr>
        <w:t>Joint Notice of Intent to Withdraw.</w:t>
      </w:r>
      <w:r w:rsidRPr="00761873">
        <w:rPr>
          <w:rFonts w:ascii="Century Schoolbook" w:hAnsi="Century Schoolbook"/>
          <w:sz w:val="26"/>
          <w:szCs w:val="26"/>
          <w:u w:val="single"/>
        </w:rPr>
        <w:t xml:space="preserve"> Before the summary consent judgment is entered, the parties may jointly withdraw from the summary consent judgment agreement, and if they do so, the court must dismiss the case. </w:t>
      </w:r>
    </w:p>
    <w:p w14:paraId="53F95290" w14:textId="77777777" w:rsidR="00656F65" w:rsidRPr="005F6F54" w:rsidRDefault="00656F65" w:rsidP="00B44D1E">
      <w:pPr>
        <w:jc w:val="both"/>
        <w:rPr>
          <w:rFonts w:ascii="Century Schoolbook" w:hAnsi="Century Schoolbook"/>
          <w:sz w:val="26"/>
          <w:szCs w:val="26"/>
        </w:rPr>
      </w:pPr>
    </w:p>
    <w:sectPr w:rsidR="00656F65" w:rsidRPr="005F6F54" w:rsidSect="00F2679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0172"/>
      <w:docPartObj>
        <w:docPartGallery w:val="Page Numbers (Bottom of Page)"/>
        <w:docPartUnique/>
      </w:docPartObj>
    </w:sdtPr>
    <w:sdtEndPr>
      <w:rPr>
        <w:noProof/>
      </w:rPr>
    </w:sdtEndPr>
    <w:sdtContent>
      <w:p w14:paraId="12D48414" w14:textId="38875581" w:rsidR="00F2679D" w:rsidRDefault="00F26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140BB" w14:textId="77777777" w:rsidR="00F2679D" w:rsidRDefault="00F2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72" w14:textId="53C7B5F3" w:rsidR="00F2679D" w:rsidRDefault="00F2679D">
    <w:pPr>
      <w:pStyle w:val="Footer"/>
      <w:jc w:val="center"/>
    </w:pPr>
  </w:p>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2BEB"/>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4CB0"/>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27DC"/>
    <w:rsid w:val="00316C1C"/>
    <w:rsid w:val="0032354F"/>
    <w:rsid w:val="003357AF"/>
    <w:rsid w:val="00335AF8"/>
    <w:rsid w:val="00340337"/>
    <w:rsid w:val="003435EF"/>
    <w:rsid w:val="003533B4"/>
    <w:rsid w:val="0035709E"/>
    <w:rsid w:val="00376CC4"/>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95964"/>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A1EDB"/>
    <w:rsid w:val="005B0047"/>
    <w:rsid w:val="005B5507"/>
    <w:rsid w:val="005B6C1F"/>
    <w:rsid w:val="005C08D4"/>
    <w:rsid w:val="005C163E"/>
    <w:rsid w:val="005C39F7"/>
    <w:rsid w:val="005C3F6A"/>
    <w:rsid w:val="005C49A0"/>
    <w:rsid w:val="005C79BD"/>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270B5"/>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249D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B5CD0"/>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5669"/>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0771"/>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679D"/>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A4D0C"/>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 w:type="character" w:customStyle="1" w:styleId="HeaderChar">
    <w:name w:val="Header Char"/>
    <w:basedOn w:val="DefaultParagraphFont"/>
    <w:link w:val="Header"/>
    <w:uiPriority w:val="99"/>
    <w:rsid w:val="00F267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kall@sc.pim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1586</Words>
  <Characters>8423</Characters>
  <Application>Microsoft Office Word</Application>
  <DocSecurity>0</DocSecurity>
  <Lines>187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8</cp:revision>
  <dcterms:created xsi:type="dcterms:W3CDTF">2026-01-08T17:14:00Z</dcterms:created>
  <dcterms:modified xsi:type="dcterms:W3CDTF">2026-01-09T16:29:00Z</dcterms:modified>
</cp:coreProperties>
</file>