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56CE2" w14:textId="77777777" w:rsidR="00627B64" w:rsidRPr="00627B64" w:rsidRDefault="00627B64" w:rsidP="00627B64">
      <w:pPr>
        <w:jc w:val="center"/>
        <w:rPr>
          <w:rFonts w:eastAsia="Times New Roman"/>
          <w:b/>
          <w:sz w:val="28"/>
          <w:szCs w:val="28"/>
        </w:rPr>
      </w:pPr>
      <w:bookmarkStart w:id="0" w:name="_GoBack"/>
      <w:bookmarkEnd w:id="0"/>
      <w:r w:rsidRPr="00627B64">
        <w:rPr>
          <w:rFonts w:eastAsia="Times New Roman"/>
          <w:b/>
          <w:sz w:val="28"/>
          <w:szCs w:val="28"/>
        </w:rPr>
        <w:t>APPENDIX  A</w:t>
      </w:r>
    </w:p>
    <w:p w14:paraId="20FEC350" w14:textId="77777777" w:rsidR="00627B64" w:rsidRPr="00627B64" w:rsidRDefault="00627B64" w:rsidP="00627B64">
      <w:pPr>
        <w:jc w:val="center"/>
        <w:rPr>
          <w:rFonts w:eastAsia="Times New Roman"/>
          <w:b/>
          <w:sz w:val="28"/>
          <w:szCs w:val="28"/>
        </w:rPr>
      </w:pPr>
    </w:p>
    <w:p w14:paraId="6897AA27" w14:textId="77777777" w:rsidR="00627B64" w:rsidRPr="00627B64" w:rsidRDefault="00627B64" w:rsidP="00627B64">
      <w:pPr>
        <w:jc w:val="center"/>
        <w:rPr>
          <w:rFonts w:eastAsia="Times New Roman"/>
          <w:b/>
          <w:sz w:val="28"/>
          <w:szCs w:val="28"/>
        </w:rPr>
      </w:pPr>
      <w:r w:rsidRPr="00627B64">
        <w:rPr>
          <w:rFonts w:eastAsia="Times New Roman"/>
          <w:b/>
          <w:sz w:val="28"/>
          <w:szCs w:val="28"/>
        </w:rPr>
        <w:t>Arizona Rules of Criminal Procedure</w:t>
      </w:r>
    </w:p>
    <w:p w14:paraId="1D678F0F" w14:textId="77777777" w:rsidR="00627B64" w:rsidRPr="00627B64" w:rsidRDefault="00627B64" w:rsidP="00627B64">
      <w:pPr>
        <w:jc w:val="center"/>
        <w:rPr>
          <w:rFonts w:eastAsia="Times New Roman"/>
          <w:sz w:val="28"/>
          <w:szCs w:val="28"/>
        </w:rPr>
      </w:pPr>
      <w:r w:rsidRPr="00627B64">
        <w:rPr>
          <w:rFonts w:eastAsia="Times New Roman"/>
          <w:sz w:val="28"/>
          <w:szCs w:val="28"/>
        </w:rPr>
        <w:t>(deletions shown with strikethrough, new language is underlined)</w:t>
      </w:r>
    </w:p>
    <w:p w14:paraId="28E7F3B7" w14:textId="77777777" w:rsidR="00627B64" w:rsidRPr="00627B64" w:rsidRDefault="00627B64" w:rsidP="00627B64">
      <w:pPr>
        <w:rPr>
          <w:rFonts w:eastAsia="Times New Roman"/>
          <w:sz w:val="28"/>
          <w:szCs w:val="28"/>
        </w:rPr>
      </w:pPr>
    </w:p>
    <w:p w14:paraId="657D6EF9" w14:textId="77777777" w:rsidR="00627B64" w:rsidRPr="00627B64" w:rsidRDefault="00627B64" w:rsidP="00627B64">
      <w:pPr>
        <w:shd w:val="clear" w:color="auto" w:fill="FFFFFF"/>
        <w:spacing w:beforeAutospacing="1" w:afterAutospacing="1" w:line="280" w:lineRule="atLeast"/>
        <w:jc w:val="center"/>
        <w:outlineLvl w:val="1"/>
        <w:rPr>
          <w:rFonts w:eastAsia="Times New Roman"/>
          <w:b/>
          <w:bCs/>
          <w:color w:val="3D3D3D"/>
          <w:sz w:val="36"/>
          <w:szCs w:val="36"/>
        </w:rPr>
      </w:pPr>
      <w:r w:rsidRPr="00627B64">
        <w:rPr>
          <w:rFonts w:eastAsia="Times New Roman"/>
          <w:b/>
          <w:bCs/>
          <w:color w:val="3D3D3D"/>
          <w:sz w:val="36"/>
          <w:szCs w:val="36"/>
          <w:bdr w:val="none" w:sz="0" w:space="0" w:color="auto" w:frame="1"/>
        </w:rPr>
        <w:t>Rule 6.3. Duties of Counsel; Withdrawal</w:t>
      </w:r>
    </w:p>
    <w:p w14:paraId="181728D7"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b/>
          <w:bCs/>
          <w:color w:val="1F1F1F"/>
          <w:sz w:val="27"/>
          <w:szCs w:val="27"/>
          <w:bdr w:val="none" w:sz="0" w:space="0" w:color="auto" w:frame="1"/>
        </w:rPr>
        <w:t xml:space="preserve"> (a) Notice of Appearance.</w:t>
      </w:r>
    </w:p>
    <w:p w14:paraId="4B86868A"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color w:val="1F1F1F"/>
          <w:sz w:val="27"/>
          <w:szCs w:val="27"/>
          <w:bdr w:val="none" w:sz="0" w:space="0" w:color="auto" w:frame="1"/>
        </w:rPr>
        <w:t>(1)</w:t>
      </w:r>
      <w:r w:rsidRPr="00627B64">
        <w:rPr>
          <w:rFonts w:eastAsia="Times New Roman"/>
          <w:color w:val="1F1F1F"/>
          <w:sz w:val="27"/>
          <w:szCs w:val="27"/>
        </w:rPr>
        <w:t> </w:t>
      </w:r>
      <w:r w:rsidRPr="00627B64">
        <w:rPr>
          <w:rFonts w:eastAsia="Times New Roman"/>
          <w:i/>
          <w:iCs/>
          <w:color w:val="1F1F1F"/>
          <w:sz w:val="27"/>
          <w:szCs w:val="27"/>
          <w:bdr w:val="none" w:sz="0" w:space="0" w:color="auto" w:frame="1"/>
        </w:rPr>
        <w:t>Generally.</w:t>
      </w:r>
      <w:r w:rsidRPr="00627B64">
        <w:rPr>
          <w:rFonts w:eastAsia="Times New Roman"/>
          <w:color w:val="1F1F1F"/>
          <w:sz w:val="27"/>
          <w:szCs w:val="27"/>
        </w:rPr>
        <w:t> Before representing the defendant in court, counsel--whether privately retained or appointed by the court--must file a notice of appearance.</w:t>
      </w:r>
    </w:p>
    <w:p w14:paraId="02E42C16"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color w:val="1F1F1F"/>
          <w:sz w:val="27"/>
          <w:szCs w:val="27"/>
          <w:bdr w:val="none" w:sz="0" w:space="0" w:color="auto" w:frame="1"/>
        </w:rPr>
        <w:t>(2)</w:t>
      </w:r>
      <w:r w:rsidRPr="00627B64">
        <w:rPr>
          <w:rFonts w:eastAsia="Times New Roman"/>
          <w:color w:val="1F1F1F"/>
          <w:sz w:val="27"/>
          <w:szCs w:val="27"/>
        </w:rPr>
        <w:t> </w:t>
      </w:r>
      <w:r w:rsidRPr="00627B64">
        <w:rPr>
          <w:rFonts w:eastAsia="Times New Roman"/>
          <w:i/>
          <w:iCs/>
          <w:color w:val="1F1F1F"/>
          <w:sz w:val="27"/>
          <w:szCs w:val="27"/>
          <w:bdr w:val="none" w:sz="0" w:space="0" w:color="auto" w:frame="1"/>
        </w:rPr>
        <w:t>Earlier Appearance in a Limited Jurisdiction Court.</w:t>
      </w:r>
      <w:r w:rsidRPr="00627B64">
        <w:rPr>
          <w:rFonts w:eastAsia="Times New Roman"/>
          <w:color w:val="1F1F1F"/>
          <w:sz w:val="27"/>
          <w:szCs w:val="27"/>
        </w:rPr>
        <w:t> Counsel who has filed a notice of appearance in a felony case in a limited jurisdiction court does not need to file a new notice of appearance if the defendant is bound over to superior court.</w:t>
      </w:r>
    </w:p>
    <w:p w14:paraId="067BF434" w14:textId="77777777" w:rsidR="00627B64" w:rsidRPr="00627B64" w:rsidRDefault="00627B64" w:rsidP="00627B64">
      <w:pPr>
        <w:shd w:val="clear" w:color="auto" w:fill="FFFFFF"/>
        <w:rPr>
          <w:rFonts w:eastAsia="Times New Roman"/>
          <w:color w:val="1F1F1F"/>
          <w:sz w:val="27"/>
          <w:szCs w:val="27"/>
          <w:u w:val="single"/>
        </w:rPr>
      </w:pPr>
      <w:r w:rsidRPr="00627B64">
        <w:rPr>
          <w:rFonts w:eastAsia="Times New Roman"/>
          <w:b/>
          <w:bCs/>
          <w:color w:val="1F1F1F"/>
          <w:sz w:val="27"/>
          <w:szCs w:val="27"/>
          <w:bdr w:val="none" w:sz="0" w:space="0" w:color="auto" w:frame="1"/>
        </w:rPr>
        <w:t>(b) Duty of Continuing Representation.</w:t>
      </w:r>
      <w:r w:rsidRPr="00627B64">
        <w:rPr>
          <w:rFonts w:eastAsia="Times New Roman"/>
          <w:color w:val="1F1F1F"/>
          <w:sz w:val="27"/>
          <w:szCs w:val="27"/>
        </w:rPr>
        <w:t> Unless the court permits counsel to withdraw, counsel who represents a defendant at any stage of a case has a continuing duty to represent the defendant in all further proceedings in the trial court, including the filing of a notice of appeal</w:t>
      </w:r>
      <w:r w:rsidRPr="00627B64">
        <w:rPr>
          <w:rFonts w:eastAsia="Times New Roman"/>
          <w:color w:val="1F1F1F"/>
          <w:sz w:val="27"/>
          <w:szCs w:val="27"/>
          <w:u w:val="single"/>
        </w:rPr>
        <w:t xml:space="preserve"> or the filing of a notice of post-conviction relief.</w:t>
      </w:r>
    </w:p>
    <w:p w14:paraId="5C5428D0"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b/>
          <w:bCs/>
          <w:color w:val="1F1F1F"/>
          <w:sz w:val="27"/>
          <w:szCs w:val="27"/>
          <w:bdr w:val="none" w:sz="0" w:space="0" w:color="auto" w:frame="1"/>
        </w:rPr>
        <w:t>(c) Withdrawal.</w:t>
      </w:r>
    </w:p>
    <w:p w14:paraId="23AE8DB2"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color w:val="1F1F1F"/>
          <w:sz w:val="27"/>
          <w:szCs w:val="27"/>
          <w:bdr w:val="none" w:sz="0" w:space="0" w:color="auto" w:frame="1"/>
        </w:rPr>
        <w:t>(1)</w:t>
      </w:r>
      <w:r w:rsidRPr="00627B64">
        <w:rPr>
          <w:rFonts w:eastAsia="Times New Roman"/>
          <w:color w:val="1F1F1F"/>
          <w:sz w:val="27"/>
          <w:szCs w:val="27"/>
        </w:rPr>
        <w:t> </w:t>
      </w:r>
      <w:r w:rsidRPr="00627B64">
        <w:rPr>
          <w:rFonts w:eastAsia="Times New Roman"/>
          <w:i/>
          <w:iCs/>
          <w:color w:val="1F1F1F"/>
          <w:sz w:val="27"/>
          <w:szCs w:val="27"/>
          <w:bdr w:val="none" w:sz="0" w:space="0" w:color="auto" w:frame="1"/>
        </w:rPr>
        <w:t>If the Defendant Is Ineligible for Appointed Counsel.</w:t>
      </w:r>
      <w:r w:rsidRPr="00627B64">
        <w:rPr>
          <w:rFonts w:eastAsia="Times New Roman"/>
          <w:color w:val="1F1F1F"/>
          <w:sz w:val="27"/>
          <w:szCs w:val="27"/>
        </w:rPr>
        <w:t> Appointed counsel may not withdraw after arraignment on the ground that the defendant is ineligible for appointed counsel unless counsel shows that withdrawal will not disrupt the orderly processing of the case.</w:t>
      </w:r>
    </w:p>
    <w:p w14:paraId="7A7E9D8F"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color w:val="1F1F1F"/>
          <w:sz w:val="27"/>
          <w:szCs w:val="27"/>
          <w:bdr w:val="none" w:sz="0" w:space="0" w:color="auto" w:frame="1"/>
        </w:rPr>
        <w:t>(2)</w:t>
      </w:r>
      <w:r w:rsidRPr="00627B64">
        <w:rPr>
          <w:rFonts w:eastAsia="Times New Roman"/>
          <w:color w:val="1F1F1F"/>
          <w:sz w:val="27"/>
          <w:szCs w:val="27"/>
        </w:rPr>
        <w:t> </w:t>
      </w:r>
      <w:r w:rsidRPr="00627B64">
        <w:rPr>
          <w:rFonts w:eastAsia="Times New Roman"/>
          <w:i/>
          <w:iCs/>
          <w:color w:val="1F1F1F"/>
          <w:sz w:val="27"/>
          <w:szCs w:val="27"/>
          <w:bdr w:val="none" w:sz="0" w:space="0" w:color="auto" w:frame="1"/>
        </w:rPr>
        <w:t>If the Case Is Set for Trial.</w:t>
      </w:r>
      <w:r w:rsidRPr="00627B64">
        <w:rPr>
          <w:rFonts w:eastAsia="Times New Roman"/>
          <w:color w:val="1F1F1F"/>
          <w:sz w:val="27"/>
          <w:szCs w:val="27"/>
        </w:rPr>
        <w:t> After a case is set for trial, the court may not permit counsel to withdraw unless counsel files a motion that provides:</w:t>
      </w:r>
    </w:p>
    <w:p w14:paraId="666F641E"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color w:val="1F1F1F"/>
          <w:sz w:val="27"/>
          <w:szCs w:val="27"/>
          <w:bdr w:val="none" w:sz="0" w:space="0" w:color="auto" w:frame="1"/>
        </w:rPr>
        <w:t>(A)</w:t>
      </w:r>
      <w:r w:rsidRPr="00627B64">
        <w:rPr>
          <w:rFonts w:eastAsia="Times New Roman"/>
          <w:color w:val="1F1F1F"/>
          <w:sz w:val="27"/>
          <w:szCs w:val="27"/>
        </w:rPr>
        <w:t> the name and address of new counsel and a signed statement from the new counsel that acknowledges the trial date and avows that the new counsel will be prepared for trial; or</w:t>
      </w:r>
    </w:p>
    <w:p w14:paraId="5A60C5C3"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color w:val="1F1F1F"/>
          <w:sz w:val="27"/>
          <w:szCs w:val="27"/>
          <w:bdr w:val="none" w:sz="0" w:space="0" w:color="auto" w:frame="1"/>
        </w:rPr>
        <w:t>(B)</w:t>
      </w:r>
      <w:r w:rsidRPr="00627B64">
        <w:rPr>
          <w:rFonts w:eastAsia="Times New Roman"/>
          <w:color w:val="1F1F1F"/>
          <w:sz w:val="27"/>
          <w:szCs w:val="27"/>
        </w:rPr>
        <w:t> ethical grounds for withdrawing.</w:t>
      </w:r>
    </w:p>
    <w:p w14:paraId="4D8FB523" w14:textId="23E50539" w:rsidR="00627B64" w:rsidRPr="00627B64" w:rsidRDefault="00627B64" w:rsidP="00627B64">
      <w:pPr>
        <w:shd w:val="clear" w:color="auto" w:fill="FFFFFF"/>
        <w:rPr>
          <w:rFonts w:eastAsia="Times New Roman"/>
          <w:color w:val="1F1F1F"/>
          <w:sz w:val="27"/>
          <w:szCs w:val="27"/>
          <w:u w:val="single"/>
        </w:rPr>
      </w:pPr>
      <w:r w:rsidRPr="00627B64">
        <w:rPr>
          <w:rFonts w:eastAsia="Times New Roman"/>
          <w:color w:val="1F1F1F"/>
          <w:sz w:val="27"/>
          <w:szCs w:val="27"/>
          <w:u w:val="single"/>
        </w:rPr>
        <w:t>(3)</w:t>
      </w:r>
      <w:r w:rsidRPr="00627B64">
        <w:rPr>
          <w:rFonts w:eastAsia="Times New Roman"/>
          <w:i/>
          <w:color w:val="1F1F1F"/>
          <w:sz w:val="27"/>
          <w:szCs w:val="27"/>
          <w:u w:val="single"/>
        </w:rPr>
        <w:t xml:space="preserve"> If the Case has Resulted in a Judgment. </w:t>
      </w:r>
      <w:bookmarkStart w:id="1" w:name="_Hlk218780656"/>
      <w:r w:rsidRPr="00627B64">
        <w:rPr>
          <w:rFonts w:eastAsia="Times New Roman"/>
          <w:color w:val="1F1F1F"/>
          <w:sz w:val="27"/>
          <w:szCs w:val="27"/>
          <w:u w:val="single"/>
        </w:rPr>
        <w:t>The court must not grant a motion to withdraw unless the motion reflects that either:</w:t>
      </w:r>
    </w:p>
    <w:p w14:paraId="1D24DDC1" w14:textId="01A0BDA3" w:rsidR="00627B64" w:rsidRPr="00627B64" w:rsidRDefault="00627B64" w:rsidP="00627B64">
      <w:pPr>
        <w:shd w:val="clear" w:color="auto" w:fill="FFFFFF"/>
        <w:rPr>
          <w:rFonts w:eastAsia="Times New Roman"/>
          <w:color w:val="1F1F1F"/>
          <w:sz w:val="27"/>
          <w:szCs w:val="27"/>
          <w:u w:val="single"/>
        </w:rPr>
      </w:pPr>
      <w:r w:rsidRPr="00627B64">
        <w:rPr>
          <w:rFonts w:eastAsia="Times New Roman"/>
          <w:color w:val="1F1F1F"/>
          <w:sz w:val="27"/>
          <w:szCs w:val="27"/>
          <w:u w:val="single"/>
        </w:rPr>
        <w:t>(</w:t>
      </w:r>
      <w:proofErr w:type="spellStart"/>
      <w:r w:rsidRPr="00627B64">
        <w:rPr>
          <w:rFonts w:eastAsia="Times New Roman"/>
          <w:color w:val="1F1F1F"/>
          <w:sz w:val="27"/>
          <w:szCs w:val="27"/>
          <w:u w:val="single"/>
        </w:rPr>
        <w:t>i</w:t>
      </w:r>
      <w:proofErr w:type="spellEnd"/>
      <w:r w:rsidRPr="00627B64">
        <w:rPr>
          <w:rFonts w:eastAsia="Times New Roman"/>
          <w:color w:val="1F1F1F"/>
          <w:sz w:val="27"/>
          <w:szCs w:val="27"/>
          <w:u w:val="single"/>
        </w:rPr>
        <w:t>) counsel has advised the defendant of their rights and the defendant has not directed counsel to file a notice of appeal or, if applicable, a notice of post-conviction relief</w:t>
      </w:r>
      <w:bookmarkEnd w:id="1"/>
      <w:r w:rsidRPr="00627B64">
        <w:rPr>
          <w:rFonts w:eastAsia="Times New Roman"/>
          <w:color w:val="1F1F1F"/>
          <w:sz w:val="27"/>
          <w:szCs w:val="27"/>
          <w:u w:val="single"/>
        </w:rPr>
        <w:t xml:space="preserve">, or </w:t>
      </w:r>
    </w:p>
    <w:p w14:paraId="2A5BE704" w14:textId="77777777" w:rsidR="00627B64" w:rsidRPr="00627B64" w:rsidRDefault="00627B64" w:rsidP="00627B64">
      <w:pPr>
        <w:shd w:val="clear" w:color="auto" w:fill="FFFFFF"/>
        <w:rPr>
          <w:rFonts w:eastAsia="Times New Roman"/>
          <w:i/>
          <w:color w:val="1F1F1F"/>
          <w:sz w:val="27"/>
          <w:szCs w:val="27"/>
          <w:u w:val="single"/>
        </w:rPr>
      </w:pPr>
      <w:r w:rsidRPr="00627B64">
        <w:rPr>
          <w:rFonts w:eastAsia="Times New Roman"/>
          <w:color w:val="1F1F1F"/>
          <w:sz w:val="27"/>
          <w:szCs w:val="27"/>
          <w:u w:val="single"/>
        </w:rPr>
        <w:t>(ii) such a notice has already been filed.</w:t>
      </w:r>
    </w:p>
    <w:p w14:paraId="22BA5D3F"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b/>
          <w:bCs/>
          <w:color w:val="1F1F1F"/>
          <w:sz w:val="27"/>
          <w:szCs w:val="27"/>
          <w:bdr w:val="none" w:sz="0" w:space="0" w:color="auto" w:frame="1"/>
        </w:rPr>
        <w:t>(d) Duty of Defense Counsel to Preserve the File.</w:t>
      </w:r>
      <w:r w:rsidRPr="00627B64">
        <w:rPr>
          <w:rFonts w:eastAsia="Times New Roman"/>
          <w:color w:val="1F1F1F"/>
          <w:sz w:val="27"/>
          <w:szCs w:val="27"/>
        </w:rPr>
        <w:t> Defense counsel must:</w:t>
      </w:r>
    </w:p>
    <w:p w14:paraId="6297F6BA"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color w:val="1F1F1F"/>
          <w:sz w:val="27"/>
          <w:szCs w:val="27"/>
          <w:bdr w:val="none" w:sz="0" w:space="0" w:color="auto" w:frame="1"/>
        </w:rPr>
        <w:t>(1)</w:t>
      </w:r>
      <w:r w:rsidRPr="00627B64">
        <w:rPr>
          <w:rFonts w:eastAsia="Times New Roman"/>
          <w:color w:val="1F1F1F"/>
          <w:sz w:val="27"/>
          <w:szCs w:val="27"/>
        </w:rPr>
        <w:t> maintain records of the case in a manner that will inform successor counsel of all significant developments relevant to the case; and</w:t>
      </w:r>
    </w:p>
    <w:p w14:paraId="7AE12A4A"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color w:val="1F1F1F"/>
          <w:sz w:val="27"/>
          <w:szCs w:val="27"/>
          <w:bdr w:val="none" w:sz="0" w:space="0" w:color="auto" w:frame="1"/>
        </w:rPr>
        <w:t>(2)</w:t>
      </w:r>
      <w:r w:rsidRPr="00627B64">
        <w:rPr>
          <w:rFonts w:eastAsia="Times New Roman"/>
          <w:color w:val="1F1F1F"/>
          <w:sz w:val="27"/>
          <w:szCs w:val="27"/>
        </w:rPr>
        <w:t> make available to successor counsel the client's complete records and files, as well as all information regarding every aspect of the representation.</w:t>
      </w:r>
    </w:p>
    <w:p w14:paraId="2B20483A"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b/>
          <w:bCs/>
          <w:color w:val="1F1F1F"/>
          <w:sz w:val="27"/>
          <w:szCs w:val="27"/>
          <w:bdr w:val="none" w:sz="0" w:space="0" w:color="auto" w:frame="1"/>
        </w:rPr>
        <w:t>(e) Duty of Successor Counsel to Collect the File in a Capital Case.</w:t>
      </w:r>
      <w:r w:rsidRPr="00627B64">
        <w:rPr>
          <w:rFonts w:eastAsia="Times New Roman"/>
          <w:color w:val="1F1F1F"/>
          <w:sz w:val="27"/>
          <w:szCs w:val="27"/>
        </w:rPr>
        <w:t xml:space="preserve"> Immediately upon undertaking representation of a defendant in a capital case in which the </w:t>
      </w:r>
      <w:r w:rsidRPr="00627B64">
        <w:rPr>
          <w:rFonts w:eastAsia="Times New Roman"/>
          <w:color w:val="1F1F1F"/>
          <w:sz w:val="27"/>
          <w:szCs w:val="27"/>
        </w:rPr>
        <w:lastRenderedPageBreak/>
        <w:t>defendant was previously represented by counsel, defense counsel must collect the complete file from prior counsel and maintain the records and files in a manner that complies with (d).</w:t>
      </w:r>
    </w:p>
    <w:p w14:paraId="107FAFEA"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b/>
          <w:bCs/>
          <w:color w:val="1F1F1F"/>
          <w:sz w:val="27"/>
          <w:szCs w:val="27"/>
          <w:bdr w:val="none" w:sz="0" w:space="0" w:color="auto" w:frame="1"/>
        </w:rPr>
        <w:t>(v) Victims' Rights.</w:t>
      </w:r>
    </w:p>
    <w:p w14:paraId="0D8C6B7E"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color w:val="1F1F1F"/>
          <w:sz w:val="27"/>
          <w:szCs w:val="27"/>
          <w:bdr w:val="none" w:sz="0" w:space="0" w:color="auto" w:frame="1"/>
        </w:rPr>
        <w:t>(1)</w:t>
      </w:r>
      <w:r w:rsidRPr="00627B64">
        <w:rPr>
          <w:rFonts w:eastAsia="Times New Roman"/>
          <w:color w:val="1F1F1F"/>
          <w:sz w:val="27"/>
          <w:szCs w:val="27"/>
        </w:rPr>
        <w:t> </w:t>
      </w:r>
      <w:r w:rsidRPr="00627B64">
        <w:rPr>
          <w:rFonts w:eastAsia="Times New Roman"/>
          <w:i/>
          <w:iCs/>
          <w:color w:val="1F1F1F"/>
          <w:sz w:val="27"/>
          <w:szCs w:val="27"/>
          <w:bdr w:val="none" w:sz="0" w:space="0" w:color="auto" w:frame="1"/>
        </w:rPr>
        <w:t>Court Consideration of the Victim's Rights Under (c).</w:t>
      </w:r>
      <w:r w:rsidRPr="00627B64">
        <w:rPr>
          <w:rFonts w:eastAsia="Times New Roman"/>
          <w:color w:val="1F1F1F"/>
          <w:sz w:val="27"/>
          <w:szCs w:val="27"/>
        </w:rPr>
        <w:t> If a motion to withdraw under (c) could result in a continuance of the trial date, the court in deciding the motion must consider the victim's right to a speedy disposition.</w:t>
      </w:r>
    </w:p>
    <w:p w14:paraId="5F047F30" w14:textId="77777777" w:rsidR="00627B64" w:rsidRPr="00627B64" w:rsidRDefault="00627B64" w:rsidP="00627B64">
      <w:pPr>
        <w:shd w:val="clear" w:color="auto" w:fill="FFFFFF"/>
        <w:rPr>
          <w:rFonts w:eastAsia="Times New Roman"/>
          <w:color w:val="1F1F1F"/>
          <w:sz w:val="27"/>
          <w:szCs w:val="27"/>
        </w:rPr>
      </w:pPr>
      <w:r w:rsidRPr="00627B64">
        <w:rPr>
          <w:rFonts w:eastAsia="Times New Roman"/>
          <w:color w:val="1F1F1F"/>
          <w:sz w:val="27"/>
          <w:szCs w:val="27"/>
          <w:bdr w:val="none" w:sz="0" w:space="0" w:color="auto" w:frame="1"/>
        </w:rPr>
        <w:t>(2)</w:t>
      </w:r>
      <w:r w:rsidRPr="00627B64">
        <w:rPr>
          <w:rFonts w:eastAsia="Times New Roman"/>
          <w:color w:val="1F1F1F"/>
          <w:sz w:val="27"/>
          <w:szCs w:val="27"/>
        </w:rPr>
        <w:t> </w:t>
      </w:r>
      <w:r w:rsidRPr="00627B64">
        <w:rPr>
          <w:rFonts w:eastAsia="Times New Roman"/>
          <w:i/>
          <w:iCs/>
          <w:color w:val="1F1F1F"/>
          <w:sz w:val="27"/>
          <w:szCs w:val="27"/>
          <w:bdr w:val="none" w:sz="0" w:space="0" w:color="auto" w:frame="1"/>
        </w:rPr>
        <w:t>Appearance and Withdrawal of the Victim's Attorney.</w:t>
      </w:r>
      <w:r w:rsidRPr="00627B64">
        <w:rPr>
          <w:rFonts w:eastAsia="Times New Roman"/>
          <w:color w:val="1F1F1F"/>
          <w:sz w:val="27"/>
          <w:szCs w:val="27"/>
        </w:rPr>
        <w:t> Before representing a victim in a criminal proceeding, a victim's attorney must file a notice of appearance. Unless the court orders otherwise, a victim's attorney may file a notice of withdrawal at any time.</w:t>
      </w:r>
    </w:p>
    <w:p w14:paraId="4A903A0A" w14:textId="77777777" w:rsidR="00627B64" w:rsidRPr="00627B64" w:rsidRDefault="00627B64" w:rsidP="00627B64">
      <w:pPr>
        <w:rPr>
          <w:rFonts w:eastAsia="Times New Roman"/>
          <w:sz w:val="28"/>
          <w:szCs w:val="28"/>
        </w:rPr>
      </w:pPr>
    </w:p>
    <w:p w14:paraId="1A0F772A" w14:textId="4E6C4AC9" w:rsidR="003066D3" w:rsidRDefault="0031507F">
      <w:r>
        <w:t>c</w:t>
      </w:r>
    </w:p>
    <w:sectPr w:rsidR="003066D3">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9791F" w14:textId="77777777" w:rsidR="00AF76A8" w:rsidRDefault="00AF76A8">
      <w:r>
        <w:separator/>
      </w:r>
    </w:p>
  </w:endnote>
  <w:endnote w:type="continuationSeparator" w:id="0">
    <w:p w14:paraId="3EC32E1D" w14:textId="77777777" w:rsidR="00AF76A8" w:rsidRDefault="00AF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3805B" w14:textId="77777777" w:rsidR="00BB7768" w:rsidRDefault="00292F51" w:rsidP="0098439D">
    <w:pPr>
      <w:pBdr>
        <w:top w:val="nil"/>
        <w:left w:val="nil"/>
        <w:bottom w:val="nil"/>
        <w:right w:val="nil"/>
        <w:between w:val="nil"/>
      </w:pBdr>
      <w:tabs>
        <w:tab w:val="center" w:pos="4680"/>
        <w:tab w:val="right" w:pos="936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4</w:t>
    </w:r>
    <w:r>
      <w:rPr>
        <w:color w:val="000000"/>
        <w:sz w:val="28"/>
        <w:szCs w:val="28"/>
      </w:rPr>
      <w:fldChar w:fldCharType="end"/>
    </w:r>
  </w:p>
  <w:p w14:paraId="125FEC91" w14:textId="77777777" w:rsidR="00BB7768" w:rsidRDefault="00AF76A8" w:rsidP="009843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B3EB1" w14:textId="77777777" w:rsidR="00AF76A8" w:rsidRDefault="00AF76A8">
      <w:r>
        <w:separator/>
      </w:r>
    </w:p>
  </w:footnote>
  <w:footnote w:type="continuationSeparator" w:id="0">
    <w:p w14:paraId="3B9EB118" w14:textId="77777777" w:rsidR="00AF76A8" w:rsidRDefault="00AF7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64"/>
    <w:rsid w:val="001A4961"/>
    <w:rsid w:val="001B754E"/>
    <w:rsid w:val="00292F51"/>
    <w:rsid w:val="0031507F"/>
    <w:rsid w:val="004112CA"/>
    <w:rsid w:val="005D02CA"/>
    <w:rsid w:val="0061603E"/>
    <w:rsid w:val="00627B64"/>
    <w:rsid w:val="00691C4B"/>
    <w:rsid w:val="00AF76A8"/>
    <w:rsid w:val="00BB2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EA08"/>
  <w15:chartTrackingRefBased/>
  <w15:docId w15:val="{BB5ABF79-79FF-4BF0-B787-B5CAC6E8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2674</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Heade</dc:creator>
  <cp:keywords/>
  <dc:description/>
  <cp:lastModifiedBy>Kevin Heade</cp:lastModifiedBy>
  <cp:revision>2</cp:revision>
  <cp:lastPrinted>2026-01-08T21:36:00Z</cp:lastPrinted>
  <dcterms:created xsi:type="dcterms:W3CDTF">2026-01-09T00:33:00Z</dcterms:created>
  <dcterms:modified xsi:type="dcterms:W3CDTF">2026-01-09T00:33:00Z</dcterms:modified>
</cp:coreProperties>
</file>