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0A8AF038"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06A25F8B" w:rsidR="00E931EE" w:rsidRPr="005F6F54" w:rsidRDefault="009D06F0" w:rsidP="00E931EE">
      <w:pPr>
        <w:jc w:val="both"/>
        <w:rPr>
          <w:rFonts w:ascii="Century Schoolbook" w:hAnsi="Century Schoolbook"/>
          <w:color w:val="212121"/>
          <w:lang w:val="en"/>
        </w:rPr>
      </w:pPr>
      <w:hyperlink r:id="rId7" w:history="1">
        <w:r w:rsidRPr="00E31F8D">
          <w:rPr>
            <w:rStyle w:val="Hyperlink"/>
            <w:rFonts w:ascii="Century Schoolbook" w:hAnsi="Century Schoolbook"/>
            <w:lang w:val="en"/>
          </w:rPr>
          <w:t>datascoe@courts.az.gov</w:t>
        </w:r>
      </w:hyperlink>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43B495EE" w14:textId="354762E5" w:rsidR="009D06F0" w:rsidRPr="009D06F0" w:rsidRDefault="001451DE" w:rsidP="009D06F0">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r w:rsidR="009D06F0">
        <w:rPr>
          <w:rFonts w:ascii="Century Schoolbook" w:hAnsi="Century Schoolbook"/>
          <w:color w:val="000000"/>
          <w:sz w:val="26"/>
          <w:szCs w:val="26"/>
        </w:rPr>
        <w:tab/>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009D06F0">
        <w:rPr>
          <w:rFonts w:ascii="Century Schoolbook" w:hAnsi="Century Schoolbook"/>
          <w:color w:val="000000"/>
          <w:sz w:val="26"/>
          <w:szCs w:val="26"/>
        </w:rPr>
        <w:t>2</w:t>
      </w:r>
      <w:r w:rsidR="00423FEC">
        <w:rPr>
          <w:rFonts w:ascii="Century Schoolbook" w:hAnsi="Century Schoolbook"/>
          <w:color w:val="000000"/>
          <w:sz w:val="26"/>
          <w:szCs w:val="26"/>
        </w:rPr>
        <w:t>3</w:t>
      </w:r>
      <w:r w:rsidR="009D06F0">
        <w:rPr>
          <w:rFonts w:ascii="Century Schoolbook" w:hAnsi="Century Schoolbook"/>
          <w:color w:val="000000"/>
          <w:sz w:val="26"/>
          <w:szCs w:val="26"/>
        </w:rPr>
        <w:t>-00</w:t>
      </w:r>
      <w:r w:rsidR="00423FEC">
        <w:rPr>
          <w:rFonts w:ascii="Century Schoolbook" w:hAnsi="Century Schoolbook"/>
          <w:color w:val="000000"/>
          <w:sz w:val="26"/>
          <w:szCs w:val="26"/>
        </w:rPr>
        <w:t>0</w:t>
      </w:r>
      <w:r w:rsidR="004505ED">
        <w:rPr>
          <w:rFonts w:ascii="Century Schoolbook" w:hAnsi="Century Schoolbook"/>
          <w:color w:val="000000"/>
          <w:sz w:val="26"/>
          <w:szCs w:val="26"/>
        </w:rPr>
        <w:t>8</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9D06F0">
        <w:rPr>
          <w:rFonts w:ascii="Century Schoolbook" w:hAnsi="Century Schoolbook"/>
          <w:color w:val="000000"/>
          <w:sz w:val="26"/>
          <w:szCs w:val="26"/>
        </w:rPr>
        <w:t xml:space="preserve">) </w:t>
      </w:r>
    </w:p>
    <w:p w14:paraId="68EDCE60" w14:textId="441CA5D1"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PETITION TO</w:t>
      </w:r>
      <w:r w:rsidR="003A7C81">
        <w:rPr>
          <w:rFonts w:ascii="Century Schoolbook" w:hAnsi="Century Schoolbook"/>
          <w:color w:val="000000"/>
          <w:sz w:val="26"/>
          <w:szCs w:val="26"/>
        </w:rPr>
        <w:t xml:space="preserve"> AMEND RULES</w:t>
      </w:r>
      <w:r w:rsidR="004505ED" w:rsidRPr="004505ED">
        <w:rPr>
          <w:rFonts w:ascii="Century Schoolbook" w:hAnsi="Century Schoolbook"/>
          <w:color w:val="000000"/>
          <w:sz w:val="26"/>
          <w:szCs w:val="26"/>
        </w:rPr>
        <w:tab/>
      </w:r>
      <w:r w:rsidRPr="004505ED">
        <w:rPr>
          <w:rFonts w:ascii="Century Schoolbook" w:hAnsi="Century Schoolbook"/>
          <w:color w:val="000000"/>
          <w:sz w:val="26"/>
          <w:szCs w:val="26"/>
        </w:rPr>
        <w:t>)</w:t>
      </w:r>
    </w:p>
    <w:p w14:paraId="3E1E5101" w14:textId="0633CA7A" w:rsidR="009D06F0" w:rsidRPr="004505ED" w:rsidRDefault="00423FEC"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 xml:space="preserve">91(h) AND 92(c), </w:t>
      </w:r>
      <w:r w:rsidR="009D06F0" w:rsidRPr="004505ED">
        <w:rPr>
          <w:rFonts w:ascii="Century Schoolbook" w:hAnsi="Century Schoolbook"/>
          <w:color w:val="000000"/>
          <w:sz w:val="26"/>
          <w:szCs w:val="26"/>
        </w:rPr>
        <w:tab/>
        <w:t>)</w:t>
      </w:r>
    </w:p>
    <w:p w14:paraId="3AEFF1E3" w14:textId="71282F5A" w:rsidR="009D06F0" w:rsidRPr="004505ED" w:rsidRDefault="003A7C81"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ARIZONA RULES OF FAMILY</w:t>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r>
      <w:r w:rsidR="00F225CD">
        <w:rPr>
          <w:rFonts w:ascii="Century Schoolbook" w:hAnsi="Century Schoolbook"/>
          <w:color w:val="000000"/>
          <w:sz w:val="26"/>
          <w:szCs w:val="26"/>
        </w:rPr>
        <w:t xml:space="preserve">REPLY IN SUPPORT OF </w:t>
      </w:r>
    </w:p>
    <w:p w14:paraId="67F4E336" w14:textId="36B59CD6" w:rsidR="009D06F0" w:rsidRPr="004505ED" w:rsidRDefault="003A7C81"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LAW PROCEDURE</w:t>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r>
      <w:r w:rsidR="005D277B">
        <w:rPr>
          <w:rFonts w:ascii="Century Schoolbook" w:hAnsi="Century Schoolbook"/>
          <w:color w:val="000000"/>
          <w:sz w:val="26"/>
          <w:szCs w:val="26"/>
        </w:rPr>
        <w:t>COFC</w:t>
      </w:r>
      <w:r w:rsidR="00F225CD">
        <w:rPr>
          <w:rFonts w:ascii="Century Schoolbook" w:hAnsi="Century Schoolbook"/>
          <w:color w:val="000000"/>
          <w:sz w:val="26"/>
          <w:szCs w:val="26"/>
        </w:rPr>
        <w:t xml:space="preserve">’s ALTERNATIVE </w:t>
      </w:r>
    </w:p>
    <w:p w14:paraId="2BB8F633" w14:textId="34065B17"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ab/>
        <w:t>)</w:t>
      </w:r>
      <w:r w:rsidR="00F225CD">
        <w:rPr>
          <w:rFonts w:ascii="Century Schoolbook" w:hAnsi="Century Schoolbook"/>
          <w:color w:val="000000"/>
          <w:sz w:val="26"/>
          <w:szCs w:val="26"/>
        </w:rPr>
        <w:tab/>
        <w:t>PROPOSAL</w:t>
      </w:r>
    </w:p>
    <w:p w14:paraId="667BA89B" w14:textId="292328BD" w:rsidR="001451DE" w:rsidRDefault="00BC1957" w:rsidP="00BC1957">
      <w:pPr>
        <w:widowControl w:val="0"/>
        <w:autoSpaceDE w:val="0"/>
        <w:autoSpaceDN w:val="0"/>
        <w:adjustRightInd w:val="0"/>
        <w:rPr>
          <w:rFonts w:ascii="Century Schoolbook" w:hAnsi="Century Schoolbook"/>
          <w:color w:val="000000"/>
          <w:sz w:val="26"/>
          <w:szCs w:val="26"/>
        </w:rPr>
      </w:pPr>
      <w:r w:rsidRPr="004505ED">
        <w:rPr>
          <w:rFonts w:ascii="Century Schoolbook" w:hAnsi="Century Schoolbook"/>
          <w:color w:val="000000"/>
          <w:sz w:val="26"/>
          <w:szCs w:val="26"/>
        </w:rPr>
        <w:t>______________________________</w:t>
      </w:r>
      <w:r w:rsidR="00A7057A" w:rsidRPr="004505ED">
        <w:rPr>
          <w:rFonts w:ascii="Century Schoolbook" w:hAnsi="Century Schoolbook"/>
          <w:color w:val="000000"/>
          <w:sz w:val="26"/>
          <w:szCs w:val="26"/>
        </w:rPr>
        <w:tab/>
      </w:r>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4140CB37" w14:textId="77777777" w:rsidR="004505ED" w:rsidRDefault="004505ED" w:rsidP="00BC1957">
      <w:pPr>
        <w:widowControl w:val="0"/>
        <w:autoSpaceDE w:val="0"/>
        <w:autoSpaceDN w:val="0"/>
        <w:adjustRightInd w:val="0"/>
        <w:rPr>
          <w:rFonts w:ascii="Century Schoolbook" w:hAnsi="Century Schoolbook"/>
          <w:color w:val="000000"/>
          <w:sz w:val="26"/>
          <w:szCs w:val="26"/>
        </w:rPr>
      </w:pPr>
    </w:p>
    <w:p w14:paraId="522C75E6" w14:textId="1F181734" w:rsidR="00F225CD" w:rsidRDefault="00F225CD" w:rsidP="00E931EE">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Consistent with this Court’s August 26, 2025 Order Circulating Alternative Proposal for Public Comment, the </w:t>
      </w:r>
      <w:r w:rsidRPr="005F6F54">
        <w:rPr>
          <w:rFonts w:ascii="Century Schoolbook" w:hAnsi="Century Schoolbook"/>
          <w:sz w:val="26"/>
          <w:szCs w:val="26"/>
        </w:rPr>
        <w:t>Committee on Family Court (“COFC”)</w:t>
      </w:r>
      <w:r>
        <w:rPr>
          <w:rFonts w:ascii="Century Schoolbook" w:hAnsi="Century Schoolbook"/>
          <w:sz w:val="26"/>
          <w:szCs w:val="26"/>
        </w:rPr>
        <w:t xml:space="preserve"> files this Reply and request</w:t>
      </w:r>
      <w:r w:rsidR="00C747E3">
        <w:rPr>
          <w:rFonts w:ascii="Century Schoolbook" w:hAnsi="Century Schoolbook"/>
          <w:sz w:val="26"/>
          <w:szCs w:val="26"/>
        </w:rPr>
        <w:t>s</w:t>
      </w:r>
      <w:r>
        <w:rPr>
          <w:rFonts w:ascii="Century Schoolbook" w:hAnsi="Century Schoolbook"/>
          <w:sz w:val="26"/>
          <w:szCs w:val="26"/>
        </w:rPr>
        <w:t xml:space="preserve"> that the Court adopt COFC’s alternative proposal.</w:t>
      </w:r>
    </w:p>
    <w:p w14:paraId="31D4B9EE" w14:textId="0D551A76" w:rsidR="00F225CD" w:rsidRDefault="00F225CD" w:rsidP="00E931EE">
      <w:pPr>
        <w:spacing w:line="480" w:lineRule="auto"/>
        <w:ind w:left="144"/>
        <w:jc w:val="both"/>
        <w:rPr>
          <w:rFonts w:ascii="Century Schoolbook" w:hAnsi="Century Schoolbook"/>
          <w:sz w:val="26"/>
          <w:szCs w:val="26"/>
        </w:rPr>
      </w:pPr>
      <w:r>
        <w:rPr>
          <w:rFonts w:ascii="Century Schoolbook" w:hAnsi="Century Schoolbook"/>
          <w:sz w:val="26"/>
          <w:szCs w:val="26"/>
        </w:rPr>
        <w:tab/>
        <w:t>In response to COFC’s alternative proposal, the State Bar filed the only Comment. The State Bar takes the position that, with a stylistic change only, the</w:t>
      </w:r>
      <w:r w:rsidR="00DB5ABA">
        <w:rPr>
          <w:rFonts w:ascii="Century Schoolbook" w:hAnsi="Century Schoolbook"/>
          <w:sz w:val="26"/>
          <w:szCs w:val="26"/>
        </w:rPr>
        <w:t xml:space="preserve"> Court should adopt the</w:t>
      </w:r>
      <w:r>
        <w:rPr>
          <w:rFonts w:ascii="Century Schoolbook" w:hAnsi="Century Schoolbook"/>
          <w:sz w:val="26"/>
          <w:szCs w:val="26"/>
        </w:rPr>
        <w:t xml:space="preserve"> original proposal by former Maricopa County Superior Court Family Court Presiding Judge Bruce R. Cohen. The State Bar objects to COFC’s alternative proposal as the alternative “add[s] an additional hearing (increasing time and cost to the litigants), rather than the specific cure proposed by Judge Cohen to ensure timely service of the petition to </w:t>
      </w:r>
      <w:r>
        <w:rPr>
          <w:rFonts w:ascii="Century Schoolbook" w:hAnsi="Century Schoolbook"/>
          <w:sz w:val="26"/>
          <w:szCs w:val="26"/>
        </w:rPr>
        <w:lastRenderedPageBreak/>
        <w:t>modify or enforce the underlying judgment upon the opposing party.” State Bar Comment, p. 2.</w:t>
      </w:r>
    </w:p>
    <w:p w14:paraId="6D49C253" w14:textId="04585474" w:rsidR="00F225CD" w:rsidRDefault="00F225CD" w:rsidP="00E931EE">
      <w:pPr>
        <w:spacing w:line="480" w:lineRule="auto"/>
        <w:ind w:left="144"/>
        <w:jc w:val="both"/>
        <w:rPr>
          <w:rFonts w:ascii="Century Schoolbook" w:hAnsi="Century Schoolbook"/>
          <w:sz w:val="26"/>
          <w:szCs w:val="26"/>
        </w:rPr>
      </w:pPr>
      <w:r>
        <w:rPr>
          <w:rFonts w:ascii="Century Schoolbook" w:hAnsi="Century Schoolbook"/>
          <w:sz w:val="26"/>
          <w:szCs w:val="26"/>
        </w:rPr>
        <w:tab/>
        <w:t>Judge Cohen’s original petition sought to address a problem—namely, the num</w:t>
      </w:r>
      <w:r w:rsidR="005D0EEF">
        <w:rPr>
          <w:rFonts w:ascii="Century Schoolbook" w:hAnsi="Century Schoolbook"/>
          <w:sz w:val="26"/>
          <w:szCs w:val="26"/>
        </w:rPr>
        <w:t>ber of first schedul</w:t>
      </w:r>
      <w:r w:rsidR="00DB5ABA">
        <w:rPr>
          <w:rFonts w:ascii="Century Schoolbook" w:hAnsi="Century Schoolbook"/>
          <w:sz w:val="26"/>
          <w:szCs w:val="26"/>
        </w:rPr>
        <w:t>ed</w:t>
      </w:r>
      <w:r w:rsidR="005D0EEF">
        <w:rPr>
          <w:rFonts w:ascii="Century Schoolbook" w:hAnsi="Century Schoolbook"/>
          <w:sz w:val="26"/>
          <w:szCs w:val="26"/>
        </w:rPr>
        <w:t xml:space="preserve"> post-decree hearing dates that do not proceed as scheduled and court calendar congestion. Petition, p. 2-3. </w:t>
      </w:r>
      <w:r w:rsidR="00DB5ABA">
        <w:rPr>
          <w:rFonts w:ascii="Century Schoolbook" w:hAnsi="Century Schoolbook"/>
          <w:sz w:val="26"/>
          <w:szCs w:val="26"/>
        </w:rPr>
        <w:t xml:space="preserve">He estimated that occurred in up to 50% of scheduled proceedings. </w:t>
      </w:r>
      <w:r w:rsidR="00DB5ABA" w:rsidRPr="00DB5ABA">
        <w:rPr>
          <w:rFonts w:ascii="Century Schoolbook" w:hAnsi="Century Schoolbook"/>
          <w:i/>
          <w:iCs/>
          <w:sz w:val="26"/>
          <w:szCs w:val="26"/>
        </w:rPr>
        <w:t>Id.</w:t>
      </w:r>
      <w:r w:rsidR="00DB5ABA">
        <w:rPr>
          <w:rFonts w:ascii="Century Schoolbook" w:hAnsi="Century Schoolbook"/>
          <w:sz w:val="26"/>
          <w:szCs w:val="26"/>
        </w:rPr>
        <w:t xml:space="preserve">, p. 3. Judge Cohen </w:t>
      </w:r>
      <w:r w:rsidR="005D0EEF">
        <w:rPr>
          <w:rFonts w:ascii="Century Schoolbook" w:hAnsi="Century Schoolbook"/>
          <w:sz w:val="26"/>
          <w:szCs w:val="26"/>
        </w:rPr>
        <w:t xml:space="preserve">sought to maintain the goal of reducing “the points of contact a litigant would be required to make with the court before a hearing.” </w:t>
      </w:r>
      <w:r w:rsidR="00DB5ABA" w:rsidRPr="00DB5ABA">
        <w:rPr>
          <w:rFonts w:ascii="Century Schoolbook" w:hAnsi="Century Schoolbook"/>
          <w:i/>
          <w:iCs/>
          <w:sz w:val="26"/>
          <w:szCs w:val="26"/>
        </w:rPr>
        <w:t>Id.,</w:t>
      </w:r>
      <w:r w:rsidR="00DB5ABA">
        <w:rPr>
          <w:rFonts w:ascii="Century Schoolbook" w:hAnsi="Century Schoolbook"/>
          <w:sz w:val="26"/>
          <w:szCs w:val="26"/>
        </w:rPr>
        <w:t xml:space="preserve"> </w:t>
      </w:r>
      <w:r w:rsidR="005D0EEF">
        <w:rPr>
          <w:rFonts w:ascii="Century Schoolbook" w:hAnsi="Century Schoolbook"/>
          <w:sz w:val="26"/>
          <w:szCs w:val="26"/>
        </w:rPr>
        <w:t>p. 2.</w:t>
      </w:r>
    </w:p>
    <w:p w14:paraId="3712B474" w14:textId="4F6347CA" w:rsidR="005D0EEF" w:rsidRDefault="005D0EEF" w:rsidP="00E931EE">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COFC’s alternative proposal does create another calendar event for the family court and the parties. However, considering the realities of the family court in 2025, COFC believes the </w:t>
      </w:r>
      <w:r w:rsidR="00DB5ABA">
        <w:rPr>
          <w:rFonts w:ascii="Century Schoolbook" w:hAnsi="Century Schoolbook"/>
          <w:sz w:val="26"/>
          <w:szCs w:val="26"/>
        </w:rPr>
        <w:t xml:space="preserve">brief, virtual </w:t>
      </w:r>
      <w:r>
        <w:rPr>
          <w:rFonts w:ascii="Century Schoolbook" w:hAnsi="Century Schoolbook"/>
          <w:sz w:val="26"/>
          <w:szCs w:val="26"/>
        </w:rPr>
        <w:t>return hearing is the preferred approach.</w:t>
      </w:r>
    </w:p>
    <w:p w14:paraId="067E24DC" w14:textId="1C19F9DD" w:rsidR="00F225CD" w:rsidRDefault="005D0EEF" w:rsidP="00E931EE">
      <w:pPr>
        <w:spacing w:line="480" w:lineRule="auto"/>
        <w:ind w:left="144"/>
        <w:jc w:val="both"/>
        <w:rPr>
          <w:rFonts w:ascii="Century Schoolbook" w:hAnsi="Century Schoolbook"/>
          <w:sz w:val="26"/>
          <w:szCs w:val="26"/>
        </w:rPr>
      </w:pPr>
      <w:r>
        <w:rPr>
          <w:rFonts w:ascii="Century Schoolbook" w:hAnsi="Century Schoolbook"/>
          <w:sz w:val="26"/>
          <w:szCs w:val="26"/>
        </w:rPr>
        <w:tab/>
        <w:t>Data analysis in Maricopa County show</w:t>
      </w:r>
      <w:r w:rsidR="00DB5ABA">
        <w:rPr>
          <w:rFonts w:ascii="Century Schoolbook" w:hAnsi="Century Schoolbook"/>
          <w:sz w:val="26"/>
          <w:szCs w:val="26"/>
        </w:rPr>
        <w:t>s</w:t>
      </w:r>
      <w:r>
        <w:rPr>
          <w:rFonts w:ascii="Century Schoolbook" w:hAnsi="Century Schoolbook"/>
          <w:sz w:val="26"/>
          <w:szCs w:val="26"/>
        </w:rPr>
        <w:t xml:space="preserve"> that in 37%-40% of cases, </w:t>
      </w:r>
      <w:r w:rsidR="00DB5ABA">
        <w:rPr>
          <w:rFonts w:ascii="Century Schoolbook" w:hAnsi="Century Schoolbook"/>
          <w:sz w:val="26"/>
          <w:szCs w:val="26"/>
        </w:rPr>
        <w:t xml:space="preserve">the moving party had not effectuated </w:t>
      </w:r>
      <w:r>
        <w:rPr>
          <w:rFonts w:ascii="Century Schoolbook" w:hAnsi="Century Schoolbook"/>
          <w:sz w:val="26"/>
          <w:szCs w:val="26"/>
        </w:rPr>
        <w:t xml:space="preserve">service </w:t>
      </w:r>
      <w:r w:rsidR="00DB5ABA">
        <w:rPr>
          <w:rFonts w:ascii="Century Schoolbook" w:hAnsi="Century Schoolbook"/>
          <w:sz w:val="26"/>
          <w:szCs w:val="26"/>
        </w:rPr>
        <w:t>in a timely manner b</w:t>
      </w:r>
      <w:r>
        <w:rPr>
          <w:rFonts w:ascii="Century Schoolbook" w:hAnsi="Century Schoolbook"/>
          <w:sz w:val="26"/>
          <w:szCs w:val="26"/>
        </w:rPr>
        <w:t>efore the first schedul</w:t>
      </w:r>
      <w:r w:rsidR="00DB5ABA">
        <w:rPr>
          <w:rFonts w:ascii="Century Schoolbook" w:hAnsi="Century Schoolbook"/>
          <w:sz w:val="26"/>
          <w:szCs w:val="26"/>
        </w:rPr>
        <w:t>ed</w:t>
      </w:r>
      <w:r>
        <w:rPr>
          <w:rFonts w:ascii="Century Schoolbook" w:hAnsi="Century Schoolbook"/>
          <w:sz w:val="26"/>
          <w:szCs w:val="26"/>
        </w:rPr>
        <w:t xml:space="preserve"> post-decree hearing. In addition, self-represented </w:t>
      </w:r>
      <w:r w:rsidR="00DB5ABA">
        <w:rPr>
          <w:rFonts w:ascii="Century Schoolbook" w:hAnsi="Century Schoolbook"/>
          <w:sz w:val="26"/>
          <w:szCs w:val="26"/>
        </w:rPr>
        <w:t>litigants</w:t>
      </w:r>
      <w:r>
        <w:rPr>
          <w:rFonts w:ascii="Century Schoolbook" w:hAnsi="Century Schoolbook"/>
          <w:sz w:val="26"/>
          <w:szCs w:val="26"/>
        </w:rPr>
        <w:t xml:space="preserve"> file the majority of post-decree petitions, and many of those parties generally struggle with service efforts.</w:t>
      </w:r>
    </w:p>
    <w:p w14:paraId="56A91E2B" w14:textId="4E309FF0" w:rsidR="005D0EEF" w:rsidRDefault="005D0EEF" w:rsidP="00E931EE">
      <w:pPr>
        <w:spacing w:line="480" w:lineRule="auto"/>
        <w:ind w:left="144"/>
        <w:jc w:val="both"/>
        <w:rPr>
          <w:rFonts w:ascii="Century Schoolbook" w:hAnsi="Century Schoolbook"/>
          <w:sz w:val="26"/>
          <w:szCs w:val="26"/>
        </w:rPr>
      </w:pPr>
      <w:r>
        <w:rPr>
          <w:rFonts w:ascii="Century Schoolbook" w:hAnsi="Century Schoolbook"/>
          <w:sz w:val="26"/>
          <w:szCs w:val="26"/>
        </w:rPr>
        <w:tab/>
        <w:t>COFC’s alternative proposal was based, in part, upon the practice in Pinal County where they set return hearings, and the</w:t>
      </w:r>
      <w:r w:rsidR="00DB5ABA">
        <w:rPr>
          <w:rFonts w:ascii="Century Schoolbook" w:hAnsi="Century Schoolbook"/>
          <w:sz w:val="26"/>
          <w:szCs w:val="26"/>
        </w:rPr>
        <w:t>ir</w:t>
      </w:r>
      <w:r>
        <w:rPr>
          <w:rFonts w:ascii="Century Schoolbook" w:hAnsi="Century Schoolbook"/>
          <w:sz w:val="26"/>
          <w:szCs w:val="26"/>
        </w:rPr>
        <w:t xml:space="preserve"> practice has met with widespread support.</w:t>
      </w:r>
    </w:p>
    <w:p w14:paraId="34307042" w14:textId="3A74AA35" w:rsidR="00611D4B" w:rsidRDefault="005D0EEF" w:rsidP="00611D4B">
      <w:pPr>
        <w:spacing w:line="480" w:lineRule="auto"/>
        <w:ind w:left="144"/>
        <w:jc w:val="both"/>
        <w:rPr>
          <w:rFonts w:ascii="Century Schoolbook" w:hAnsi="Century Schoolbook"/>
          <w:sz w:val="26"/>
          <w:szCs w:val="26"/>
        </w:rPr>
      </w:pPr>
      <w:r>
        <w:rPr>
          <w:rFonts w:ascii="Century Schoolbook" w:hAnsi="Century Schoolbook"/>
          <w:sz w:val="26"/>
          <w:szCs w:val="26"/>
        </w:rPr>
        <w:lastRenderedPageBreak/>
        <w:tab/>
        <w:t xml:space="preserve">Additionally, Maricopa County has been running two pilot programs with return hearings—one for IV-D child support hearings and one for parenting time enforcement (single-issue) petitions. </w:t>
      </w:r>
      <w:r w:rsidR="00611D4B">
        <w:rPr>
          <w:rFonts w:ascii="Century Schoolbook" w:hAnsi="Century Schoolbook"/>
          <w:sz w:val="26"/>
          <w:szCs w:val="26"/>
        </w:rPr>
        <w:t xml:space="preserve">They are scheduled as 10-minute virtual hearings to </w:t>
      </w:r>
      <w:r w:rsidR="00611D4B" w:rsidRPr="005D0EEF">
        <w:rPr>
          <w:rFonts w:ascii="Century Schoolbook" w:hAnsi="Century Schoolbook"/>
          <w:sz w:val="26"/>
          <w:szCs w:val="26"/>
        </w:rPr>
        <w:t>confirm service</w:t>
      </w:r>
      <w:r w:rsidR="00611D4B">
        <w:rPr>
          <w:rFonts w:ascii="Century Schoolbook" w:hAnsi="Century Schoolbook"/>
          <w:sz w:val="26"/>
          <w:szCs w:val="26"/>
        </w:rPr>
        <w:t>. Maricopa County conducts up to 70 return hearings per week</w:t>
      </w:r>
      <w:r w:rsidR="00A71DA4">
        <w:rPr>
          <w:rFonts w:ascii="Century Schoolbook" w:hAnsi="Century Schoolbook"/>
          <w:sz w:val="26"/>
          <w:szCs w:val="26"/>
        </w:rPr>
        <w:t>, and for the IV-D pilot program, it has conducted over 900 return hearings</w:t>
      </w:r>
      <w:r w:rsidR="00611D4B">
        <w:rPr>
          <w:rFonts w:ascii="Century Schoolbook" w:hAnsi="Century Schoolbook"/>
          <w:sz w:val="26"/>
          <w:szCs w:val="26"/>
        </w:rPr>
        <w:t xml:space="preserve">. </w:t>
      </w:r>
      <w:r>
        <w:rPr>
          <w:rFonts w:ascii="Century Schoolbook" w:hAnsi="Century Schoolbook"/>
          <w:sz w:val="26"/>
          <w:szCs w:val="26"/>
        </w:rPr>
        <w:t xml:space="preserve">Maricopa County has found the return hearings </w:t>
      </w:r>
      <w:r w:rsidR="00611D4B">
        <w:rPr>
          <w:rFonts w:ascii="Century Schoolbook" w:hAnsi="Century Schoolbook"/>
          <w:sz w:val="26"/>
          <w:szCs w:val="26"/>
        </w:rPr>
        <w:t xml:space="preserve">to be customer-friendly and </w:t>
      </w:r>
      <w:r>
        <w:rPr>
          <w:rFonts w:ascii="Century Schoolbook" w:hAnsi="Century Schoolbook"/>
          <w:sz w:val="26"/>
          <w:szCs w:val="26"/>
        </w:rPr>
        <w:t>very effective.</w:t>
      </w:r>
      <w:r w:rsidR="00611D4B">
        <w:rPr>
          <w:rFonts w:ascii="Century Schoolbook" w:hAnsi="Century Schoolbook"/>
          <w:sz w:val="26"/>
          <w:szCs w:val="26"/>
        </w:rPr>
        <w:t xml:space="preserve">  The following are some benefits of the return hearings:</w:t>
      </w:r>
    </w:p>
    <w:p w14:paraId="4B3549A1" w14:textId="77777777" w:rsidR="00611D4B" w:rsidRDefault="00611D4B" w:rsidP="00611D4B">
      <w:pPr>
        <w:pStyle w:val="ListParagraph"/>
        <w:numPr>
          <w:ilvl w:val="0"/>
          <w:numId w:val="16"/>
        </w:numPr>
        <w:spacing w:line="480" w:lineRule="auto"/>
        <w:jc w:val="both"/>
        <w:rPr>
          <w:rFonts w:ascii="Century Schoolbook" w:hAnsi="Century Schoolbook"/>
          <w:sz w:val="26"/>
          <w:szCs w:val="26"/>
        </w:rPr>
      </w:pPr>
      <w:r w:rsidRPr="00611D4B">
        <w:rPr>
          <w:rFonts w:ascii="Century Schoolbook" w:hAnsi="Century Schoolbook"/>
          <w:sz w:val="26"/>
          <w:szCs w:val="26"/>
        </w:rPr>
        <w:t>Self-represented litigants have appreciated the virtual hearings as they allow parties to appear during a work break</w:t>
      </w:r>
      <w:r>
        <w:rPr>
          <w:rFonts w:ascii="Century Schoolbook" w:hAnsi="Century Schoolbook"/>
          <w:sz w:val="26"/>
          <w:szCs w:val="26"/>
        </w:rPr>
        <w:t>,</w:t>
      </w:r>
      <w:r w:rsidRPr="00611D4B">
        <w:rPr>
          <w:rFonts w:ascii="Century Schoolbook" w:hAnsi="Century Schoolbook"/>
          <w:sz w:val="26"/>
          <w:szCs w:val="26"/>
        </w:rPr>
        <w:t xml:space="preserve"> and </w:t>
      </w:r>
      <w:r>
        <w:rPr>
          <w:rFonts w:ascii="Century Schoolbook" w:hAnsi="Century Schoolbook"/>
          <w:sz w:val="26"/>
          <w:szCs w:val="26"/>
        </w:rPr>
        <w:t xml:space="preserve">they do </w:t>
      </w:r>
      <w:r w:rsidRPr="00611D4B">
        <w:rPr>
          <w:rFonts w:ascii="Century Schoolbook" w:hAnsi="Century Schoolbook"/>
          <w:sz w:val="26"/>
          <w:szCs w:val="26"/>
        </w:rPr>
        <w:t xml:space="preserve">not need to take time off work. </w:t>
      </w:r>
    </w:p>
    <w:p w14:paraId="5208CC89" w14:textId="651C5AA6" w:rsidR="00611D4B" w:rsidRDefault="00611D4B" w:rsidP="00611D4B">
      <w:pPr>
        <w:pStyle w:val="ListParagraph"/>
        <w:numPr>
          <w:ilvl w:val="0"/>
          <w:numId w:val="16"/>
        </w:numPr>
        <w:spacing w:line="480" w:lineRule="auto"/>
        <w:jc w:val="both"/>
        <w:rPr>
          <w:rFonts w:ascii="Century Schoolbook" w:hAnsi="Century Schoolbook"/>
          <w:sz w:val="26"/>
          <w:szCs w:val="26"/>
        </w:rPr>
      </w:pPr>
      <w:r w:rsidRPr="00611D4B">
        <w:rPr>
          <w:rFonts w:ascii="Century Schoolbook" w:hAnsi="Century Schoolbook"/>
          <w:sz w:val="26"/>
          <w:szCs w:val="26"/>
        </w:rPr>
        <w:t>During the return hearing, the family court can schedule necessary c</w:t>
      </w:r>
      <w:r w:rsidR="005D0EEF" w:rsidRPr="00611D4B">
        <w:rPr>
          <w:rFonts w:ascii="Century Schoolbook" w:hAnsi="Century Schoolbook"/>
          <w:sz w:val="26"/>
          <w:szCs w:val="26"/>
        </w:rPr>
        <w:t>onferences</w:t>
      </w:r>
      <w:r w:rsidRPr="00611D4B">
        <w:rPr>
          <w:rFonts w:ascii="Century Schoolbook" w:hAnsi="Century Schoolbook"/>
          <w:sz w:val="26"/>
          <w:szCs w:val="26"/>
        </w:rPr>
        <w:t xml:space="preserve"> or </w:t>
      </w:r>
      <w:r w:rsidR="005D0EEF" w:rsidRPr="00611D4B">
        <w:rPr>
          <w:rFonts w:ascii="Century Schoolbook" w:hAnsi="Century Schoolbook"/>
          <w:sz w:val="26"/>
          <w:szCs w:val="26"/>
        </w:rPr>
        <w:t>hearings</w:t>
      </w:r>
      <w:r w:rsidRPr="00611D4B">
        <w:rPr>
          <w:rFonts w:ascii="Century Schoolbook" w:hAnsi="Century Schoolbook"/>
          <w:sz w:val="26"/>
          <w:szCs w:val="26"/>
        </w:rPr>
        <w:t xml:space="preserve"> and get input from the parties as to </w:t>
      </w:r>
      <w:r w:rsidR="00DB5ABA">
        <w:rPr>
          <w:rFonts w:ascii="Century Schoolbook" w:hAnsi="Century Schoolbook"/>
          <w:sz w:val="26"/>
          <w:szCs w:val="26"/>
        </w:rPr>
        <w:t xml:space="preserve">their </w:t>
      </w:r>
      <w:r w:rsidRPr="00611D4B">
        <w:rPr>
          <w:rFonts w:ascii="Century Schoolbook" w:hAnsi="Century Schoolbook"/>
          <w:sz w:val="26"/>
          <w:szCs w:val="26"/>
        </w:rPr>
        <w:t xml:space="preserve">availability while they have access to their calendars. Parties have appreciated the ability to give input on scheduling to avoid calendar conflicts. </w:t>
      </w:r>
    </w:p>
    <w:p w14:paraId="0939984D" w14:textId="766F4648" w:rsidR="00611D4B" w:rsidRDefault="00611D4B" w:rsidP="00611D4B">
      <w:pPr>
        <w:pStyle w:val="ListParagraph"/>
        <w:numPr>
          <w:ilvl w:val="0"/>
          <w:numId w:val="16"/>
        </w:numPr>
        <w:spacing w:line="480" w:lineRule="auto"/>
        <w:jc w:val="both"/>
        <w:rPr>
          <w:rFonts w:ascii="Century Schoolbook" w:hAnsi="Century Schoolbook"/>
          <w:sz w:val="26"/>
          <w:szCs w:val="26"/>
        </w:rPr>
      </w:pPr>
      <w:r w:rsidRPr="00611D4B">
        <w:rPr>
          <w:rFonts w:ascii="Century Schoolbook" w:hAnsi="Century Schoolbook"/>
          <w:sz w:val="26"/>
          <w:szCs w:val="26"/>
        </w:rPr>
        <w:t xml:space="preserve">The return hearings also allow the family court to </w:t>
      </w:r>
      <w:r w:rsidR="005D0EEF" w:rsidRPr="00611D4B">
        <w:rPr>
          <w:rFonts w:ascii="Century Schoolbook" w:hAnsi="Century Schoolbook"/>
          <w:sz w:val="26"/>
          <w:szCs w:val="26"/>
        </w:rPr>
        <w:t xml:space="preserve">provide </w:t>
      </w:r>
      <w:r>
        <w:rPr>
          <w:rFonts w:ascii="Century Schoolbook" w:hAnsi="Century Schoolbook"/>
          <w:sz w:val="26"/>
          <w:szCs w:val="26"/>
        </w:rPr>
        <w:t xml:space="preserve">self-represented litigants with </w:t>
      </w:r>
      <w:r w:rsidR="005D0EEF" w:rsidRPr="00611D4B">
        <w:rPr>
          <w:rFonts w:ascii="Century Schoolbook" w:hAnsi="Century Schoolbook"/>
          <w:sz w:val="26"/>
          <w:szCs w:val="26"/>
        </w:rPr>
        <w:t>appropriate legal information</w:t>
      </w:r>
      <w:r>
        <w:rPr>
          <w:rFonts w:ascii="Century Schoolbook" w:hAnsi="Century Schoolbook"/>
          <w:sz w:val="26"/>
          <w:szCs w:val="26"/>
        </w:rPr>
        <w:t xml:space="preserve"> including service of process resources</w:t>
      </w:r>
      <w:r w:rsidRPr="00611D4B">
        <w:rPr>
          <w:rFonts w:ascii="Century Schoolbook" w:hAnsi="Century Schoolbook"/>
          <w:sz w:val="26"/>
          <w:szCs w:val="26"/>
        </w:rPr>
        <w:t xml:space="preserve">. </w:t>
      </w:r>
    </w:p>
    <w:p w14:paraId="37B6AAB0" w14:textId="287C3C97" w:rsidR="00611D4B" w:rsidRDefault="00611D4B" w:rsidP="00611D4B">
      <w:pPr>
        <w:pStyle w:val="ListParagraph"/>
        <w:numPr>
          <w:ilvl w:val="0"/>
          <w:numId w:val="16"/>
        </w:numPr>
        <w:spacing w:line="480" w:lineRule="auto"/>
        <w:jc w:val="both"/>
        <w:rPr>
          <w:rFonts w:ascii="Century Schoolbook" w:hAnsi="Century Schoolbook"/>
          <w:sz w:val="26"/>
          <w:szCs w:val="26"/>
        </w:rPr>
      </w:pPr>
      <w:r>
        <w:rPr>
          <w:rFonts w:ascii="Century Schoolbook" w:hAnsi="Century Schoolbook"/>
          <w:sz w:val="26"/>
          <w:szCs w:val="26"/>
        </w:rPr>
        <w:lastRenderedPageBreak/>
        <w:t>The return hearings</w:t>
      </w:r>
      <w:r w:rsidRPr="00611D4B">
        <w:rPr>
          <w:rFonts w:ascii="Century Schoolbook" w:hAnsi="Century Schoolbook"/>
          <w:sz w:val="26"/>
          <w:szCs w:val="26"/>
        </w:rPr>
        <w:t xml:space="preserve"> also </w:t>
      </w:r>
      <w:r w:rsidR="005D0EEF" w:rsidRPr="00611D4B">
        <w:rPr>
          <w:rFonts w:ascii="Century Schoolbook" w:hAnsi="Century Schoolbook"/>
          <w:sz w:val="26"/>
          <w:szCs w:val="26"/>
        </w:rPr>
        <w:t xml:space="preserve">allow </w:t>
      </w:r>
      <w:r w:rsidRPr="00611D4B">
        <w:rPr>
          <w:rFonts w:ascii="Century Schoolbook" w:hAnsi="Century Schoolbook"/>
          <w:sz w:val="26"/>
          <w:szCs w:val="26"/>
        </w:rPr>
        <w:t xml:space="preserve">the judicial officer </w:t>
      </w:r>
      <w:r w:rsidR="005D0EEF" w:rsidRPr="00611D4B">
        <w:rPr>
          <w:rFonts w:ascii="Century Schoolbook" w:hAnsi="Century Schoolbook"/>
          <w:sz w:val="26"/>
          <w:szCs w:val="26"/>
        </w:rPr>
        <w:t xml:space="preserve">to triage </w:t>
      </w:r>
      <w:r w:rsidRPr="00611D4B">
        <w:rPr>
          <w:rFonts w:ascii="Century Schoolbook" w:hAnsi="Century Schoolbook"/>
          <w:sz w:val="26"/>
          <w:szCs w:val="26"/>
        </w:rPr>
        <w:t>the case</w:t>
      </w:r>
      <w:r>
        <w:rPr>
          <w:rFonts w:ascii="Century Schoolbook" w:hAnsi="Century Schoolbook"/>
          <w:sz w:val="26"/>
          <w:szCs w:val="26"/>
        </w:rPr>
        <w:t>s</w:t>
      </w:r>
      <w:r w:rsidRPr="00611D4B">
        <w:rPr>
          <w:rFonts w:ascii="Century Schoolbook" w:hAnsi="Century Schoolbook"/>
          <w:sz w:val="26"/>
          <w:szCs w:val="26"/>
        </w:rPr>
        <w:t xml:space="preserve">. Benefits of triage include identifying whether a wrong petition has been filed, if the parties have otherwise resolved the issues, and </w:t>
      </w:r>
      <w:r w:rsidR="00A71DA4">
        <w:rPr>
          <w:rFonts w:ascii="Century Schoolbook" w:hAnsi="Century Schoolbook"/>
          <w:sz w:val="26"/>
          <w:szCs w:val="26"/>
        </w:rPr>
        <w:t xml:space="preserve">if there are </w:t>
      </w:r>
      <w:r w:rsidRPr="00611D4B">
        <w:rPr>
          <w:rFonts w:ascii="Century Schoolbook" w:hAnsi="Century Schoolbook"/>
          <w:sz w:val="26"/>
          <w:szCs w:val="26"/>
        </w:rPr>
        <w:t xml:space="preserve">additional issues, such as allegations of domestic violence, which may require additional time at a scheduled conference or hearing. </w:t>
      </w:r>
    </w:p>
    <w:p w14:paraId="7BC54878" w14:textId="75E5CF4D" w:rsidR="00A71DA4" w:rsidRPr="00611D4B" w:rsidRDefault="00A71DA4" w:rsidP="00611D4B">
      <w:pPr>
        <w:pStyle w:val="ListParagraph"/>
        <w:numPr>
          <w:ilvl w:val="0"/>
          <w:numId w:val="16"/>
        </w:numPr>
        <w:spacing w:line="480" w:lineRule="auto"/>
        <w:jc w:val="both"/>
        <w:rPr>
          <w:rFonts w:ascii="Century Schoolbook" w:hAnsi="Century Schoolbook"/>
          <w:sz w:val="26"/>
          <w:szCs w:val="26"/>
        </w:rPr>
      </w:pPr>
      <w:r>
        <w:rPr>
          <w:rFonts w:ascii="Century Schoolbook" w:hAnsi="Century Schoolbook"/>
          <w:sz w:val="26"/>
          <w:szCs w:val="26"/>
        </w:rPr>
        <w:t>Lawyers who have participated in the hearings do not object once they grasp that the brief hearing is just about logistics and not about argument and evidence.</w:t>
      </w:r>
    </w:p>
    <w:p w14:paraId="4040EC9C" w14:textId="184AC984" w:rsidR="00C747E3" w:rsidRDefault="00C747E3" w:rsidP="00C747E3">
      <w:pPr>
        <w:spacing w:line="480" w:lineRule="auto"/>
        <w:ind w:firstLine="720"/>
        <w:jc w:val="both"/>
        <w:rPr>
          <w:rFonts w:ascii="Century Schoolbook" w:hAnsi="Century Schoolbook"/>
          <w:sz w:val="26"/>
          <w:szCs w:val="26"/>
        </w:rPr>
      </w:pPr>
      <w:r>
        <w:rPr>
          <w:rFonts w:ascii="Century Schoolbook" w:hAnsi="Century Schoolbook"/>
          <w:sz w:val="26"/>
          <w:szCs w:val="26"/>
        </w:rPr>
        <w:t>Considering the State Bar’s Comment and the pilot program experience in Maricopa County, COFC would support a rebranding of a “return hearing” as an “initial conference” if the Court desires. If so, the modified alternative proposal as to Rules 76.2, 91, and 92 can be found below. In all other respects, COFC respectfully requests that the Court adopt COFC’s alternative proposal.</w:t>
      </w:r>
    </w:p>
    <w:p w14:paraId="3572DD14" w14:textId="77777777" w:rsidR="00C8593D" w:rsidRDefault="00C8593D" w:rsidP="00C8593D">
      <w:pPr>
        <w:spacing w:line="360" w:lineRule="auto"/>
        <w:jc w:val="both"/>
        <w:rPr>
          <w:rFonts w:ascii="Century Schoolbook" w:hAnsi="Century Schoolbook"/>
          <w:sz w:val="26"/>
          <w:szCs w:val="26"/>
        </w:rPr>
      </w:pPr>
    </w:p>
    <w:p w14:paraId="167AC115" w14:textId="7DCCD0CA"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sz w:val="26"/>
          <w:szCs w:val="26"/>
        </w:rPr>
        <w:t>Rule 76.2. Sanctions for Failure to Participate in a Court Proceeding</w:t>
      </w:r>
    </w:p>
    <w:p w14:paraId="7E4E06F6" w14:textId="5B07B5D6"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b/>
          <w:bCs/>
          <w:sz w:val="26"/>
          <w:szCs w:val="26"/>
        </w:rPr>
        <w:t>(a) Grounds for Imposing Sanctions.</w:t>
      </w:r>
      <w:r w:rsidRPr="00D70161">
        <w:rPr>
          <w:rFonts w:ascii="Century Schoolbook" w:hAnsi="Century Schoolbook"/>
          <w:sz w:val="26"/>
          <w:szCs w:val="26"/>
        </w:rPr>
        <w:t> In a pre-judgment or post-judgment proceeding, the court upon motion or its own initiative may impose sanctions if a party or attorney:</w:t>
      </w:r>
    </w:p>
    <w:p w14:paraId="126DFE63" w14:textId="77777777"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sz w:val="26"/>
          <w:szCs w:val="26"/>
        </w:rPr>
        <w:t>(1) fails to obey a scheduling or pretrial order;</w:t>
      </w:r>
    </w:p>
    <w:p w14:paraId="20C4C88D" w14:textId="7236ABD0"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sz w:val="26"/>
          <w:szCs w:val="26"/>
        </w:rPr>
        <w:lastRenderedPageBreak/>
        <w:t xml:space="preserve">(2) fails to appear at </w:t>
      </w:r>
      <w:r w:rsidR="00C747E3">
        <w:rPr>
          <w:rFonts w:ascii="Century Schoolbook" w:hAnsi="Century Schoolbook"/>
          <w:sz w:val="26"/>
          <w:szCs w:val="26"/>
          <w:u w:val="single"/>
        </w:rPr>
        <w:t>an Initial Conference</w:t>
      </w:r>
      <w:r w:rsidRPr="00F844D8">
        <w:rPr>
          <w:rFonts w:ascii="Century Schoolbook" w:hAnsi="Century Schoolbook"/>
          <w:sz w:val="26"/>
          <w:szCs w:val="26"/>
          <w:u w:val="single"/>
        </w:rPr>
        <w:t>, a</w:t>
      </w:r>
      <w:r>
        <w:rPr>
          <w:rFonts w:ascii="Century Schoolbook" w:hAnsi="Century Schoolbook"/>
          <w:sz w:val="26"/>
          <w:szCs w:val="26"/>
        </w:rPr>
        <w:t xml:space="preserve"> </w:t>
      </w:r>
      <w:r w:rsidRPr="00D70161">
        <w:rPr>
          <w:rFonts w:ascii="Century Schoolbook" w:hAnsi="Century Schoolbook"/>
          <w:sz w:val="26"/>
          <w:szCs w:val="26"/>
        </w:rPr>
        <w:t>Resolution Management Conference, a scheduling conference, an evidentiary hearing, a trial, or other scheduled hearing;</w:t>
      </w:r>
    </w:p>
    <w:p w14:paraId="3F3B9BC2" w14:textId="77777777" w:rsidR="00C747E3" w:rsidRPr="00C747E3" w:rsidRDefault="005D277B" w:rsidP="00C8593D">
      <w:pPr>
        <w:spacing w:line="360" w:lineRule="auto"/>
        <w:jc w:val="both"/>
        <w:rPr>
          <w:rFonts w:ascii="Century Schoolbook" w:hAnsi="Century Schoolbook"/>
          <w:b/>
          <w:bCs/>
          <w:sz w:val="26"/>
          <w:szCs w:val="26"/>
        </w:rPr>
      </w:pPr>
      <w:r w:rsidRPr="00C747E3">
        <w:rPr>
          <w:rFonts w:ascii="Century Schoolbook" w:hAnsi="Century Schoolbook"/>
          <w:b/>
          <w:bCs/>
          <w:sz w:val="26"/>
          <w:szCs w:val="26"/>
        </w:rPr>
        <w:t>(3)</w:t>
      </w:r>
      <w:r w:rsidR="00C747E3" w:rsidRPr="00C747E3">
        <w:rPr>
          <w:rFonts w:ascii="Century Schoolbook" w:hAnsi="Century Schoolbook"/>
          <w:b/>
          <w:bCs/>
          <w:sz w:val="26"/>
          <w:szCs w:val="26"/>
        </w:rPr>
        <w:t xml:space="preserve"> – (4) no changes </w:t>
      </w:r>
    </w:p>
    <w:p w14:paraId="52CBBE27" w14:textId="77777777" w:rsidR="005D277B" w:rsidRDefault="005D277B" w:rsidP="00C8593D">
      <w:pPr>
        <w:spacing w:line="360" w:lineRule="auto"/>
        <w:jc w:val="both"/>
        <w:rPr>
          <w:rFonts w:ascii="Century Schoolbook" w:hAnsi="Century Schoolbook"/>
          <w:sz w:val="26"/>
          <w:szCs w:val="26"/>
        </w:rPr>
      </w:pPr>
      <w:r w:rsidRPr="00D70161">
        <w:rPr>
          <w:rFonts w:ascii="Century Schoolbook" w:hAnsi="Century Schoolbook"/>
          <w:b/>
          <w:bCs/>
          <w:sz w:val="26"/>
          <w:szCs w:val="26"/>
        </w:rPr>
        <w:t>(</w:t>
      </w:r>
      <w:r>
        <w:rPr>
          <w:rFonts w:ascii="Century Schoolbook" w:hAnsi="Century Schoolbook"/>
          <w:b/>
          <w:bCs/>
          <w:sz w:val="26"/>
          <w:szCs w:val="26"/>
        </w:rPr>
        <w:t>b</w:t>
      </w:r>
      <w:r w:rsidRPr="00D70161">
        <w:rPr>
          <w:rFonts w:ascii="Century Schoolbook" w:hAnsi="Century Schoolbook"/>
          <w:b/>
          <w:bCs/>
          <w:sz w:val="26"/>
          <w:szCs w:val="26"/>
        </w:rPr>
        <w:t>)</w:t>
      </w:r>
      <w:r>
        <w:rPr>
          <w:rFonts w:ascii="Century Schoolbook" w:hAnsi="Century Schoolbook"/>
          <w:b/>
          <w:bCs/>
          <w:sz w:val="26"/>
          <w:szCs w:val="26"/>
        </w:rPr>
        <w:t>-(c) No changes</w:t>
      </w:r>
    </w:p>
    <w:p w14:paraId="5731DD7E" w14:textId="77777777" w:rsidR="005D277B" w:rsidRDefault="005D277B" w:rsidP="00C8593D">
      <w:pPr>
        <w:spacing w:line="360" w:lineRule="auto"/>
        <w:jc w:val="both"/>
        <w:rPr>
          <w:rFonts w:ascii="Century Schoolbook" w:hAnsi="Century Schoolbook"/>
          <w:sz w:val="26"/>
          <w:szCs w:val="26"/>
        </w:rPr>
      </w:pPr>
    </w:p>
    <w:p w14:paraId="6D4ABB00" w14:textId="2F0B05AA" w:rsidR="005D277B"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Rule 91. Modification or Enforcement of Judgment</w:t>
      </w:r>
    </w:p>
    <w:p w14:paraId="66F4F139"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(a) </w:t>
      </w:r>
      <w:r>
        <w:rPr>
          <w:rFonts w:ascii="Century Schoolbook" w:hAnsi="Century Schoolbook"/>
          <w:b/>
          <w:bCs/>
          <w:sz w:val="26"/>
          <w:szCs w:val="26"/>
        </w:rPr>
        <w:t>– (h)</w:t>
      </w:r>
      <w:r>
        <w:rPr>
          <w:rFonts w:ascii="Century Schoolbook" w:hAnsi="Century Schoolbook"/>
          <w:b/>
          <w:bCs/>
          <w:sz w:val="26"/>
          <w:szCs w:val="26"/>
        </w:rPr>
        <w:tab/>
        <w:t>No changes</w:t>
      </w:r>
    </w:p>
    <w:p w14:paraId="5DD70C38"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(i) Initial Review of Petitions.</w:t>
      </w:r>
    </w:p>
    <w:p w14:paraId="1DFCAB7E" w14:textId="0FA296F4"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(1) </w:t>
      </w:r>
      <w:r w:rsidRPr="009151FC">
        <w:rPr>
          <w:rFonts w:ascii="Century Schoolbook" w:hAnsi="Century Schoolbook"/>
          <w:i/>
          <w:iCs/>
          <w:sz w:val="26"/>
          <w:szCs w:val="26"/>
        </w:rPr>
        <w:t>Setting a Conference or Hearing or Rejecting a Petition.</w:t>
      </w:r>
      <w:r w:rsidRPr="009151FC">
        <w:rPr>
          <w:rFonts w:ascii="Century Schoolbook" w:hAnsi="Century Schoolbook"/>
          <w:sz w:val="26"/>
          <w:szCs w:val="26"/>
        </w:rPr>
        <w:t xml:space="preserve"> Upon receipt of the petition and proposed Order to Appear, the court must review the petition and (a) reject the petition for failure to state grounds upon which relief can be granted, or (b) issue the Order to Appear. If the court rejects the petition, the court must provide the applicant with an explanation of the deficiency and provide an opportunity to correct the deficiency within 30 days after the date of the rejection notice. In deciding whether to reject a petition, the court cannot assess credibility or weigh evidence. If the court issues the Order to Appear, it must set </w:t>
      </w:r>
      <w:r w:rsidRPr="00C747E3">
        <w:rPr>
          <w:rFonts w:ascii="Century Schoolbook" w:hAnsi="Century Schoolbook"/>
          <w:sz w:val="26"/>
          <w:szCs w:val="26"/>
          <w:u w:val="single"/>
        </w:rPr>
        <w:t>a</w:t>
      </w:r>
      <w:r w:rsidR="00C747E3">
        <w:rPr>
          <w:rFonts w:ascii="Century Schoolbook" w:hAnsi="Century Schoolbook"/>
          <w:sz w:val="26"/>
          <w:szCs w:val="26"/>
          <w:u w:val="single"/>
        </w:rPr>
        <w:t>n initial conference</w:t>
      </w:r>
      <w:r>
        <w:rPr>
          <w:rFonts w:ascii="Century Schoolbook" w:hAnsi="Century Schoolbook"/>
          <w:sz w:val="26"/>
          <w:szCs w:val="26"/>
          <w:u w:val="single"/>
        </w:rPr>
        <w:t xml:space="preserve">, </w:t>
      </w:r>
      <w:r w:rsidRPr="009151FC">
        <w:rPr>
          <w:rFonts w:ascii="Century Schoolbook" w:hAnsi="Century Schoolbook"/>
          <w:sz w:val="26"/>
          <w:szCs w:val="26"/>
        </w:rPr>
        <w:t>resolution management conference</w:t>
      </w:r>
      <w:r>
        <w:rPr>
          <w:rFonts w:ascii="Century Schoolbook" w:hAnsi="Century Schoolbook"/>
          <w:sz w:val="26"/>
          <w:szCs w:val="26"/>
          <w:u w:val="single"/>
        </w:rPr>
        <w:t>,</w:t>
      </w:r>
      <w:r w:rsidRPr="009151FC">
        <w:rPr>
          <w:rFonts w:ascii="Century Schoolbook" w:hAnsi="Century Schoolbook"/>
          <w:sz w:val="26"/>
          <w:szCs w:val="26"/>
        </w:rPr>
        <w:t xml:space="preserve"> or evidentiary hearing, as appropriate. No evidence may be taken at </w:t>
      </w:r>
      <w:r w:rsidRPr="00C747E3">
        <w:rPr>
          <w:rFonts w:ascii="Century Schoolbook" w:hAnsi="Century Schoolbook"/>
          <w:sz w:val="26"/>
          <w:szCs w:val="26"/>
          <w:u w:val="single"/>
        </w:rPr>
        <w:t>a</w:t>
      </w:r>
      <w:r w:rsidR="00C747E3" w:rsidRPr="00C747E3">
        <w:rPr>
          <w:rFonts w:ascii="Century Schoolbook" w:hAnsi="Century Schoolbook"/>
          <w:sz w:val="26"/>
          <w:szCs w:val="26"/>
          <w:u w:val="single"/>
        </w:rPr>
        <w:t>n initial conference</w:t>
      </w:r>
      <w:r w:rsidRPr="00C747E3">
        <w:rPr>
          <w:rFonts w:ascii="Century Schoolbook" w:hAnsi="Century Schoolbook"/>
          <w:sz w:val="26"/>
          <w:szCs w:val="26"/>
          <w:u w:val="single"/>
        </w:rPr>
        <w:t xml:space="preserve"> </w:t>
      </w:r>
      <w:r>
        <w:rPr>
          <w:rFonts w:ascii="Century Schoolbook" w:hAnsi="Century Schoolbook"/>
          <w:sz w:val="26"/>
          <w:szCs w:val="26"/>
          <w:u w:val="single"/>
        </w:rPr>
        <w:t xml:space="preserve">or </w:t>
      </w:r>
      <w:r w:rsidRPr="009151FC">
        <w:rPr>
          <w:rFonts w:ascii="Century Schoolbook" w:hAnsi="Century Schoolbook"/>
          <w:sz w:val="26"/>
          <w:szCs w:val="26"/>
        </w:rPr>
        <w:t>resolution management conference except under emergency circumstances.</w:t>
      </w:r>
    </w:p>
    <w:p w14:paraId="014BD0E0"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(2) – (3)  No change</w:t>
      </w:r>
    </w:p>
    <w:p w14:paraId="5498DB85" w14:textId="0738FE99" w:rsidR="005D277B" w:rsidRPr="009151FC" w:rsidRDefault="005D277B" w:rsidP="00C8593D">
      <w:pPr>
        <w:spacing w:line="360" w:lineRule="auto"/>
        <w:jc w:val="both"/>
        <w:rPr>
          <w:rFonts w:ascii="Century Schoolbook" w:hAnsi="Century Schoolbook"/>
          <w:sz w:val="26"/>
          <w:szCs w:val="26"/>
          <w:u w:val="single"/>
        </w:rPr>
      </w:pPr>
      <w:r w:rsidRPr="009151FC">
        <w:rPr>
          <w:rFonts w:ascii="Century Schoolbook" w:hAnsi="Century Schoolbook"/>
          <w:sz w:val="26"/>
          <w:szCs w:val="26"/>
          <w:u w:val="single"/>
        </w:rPr>
        <w:t xml:space="preserve">(4) </w:t>
      </w:r>
      <w:bookmarkStart w:id="0" w:name="_Hlk196830994"/>
      <w:r w:rsidRPr="009151FC">
        <w:rPr>
          <w:rFonts w:ascii="Century Schoolbook" w:hAnsi="Century Schoolbook"/>
          <w:i/>
          <w:iCs/>
          <w:sz w:val="26"/>
          <w:szCs w:val="26"/>
          <w:u w:val="single"/>
        </w:rPr>
        <w:t xml:space="preserve">Scope of </w:t>
      </w:r>
      <w:r w:rsidR="00C747E3">
        <w:rPr>
          <w:rFonts w:ascii="Century Schoolbook" w:hAnsi="Century Schoolbook"/>
          <w:i/>
          <w:iCs/>
          <w:sz w:val="26"/>
          <w:szCs w:val="26"/>
          <w:u w:val="single"/>
        </w:rPr>
        <w:t>Initial Conference</w:t>
      </w:r>
      <w:r w:rsidRPr="009151FC">
        <w:rPr>
          <w:rFonts w:ascii="Century Schoolbook" w:hAnsi="Century Schoolbook"/>
          <w:sz w:val="26"/>
          <w:szCs w:val="26"/>
          <w:u w:val="single"/>
        </w:rPr>
        <w:t xml:space="preserve">. At </w:t>
      </w:r>
      <w:r>
        <w:rPr>
          <w:rFonts w:ascii="Century Schoolbook" w:hAnsi="Century Schoolbook"/>
          <w:sz w:val="26"/>
          <w:szCs w:val="26"/>
          <w:u w:val="single"/>
        </w:rPr>
        <w:t>a</w:t>
      </w:r>
      <w:r w:rsidR="00C747E3">
        <w:rPr>
          <w:rFonts w:ascii="Century Schoolbook" w:hAnsi="Century Schoolbook"/>
          <w:sz w:val="26"/>
          <w:szCs w:val="26"/>
          <w:u w:val="single"/>
        </w:rPr>
        <w:t>n initial conference</w:t>
      </w:r>
      <w:r w:rsidRPr="009151FC">
        <w:rPr>
          <w:rFonts w:ascii="Century Schoolbook" w:hAnsi="Century Schoolbook"/>
          <w:sz w:val="26"/>
          <w:szCs w:val="26"/>
          <w:u w:val="single"/>
        </w:rPr>
        <w:t xml:space="preserve">, the court </w:t>
      </w:r>
      <w:bookmarkStart w:id="1" w:name="_Hlk197070809"/>
      <w:r w:rsidRPr="009151FC">
        <w:rPr>
          <w:rFonts w:ascii="Century Schoolbook" w:hAnsi="Century Schoolbook"/>
          <w:sz w:val="26"/>
          <w:szCs w:val="26"/>
          <w:u w:val="single"/>
        </w:rPr>
        <w:t xml:space="preserve">may inquire as to whether service has been effectuated, </w:t>
      </w:r>
      <w:r>
        <w:rPr>
          <w:rFonts w:ascii="Century Schoolbook" w:hAnsi="Century Schoolbook"/>
          <w:sz w:val="26"/>
          <w:szCs w:val="26"/>
          <w:u w:val="single"/>
        </w:rPr>
        <w:t xml:space="preserve">and in the court’s discretion, schedule a resolution management conference or evidentiary hearing, order the parties to meet and confer, or order dismissal under Rule 91(k), if </w:t>
      </w:r>
      <w:r>
        <w:rPr>
          <w:rFonts w:ascii="Century Schoolbook" w:hAnsi="Century Schoolbook"/>
          <w:sz w:val="26"/>
          <w:szCs w:val="26"/>
          <w:u w:val="single"/>
        </w:rPr>
        <w:lastRenderedPageBreak/>
        <w:t>appropriate</w:t>
      </w:r>
      <w:r w:rsidRPr="009151FC">
        <w:rPr>
          <w:rFonts w:ascii="Century Schoolbook" w:hAnsi="Century Schoolbook"/>
          <w:sz w:val="26"/>
          <w:szCs w:val="26"/>
          <w:u w:val="single"/>
        </w:rPr>
        <w:t>.</w:t>
      </w:r>
      <w:r>
        <w:rPr>
          <w:rFonts w:ascii="Century Schoolbook" w:hAnsi="Century Schoolbook"/>
          <w:sz w:val="26"/>
          <w:szCs w:val="26"/>
          <w:u w:val="single"/>
        </w:rPr>
        <w:t xml:space="preserve"> The court may make any additional  orders that the court finds appropriate to ensure a timely resolution of the petition.</w:t>
      </w:r>
    </w:p>
    <w:bookmarkEnd w:id="0"/>
    <w:bookmarkEnd w:id="1"/>
    <w:p w14:paraId="072A555D" w14:textId="3B302BBE"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(j) Manner and Timing of Service.</w:t>
      </w:r>
      <w:r w:rsidRPr="009151FC">
        <w:rPr>
          <w:rFonts w:ascii="Century Schoolbook" w:hAnsi="Century Schoolbook"/>
          <w:sz w:val="26"/>
          <w:szCs w:val="26"/>
        </w:rPr>
        <w:t xml:space="preserve"> The applicant must serve the petition, and every order, warrant, and affidavit in support of the petition, on all other parties in the manner required under Rules 40(f)(1) or 41, as applicable. The applicant must make good faith efforts to complete service promptly and within 10 days after the receipt of the issued order to appear but must complete service in no event later than </w:t>
      </w:r>
      <w:r>
        <w:rPr>
          <w:rFonts w:ascii="Century Schoolbook" w:hAnsi="Century Schoolbook"/>
          <w:sz w:val="26"/>
          <w:szCs w:val="26"/>
          <w:u w:val="single"/>
        </w:rPr>
        <w:t>5 days before a</w:t>
      </w:r>
      <w:r w:rsidR="00C747E3">
        <w:rPr>
          <w:rFonts w:ascii="Century Schoolbook" w:hAnsi="Century Schoolbook"/>
          <w:sz w:val="26"/>
          <w:szCs w:val="26"/>
          <w:u w:val="single"/>
        </w:rPr>
        <w:t xml:space="preserve">n initial conference </w:t>
      </w:r>
      <w:r>
        <w:rPr>
          <w:rFonts w:ascii="Century Schoolbook" w:hAnsi="Century Schoolbook"/>
          <w:sz w:val="26"/>
          <w:szCs w:val="26"/>
          <w:u w:val="single"/>
        </w:rPr>
        <w:t xml:space="preserve">or </w:t>
      </w:r>
      <w:r w:rsidRPr="009151FC">
        <w:rPr>
          <w:rFonts w:ascii="Century Schoolbook" w:hAnsi="Century Schoolbook"/>
          <w:sz w:val="26"/>
          <w:szCs w:val="26"/>
        </w:rPr>
        <w:t xml:space="preserve">20 days before </w:t>
      </w:r>
      <w:r w:rsidRPr="009151FC">
        <w:rPr>
          <w:rFonts w:ascii="Century Schoolbook" w:hAnsi="Century Schoolbook"/>
          <w:strike/>
          <w:sz w:val="26"/>
          <w:szCs w:val="26"/>
        </w:rPr>
        <w:t>the</w:t>
      </w:r>
      <w:r w:rsidRPr="009151FC">
        <w:rPr>
          <w:rFonts w:ascii="Century Schoolbook" w:hAnsi="Century Schoolbook"/>
          <w:sz w:val="26"/>
          <w:szCs w:val="26"/>
        </w:rPr>
        <w:t xml:space="preserve"> </w:t>
      </w:r>
      <w:r>
        <w:rPr>
          <w:rFonts w:ascii="Century Schoolbook" w:hAnsi="Century Schoolbook"/>
          <w:sz w:val="26"/>
          <w:szCs w:val="26"/>
          <w:u w:val="single"/>
        </w:rPr>
        <w:t xml:space="preserve">a resolution management conference or evidentiary </w:t>
      </w:r>
      <w:r w:rsidRPr="009151FC">
        <w:rPr>
          <w:rFonts w:ascii="Century Schoolbook" w:hAnsi="Century Schoolbook"/>
          <w:sz w:val="26"/>
          <w:szCs w:val="26"/>
        </w:rPr>
        <w:t>hearing.</w:t>
      </w:r>
    </w:p>
    <w:p w14:paraId="7E1979C4"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(k) </w:t>
      </w:r>
      <w:r>
        <w:rPr>
          <w:rFonts w:ascii="Century Schoolbook" w:hAnsi="Century Schoolbook"/>
          <w:b/>
          <w:bCs/>
          <w:sz w:val="26"/>
          <w:szCs w:val="26"/>
        </w:rPr>
        <w:t>–</w:t>
      </w:r>
      <w:r>
        <w:rPr>
          <w:rFonts w:ascii="Century Schoolbook" w:hAnsi="Century Schoolbook"/>
          <w:b/>
          <w:bCs/>
          <w:sz w:val="26"/>
          <w:szCs w:val="26"/>
        </w:rPr>
        <w:tab/>
        <w:t xml:space="preserve">No change </w:t>
      </w:r>
    </w:p>
    <w:p w14:paraId="3261621E" w14:textId="266C34EC"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(l) Responses; Time for Response.</w:t>
      </w:r>
      <w:r w:rsidRPr="009151FC">
        <w:rPr>
          <w:rFonts w:ascii="Century Schoolbook" w:hAnsi="Century Schoolbook"/>
          <w:sz w:val="26"/>
          <w:szCs w:val="26"/>
        </w:rPr>
        <w:t xml:space="preserve"> Unless a statute or rule requires otherwise, a party served with a petition may, but is not required to, file a response to the petition. However, if a party chooses to respond or when these rules specifically require a response, the responding party must file and provide a copy of the response to the applicant or, if represented, the applicant's attorney. Unless the court orders otherwise, the response must be filed at least 3 days before the scheduled </w:t>
      </w:r>
      <w:r w:rsidR="00C747E3">
        <w:rPr>
          <w:rFonts w:ascii="Century Schoolbook" w:hAnsi="Century Schoolbook"/>
          <w:sz w:val="26"/>
          <w:szCs w:val="26"/>
          <w:u w:val="single"/>
        </w:rPr>
        <w:t xml:space="preserve">resolution management </w:t>
      </w:r>
      <w:r w:rsidRPr="009151FC">
        <w:rPr>
          <w:rFonts w:ascii="Century Schoolbook" w:hAnsi="Century Schoolbook"/>
          <w:sz w:val="26"/>
          <w:szCs w:val="26"/>
        </w:rPr>
        <w:t xml:space="preserve">conference or </w:t>
      </w:r>
      <w:r>
        <w:rPr>
          <w:rFonts w:ascii="Century Schoolbook" w:hAnsi="Century Schoolbook"/>
          <w:sz w:val="26"/>
          <w:szCs w:val="26"/>
          <w:u w:val="single"/>
        </w:rPr>
        <w:t xml:space="preserve">evidentiary </w:t>
      </w:r>
      <w:r w:rsidRPr="009151FC">
        <w:rPr>
          <w:rFonts w:ascii="Century Schoolbook" w:hAnsi="Century Schoolbook"/>
          <w:sz w:val="26"/>
          <w:szCs w:val="26"/>
        </w:rPr>
        <w:t>hearing.</w:t>
      </w:r>
    </w:p>
    <w:p w14:paraId="5CFDF3EF" w14:textId="61A64D9E"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(m) Disclosure.</w:t>
      </w:r>
      <w:r w:rsidRPr="009151FC">
        <w:rPr>
          <w:rFonts w:ascii="Century Schoolbook" w:hAnsi="Century Schoolbook"/>
          <w:sz w:val="26"/>
          <w:szCs w:val="26"/>
        </w:rPr>
        <w:t xml:space="preserve"> In any proceeding under Rule 91 or Rules 91.1 through 91.7, each party must comply with Rule 49 within the time established by the court at the </w:t>
      </w:r>
      <w:r w:rsidR="00C747E3">
        <w:rPr>
          <w:rFonts w:ascii="Century Schoolbook" w:hAnsi="Century Schoolbook"/>
          <w:sz w:val="26"/>
          <w:szCs w:val="26"/>
          <w:u w:val="single"/>
        </w:rPr>
        <w:t>initial conference</w:t>
      </w:r>
      <w:r>
        <w:rPr>
          <w:rFonts w:ascii="Century Schoolbook" w:hAnsi="Century Schoolbook"/>
          <w:sz w:val="26"/>
          <w:szCs w:val="26"/>
          <w:u w:val="single"/>
        </w:rPr>
        <w:t xml:space="preserve">, resolution management </w:t>
      </w:r>
      <w:r w:rsidRPr="009151FC">
        <w:rPr>
          <w:rFonts w:ascii="Century Schoolbook" w:hAnsi="Century Schoolbook"/>
          <w:sz w:val="26"/>
          <w:szCs w:val="26"/>
        </w:rPr>
        <w:t>conference</w:t>
      </w:r>
      <w:r>
        <w:rPr>
          <w:rFonts w:ascii="Century Schoolbook" w:hAnsi="Century Schoolbook"/>
          <w:sz w:val="26"/>
          <w:szCs w:val="26"/>
          <w:u w:val="single"/>
        </w:rPr>
        <w:t>,</w:t>
      </w:r>
      <w:r w:rsidRPr="009151FC">
        <w:rPr>
          <w:rFonts w:ascii="Century Schoolbook" w:hAnsi="Century Schoolbook"/>
          <w:sz w:val="26"/>
          <w:szCs w:val="26"/>
        </w:rPr>
        <w:t xml:space="preserve"> or </w:t>
      </w:r>
      <w:r>
        <w:rPr>
          <w:rFonts w:ascii="Century Schoolbook" w:hAnsi="Century Schoolbook"/>
          <w:sz w:val="26"/>
          <w:szCs w:val="26"/>
          <w:u w:val="single"/>
        </w:rPr>
        <w:t xml:space="preserve">evidentiary </w:t>
      </w:r>
      <w:r w:rsidRPr="009151FC">
        <w:rPr>
          <w:rFonts w:ascii="Century Schoolbook" w:hAnsi="Century Schoolbook"/>
          <w:sz w:val="26"/>
          <w:szCs w:val="26"/>
        </w:rPr>
        <w:t>hearing or as agreed by the parties.</w:t>
      </w:r>
    </w:p>
    <w:p w14:paraId="15840C44"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(n) </w:t>
      </w:r>
      <w:r>
        <w:rPr>
          <w:rFonts w:ascii="Century Schoolbook" w:hAnsi="Century Schoolbook"/>
          <w:b/>
          <w:bCs/>
          <w:sz w:val="26"/>
          <w:szCs w:val="26"/>
        </w:rPr>
        <w:t xml:space="preserve">– (p) </w:t>
      </w:r>
      <w:r>
        <w:rPr>
          <w:rFonts w:ascii="Century Schoolbook" w:hAnsi="Century Schoolbook"/>
          <w:b/>
          <w:bCs/>
          <w:sz w:val="26"/>
          <w:szCs w:val="26"/>
        </w:rPr>
        <w:tab/>
        <w:t>No changes</w:t>
      </w:r>
    </w:p>
    <w:p w14:paraId="05D74A86" w14:textId="71DFDF9C" w:rsidR="005D277B" w:rsidRDefault="005D277B" w:rsidP="00C8593D">
      <w:pPr>
        <w:spacing w:line="360" w:lineRule="auto"/>
        <w:jc w:val="both"/>
        <w:rPr>
          <w:rFonts w:ascii="Century Schoolbook" w:hAnsi="Century Schoolbook"/>
          <w:sz w:val="26"/>
          <w:szCs w:val="26"/>
        </w:rPr>
      </w:pPr>
    </w:p>
    <w:p w14:paraId="2F52A48A" w14:textId="7745EEC8"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Rule 92. Civil Contempt and Sanctions for Non-Compliance with a Court Order</w:t>
      </w:r>
    </w:p>
    <w:p w14:paraId="107EFBE8" w14:textId="53378094"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(a) </w:t>
      </w:r>
      <w:r>
        <w:rPr>
          <w:rFonts w:ascii="Century Schoolbook" w:hAnsi="Century Schoolbook"/>
          <w:b/>
          <w:bCs/>
          <w:sz w:val="26"/>
          <w:szCs w:val="26"/>
        </w:rPr>
        <w:t>– (b)</w:t>
      </w:r>
      <w:r>
        <w:rPr>
          <w:rFonts w:ascii="Century Schoolbook" w:hAnsi="Century Schoolbook"/>
          <w:b/>
          <w:bCs/>
          <w:sz w:val="26"/>
          <w:szCs w:val="26"/>
        </w:rPr>
        <w:tab/>
        <w:t>No changes</w:t>
      </w:r>
    </w:p>
    <w:p w14:paraId="7292A87A" w14:textId="0EF0F28B"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lastRenderedPageBreak/>
        <w:t>(c) Order to Appear.</w:t>
      </w:r>
      <w:r w:rsidRPr="009151FC">
        <w:rPr>
          <w:rFonts w:ascii="Century Schoolbook" w:hAnsi="Century Schoolbook"/>
          <w:sz w:val="26"/>
          <w:szCs w:val="26"/>
        </w:rPr>
        <w:t xml:space="preserve"> The order to appear must specify the date, time, and place of </w:t>
      </w:r>
      <w:r w:rsidRPr="009151FC">
        <w:rPr>
          <w:rFonts w:ascii="Century Schoolbook" w:hAnsi="Century Schoolbook"/>
          <w:strike/>
          <w:sz w:val="26"/>
          <w:szCs w:val="26"/>
        </w:rPr>
        <w:t>the</w:t>
      </w:r>
      <w:r w:rsidRPr="009151FC">
        <w:rPr>
          <w:rFonts w:ascii="Century Schoolbook" w:hAnsi="Century Schoolbook"/>
          <w:sz w:val="26"/>
          <w:szCs w:val="26"/>
        </w:rPr>
        <w:t xml:space="preserve"> </w:t>
      </w:r>
      <w:r>
        <w:rPr>
          <w:rFonts w:ascii="Century Schoolbook" w:hAnsi="Century Schoolbook"/>
          <w:sz w:val="26"/>
          <w:szCs w:val="26"/>
          <w:u w:val="single"/>
        </w:rPr>
        <w:t>a</w:t>
      </w:r>
      <w:r w:rsidR="00C747E3">
        <w:rPr>
          <w:rFonts w:ascii="Century Schoolbook" w:hAnsi="Century Schoolbook"/>
          <w:sz w:val="26"/>
          <w:szCs w:val="26"/>
          <w:u w:val="single"/>
        </w:rPr>
        <w:t xml:space="preserve">n initial conference </w:t>
      </w:r>
      <w:r>
        <w:rPr>
          <w:rFonts w:ascii="Century Schoolbook" w:hAnsi="Century Schoolbook"/>
          <w:sz w:val="26"/>
          <w:szCs w:val="26"/>
          <w:u w:val="single"/>
        </w:rPr>
        <w:t xml:space="preserve">or evidentiary </w:t>
      </w:r>
      <w:r w:rsidRPr="009151FC">
        <w:rPr>
          <w:rFonts w:ascii="Century Schoolbook" w:hAnsi="Century Schoolbook"/>
          <w:sz w:val="26"/>
          <w:szCs w:val="26"/>
        </w:rPr>
        <w:t>hearing, and must contain the following notice using substantially the following language:</w:t>
      </w:r>
    </w:p>
    <w:p w14:paraId="7F564F2C"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Failure to appear at the hearing may result in the court issuing a child support or civil warrant for your arrest. If you are arrested, you may be held in jail for up to 24 hours before you see a judge.</w:t>
      </w:r>
    </w:p>
    <w:p w14:paraId="2D2838C1" w14:textId="77777777" w:rsidR="005D277B" w:rsidRPr="005E34B2" w:rsidRDefault="005D277B" w:rsidP="00C8593D">
      <w:pPr>
        <w:spacing w:line="360" w:lineRule="auto"/>
        <w:jc w:val="both"/>
        <w:rPr>
          <w:rFonts w:ascii="Century Schoolbook" w:hAnsi="Century Schoolbook"/>
          <w:sz w:val="26"/>
          <w:szCs w:val="26"/>
          <w:u w:val="single"/>
        </w:rPr>
      </w:pPr>
      <w:r w:rsidRPr="009151FC">
        <w:rPr>
          <w:rFonts w:ascii="Century Schoolbook" w:hAnsi="Century Schoolbook"/>
          <w:b/>
          <w:bCs/>
          <w:sz w:val="26"/>
          <w:szCs w:val="26"/>
        </w:rPr>
        <w:t>(d) Hearing.</w:t>
      </w:r>
      <w:r w:rsidRPr="009151FC">
        <w:rPr>
          <w:rFonts w:ascii="Century Schoolbook" w:hAnsi="Century Schoolbook"/>
          <w:sz w:val="26"/>
          <w:szCs w:val="26"/>
        </w:rPr>
        <w:t> </w:t>
      </w:r>
      <w:r>
        <w:rPr>
          <w:rFonts w:ascii="Century Schoolbook" w:hAnsi="Century Schoolbook"/>
          <w:sz w:val="26"/>
          <w:szCs w:val="26"/>
        </w:rPr>
        <w:t xml:space="preserve"> </w:t>
      </w:r>
      <w:r w:rsidRPr="005E34B2">
        <w:rPr>
          <w:rFonts w:ascii="Century Schoolbook" w:hAnsi="Century Schoolbook"/>
          <w:sz w:val="26"/>
          <w:szCs w:val="26"/>
          <w:u w:val="single"/>
        </w:rPr>
        <w:t>The court:</w:t>
      </w:r>
    </w:p>
    <w:p w14:paraId="7B1621FF" w14:textId="091A78FD" w:rsidR="005D277B" w:rsidRPr="005E34B2" w:rsidRDefault="005D277B" w:rsidP="00C8593D">
      <w:pPr>
        <w:spacing w:line="360" w:lineRule="auto"/>
        <w:jc w:val="both"/>
        <w:rPr>
          <w:rFonts w:ascii="Century Schoolbook" w:hAnsi="Century Schoolbook"/>
          <w:sz w:val="26"/>
          <w:szCs w:val="26"/>
          <w:u w:val="single"/>
        </w:rPr>
      </w:pPr>
      <w:r w:rsidRPr="005E34B2">
        <w:rPr>
          <w:rFonts w:ascii="Century Schoolbook" w:hAnsi="Century Schoolbook"/>
          <w:sz w:val="26"/>
          <w:szCs w:val="26"/>
          <w:u w:val="single"/>
        </w:rPr>
        <w:t>(1)</w:t>
      </w:r>
      <w:r>
        <w:rPr>
          <w:rFonts w:ascii="Century Schoolbook" w:hAnsi="Century Schoolbook"/>
          <w:sz w:val="26"/>
          <w:szCs w:val="26"/>
          <w:u w:val="single"/>
        </w:rPr>
        <w:tab/>
        <w:t xml:space="preserve">at the </w:t>
      </w:r>
      <w:r w:rsidR="00C747E3">
        <w:rPr>
          <w:rFonts w:ascii="Century Schoolbook" w:hAnsi="Century Schoolbook"/>
          <w:sz w:val="26"/>
          <w:szCs w:val="26"/>
          <w:u w:val="single"/>
        </w:rPr>
        <w:t>initial conference</w:t>
      </w:r>
      <w:r>
        <w:rPr>
          <w:rFonts w:ascii="Century Schoolbook" w:hAnsi="Century Schoolbook"/>
          <w:sz w:val="26"/>
          <w:szCs w:val="26"/>
          <w:u w:val="single"/>
        </w:rPr>
        <w:t xml:space="preserve">, </w:t>
      </w:r>
      <w:r w:rsidRPr="009151FC">
        <w:rPr>
          <w:rFonts w:ascii="Century Schoolbook" w:hAnsi="Century Schoolbook"/>
          <w:sz w:val="26"/>
          <w:szCs w:val="26"/>
          <w:u w:val="single"/>
        </w:rPr>
        <w:t>may inquire as to whether service has been effectuated</w:t>
      </w:r>
      <w:r>
        <w:rPr>
          <w:rFonts w:ascii="Century Schoolbook" w:hAnsi="Century Schoolbook"/>
          <w:sz w:val="26"/>
          <w:szCs w:val="26"/>
          <w:u w:val="single"/>
        </w:rPr>
        <w:t>, and, in the court’s discretion, schedule an evidentiary hearing</w:t>
      </w:r>
      <w:r w:rsidRPr="009151FC">
        <w:rPr>
          <w:rFonts w:ascii="Century Schoolbook" w:hAnsi="Century Schoolbook"/>
          <w:sz w:val="26"/>
          <w:szCs w:val="26"/>
          <w:u w:val="single"/>
        </w:rPr>
        <w:t>.</w:t>
      </w:r>
      <w:r>
        <w:rPr>
          <w:rFonts w:ascii="Century Schoolbook" w:hAnsi="Century Schoolbook"/>
          <w:sz w:val="26"/>
          <w:szCs w:val="26"/>
          <w:u w:val="single"/>
        </w:rPr>
        <w:t xml:space="preserve"> The court may make any additional  orders that the court finds appropriate to ensure a timely resolution of the petition.</w:t>
      </w:r>
    </w:p>
    <w:p w14:paraId="1B232455" w14:textId="77777777" w:rsidR="005D277B" w:rsidRPr="009151FC" w:rsidRDefault="005D277B" w:rsidP="00C8593D">
      <w:pPr>
        <w:spacing w:line="360" w:lineRule="auto"/>
        <w:jc w:val="both"/>
        <w:rPr>
          <w:rFonts w:ascii="Century Schoolbook" w:hAnsi="Century Schoolbook"/>
          <w:sz w:val="26"/>
          <w:szCs w:val="26"/>
        </w:rPr>
      </w:pPr>
      <w:r w:rsidRPr="005E34B2">
        <w:rPr>
          <w:rFonts w:ascii="Century Schoolbook" w:hAnsi="Century Schoolbook"/>
          <w:sz w:val="26"/>
          <w:szCs w:val="26"/>
          <w:u w:val="single"/>
        </w:rPr>
        <w:t>(2)</w:t>
      </w:r>
      <w:r>
        <w:rPr>
          <w:rFonts w:ascii="Century Schoolbook" w:hAnsi="Century Schoolbook"/>
          <w:sz w:val="26"/>
          <w:szCs w:val="26"/>
        </w:rPr>
        <w:tab/>
        <w:t>a</w:t>
      </w:r>
      <w:r w:rsidRPr="009151FC">
        <w:rPr>
          <w:rFonts w:ascii="Century Schoolbook" w:hAnsi="Century Schoolbook"/>
          <w:sz w:val="26"/>
          <w:szCs w:val="26"/>
        </w:rPr>
        <w:t xml:space="preserve">t the </w:t>
      </w:r>
      <w:r>
        <w:rPr>
          <w:rFonts w:ascii="Century Schoolbook" w:hAnsi="Century Schoolbook"/>
          <w:sz w:val="26"/>
          <w:szCs w:val="26"/>
          <w:u w:val="single"/>
        </w:rPr>
        <w:t xml:space="preserve">evidentiary </w:t>
      </w:r>
      <w:r w:rsidRPr="009151FC">
        <w:rPr>
          <w:rFonts w:ascii="Century Schoolbook" w:hAnsi="Century Schoolbook"/>
          <w:sz w:val="26"/>
          <w:szCs w:val="26"/>
        </w:rPr>
        <w:t xml:space="preserve">hearing on the petition, </w:t>
      </w:r>
      <w:r w:rsidRPr="009151FC">
        <w:rPr>
          <w:rFonts w:ascii="Century Schoolbook" w:hAnsi="Century Schoolbook"/>
          <w:strike/>
          <w:sz w:val="26"/>
          <w:szCs w:val="26"/>
        </w:rPr>
        <w:t xml:space="preserve">the court </w:t>
      </w:r>
      <w:r w:rsidRPr="009151FC">
        <w:rPr>
          <w:rFonts w:ascii="Century Schoolbook" w:hAnsi="Century Schoolbook"/>
          <w:sz w:val="26"/>
          <w:szCs w:val="26"/>
        </w:rPr>
        <w:t>must make an express finding whether the alleged contemnor had notice of the petition and order to appear. The court also must also determine whether the party who filed the petition has established that:</w:t>
      </w:r>
    </w:p>
    <w:p w14:paraId="2E358B8D"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w:t>
      </w:r>
      <w:r w:rsidRPr="005E34B2">
        <w:rPr>
          <w:rFonts w:ascii="Century Schoolbook" w:hAnsi="Century Schoolbook"/>
          <w:sz w:val="26"/>
          <w:szCs w:val="26"/>
          <w:u w:val="single"/>
        </w:rPr>
        <w:t>i</w:t>
      </w:r>
      <w:r w:rsidRPr="009151FC">
        <w:rPr>
          <w:rFonts w:ascii="Century Schoolbook" w:hAnsi="Century Schoolbook"/>
          <w:sz w:val="26"/>
          <w:szCs w:val="26"/>
        </w:rPr>
        <w:t>) the court entered a prior order;</w:t>
      </w:r>
    </w:p>
    <w:p w14:paraId="57375C50"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w:t>
      </w:r>
      <w:r w:rsidRPr="005E34B2">
        <w:rPr>
          <w:rFonts w:ascii="Century Schoolbook" w:hAnsi="Century Schoolbook"/>
          <w:sz w:val="26"/>
          <w:szCs w:val="26"/>
          <w:u w:val="single"/>
        </w:rPr>
        <w:t>ii</w:t>
      </w:r>
      <w:r w:rsidRPr="009151FC">
        <w:rPr>
          <w:rFonts w:ascii="Century Schoolbook" w:hAnsi="Century Schoolbook"/>
          <w:sz w:val="26"/>
          <w:szCs w:val="26"/>
        </w:rPr>
        <w:t>) the alleged contemnor had notice of the prior order; and</w:t>
      </w:r>
    </w:p>
    <w:p w14:paraId="01DD5CD5"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w:t>
      </w:r>
      <w:r w:rsidRPr="005E34B2">
        <w:rPr>
          <w:rFonts w:ascii="Century Schoolbook" w:hAnsi="Century Schoolbook"/>
          <w:sz w:val="26"/>
          <w:szCs w:val="26"/>
          <w:u w:val="single"/>
        </w:rPr>
        <w:t>iii</w:t>
      </w:r>
      <w:r w:rsidRPr="009151FC">
        <w:rPr>
          <w:rFonts w:ascii="Century Schoolbook" w:hAnsi="Century Schoolbook"/>
          <w:sz w:val="26"/>
          <w:szCs w:val="26"/>
        </w:rPr>
        <w:t>) the alleged contemnor failed to comply with the order.</w:t>
      </w:r>
    </w:p>
    <w:p w14:paraId="243EFCD8"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(e) </w:t>
      </w:r>
      <w:r>
        <w:rPr>
          <w:rFonts w:ascii="Century Schoolbook" w:hAnsi="Century Schoolbook"/>
          <w:b/>
          <w:bCs/>
          <w:sz w:val="26"/>
          <w:szCs w:val="26"/>
        </w:rPr>
        <w:t>– (g)</w:t>
      </w:r>
      <w:r>
        <w:rPr>
          <w:rFonts w:ascii="Century Schoolbook" w:hAnsi="Century Schoolbook"/>
          <w:b/>
          <w:bCs/>
          <w:sz w:val="26"/>
          <w:szCs w:val="26"/>
        </w:rPr>
        <w:tab/>
        <w:t>No changes</w:t>
      </w:r>
    </w:p>
    <w:p w14:paraId="04FA6E8B" w14:textId="77777777" w:rsidR="005D277B" w:rsidRDefault="005D277B" w:rsidP="00511B7B">
      <w:pPr>
        <w:rPr>
          <w:rFonts w:ascii="Century Schoolbook" w:hAnsi="Century Schoolbook"/>
          <w:sz w:val="26"/>
          <w:szCs w:val="26"/>
        </w:rPr>
      </w:pPr>
    </w:p>
    <w:p w14:paraId="4D9412E3" w14:textId="77777777" w:rsidR="005D277B" w:rsidRDefault="005D277B" w:rsidP="00511B7B">
      <w:pPr>
        <w:rPr>
          <w:rFonts w:ascii="Century Schoolbook" w:hAnsi="Century Schoolbook"/>
          <w:sz w:val="26"/>
          <w:szCs w:val="26"/>
        </w:rPr>
      </w:pPr>
    </w:p>
    <w:p w14:paraId="1B1D6D4D" w14:textId="77777777" w:rsidR="005D277B" w:rsidRDefault="005D277B" w:rsidP="00511B7B">
      <w:pPr>
        <w:rPr>
          <w:rFonts w:ascii="Century Schoolbook" w:hAnsi="Century Schoolbook"/>
          <w:sz w:val="26"/>
          <w:szCs w:val="26"/>
        </w:rPr>
      </w:pPr>
    </w:p>
    <w:p w14:paraId="13EAD0F2" w14:textId="6AD24118"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E93980">
        <w:rPr>
          <w:rFonts w:ascii="Century Schoolbook" w:hAnsi="Century Schoolbook"/>
          <w:sz w:val="26"/>
          <w:szCs w:val="26"/>
        </w:rPr>
        <w:t>1</w:t>
      </w:r>
      <w:r w:rsidR="00C747E3">
        <w:rPr>
          <w:rFonts w:ascii="Century Schoolbook" w:hAnsi="Century Schoolbook"/>
          <w:sz w:val="26"/>
          <w:szCs w:val="26"/>
        </w:rPr>
        <w:t>3</w:t>
      </w:r>
      <w:r w:rsidR="00E93980">
        <w:rPr>
          <w:rFonts w:ascii="Century Schoolbook" w:hAnsi="Century Schoolbook"/>
          <w:sz w:val="26"/>
          <w:szCs w:val="26"/>
        </w:rPr>
        <w:t>th</w:t>
      </w:r>
      <w:r w:rsidR="005501C1" w:rsidRPr="005F6F54">
        <w:rPr>
          <w:rFonts w:ascii="Century Schoolbook" w:hAnsi="Century Schoolbook"/>
          <w:sz w:val="26"/>
          <w:szCs w:val="26"/>
        </w:rPr>
        <w:t xml:space="preserve"> </w:t>
      </w:r>
      <w:r w:rsidR="00C41CA7" w:rsidRPr="005F6F54">
        <w:rPr>
          <w:rFonts w:ascii="Century Schoolbook" w:hAnsi="Century Schoolbook"/>
          <w:sz w:val="26"/>
          <w:szCs w:val="26"/>
        </w:rPr>
        <w:t xml:space="preserve">day of </w:t>
      </w:r>
      <w:r w:rsidR="00C747E3">
        <w:rPr>
          <w:rFonts w:ascii="Century Schoolbook" w:hAnsi="Century Schoolbook"/>
          <w:sz w:val="26"/>
          <w:szCs w:val="26"/>
        </w:rPr>
        <w:t>October</w:t>
      </w:r>
      <w:r w:rsidR="002D2124" w:rsidRPr="005F6F54">
        <w:rPr>
          <w:rFonts w:ascii="Century Schoolbook" w:hAnsi="Century Schoolbook"/>
          <w:sz w:val="26"/>
          <w:szCs w:val="26"/>
        </w:rPr>
        <w:t>,</w:t>
      </w:r>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9D06F0">
        <w:rPr>
          <w:rFonts w:ascii="Century Schoolbook" w:hAnsi="Century Schoolbook"/>
          <w:sz w:val="26"/>
          <w:szCs w:val="26"/>
        </w:rPr>
        <w:t>5</w:t>
      </w:r>
      <w:r w:rsidR="00C41CA7" w:rsidRPr="005F6F54">
        <w:rPr>
          <w:rFonts w:ascii="Century Schoolbook" w:hAnsi="Century Schoolbook"/>
          <w:sz w:val="26"/>
          <w:szCs w:val="26"/>
        </w:rPr>
        <w:t>.</w:t>
      </w:r>
    </w:p>
    <w:p w14:paraId="6BA46581" w14:textId="77777777" w:rsidR="005F6F54" w:rsidRPr="005F6F54" w:rsidRDefault="005F6F54" w:rsidP="00511B7B">
      <w:pPr>
        <w:rPr>
          <w:rFonts w:ascii="Century Schoolbook" w:hAnsi="Century Schoolbook"/>
          <w:sz w:val="26"/>
          <w:szCs w:val="26"/>
        </w:rPr>
      </w:pPr>
    </w:p>
    <w:p w14:paraId="257CB363" w14:textId="138C0331"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423FEC">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79193230" w:rsidR="00656F65" w:rsidRPr="005F6F54"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sectPr w:rsidR="00656F65" w:rsidRPr="005F6F54" w:rsidSect="00C8593D">
      <w:headerReference w:type="default" r:id="rId8"/>
      <w:footerReference w:type="even" r:id="rId9"/>
      <w:footerReference w:type="default" r:id="rId10"/>
      <w:footerReference w:type="first" r:id="rId11"/>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E0EF" w14:textId="75D90D7F" w:rsidR="00C8593D" w:rsidRDefault="00C8593D">
    <w:pPr>
      <w:pStyle w:val="Footer"/>
      <w:jc w:val="center"/>
    </w:pPr>
  </w:p>
  <w:p w14:paraId="6D6E26CA" w14:textId="77777777" w:rsidR="00C8593D" w:rsidRDefault="00C8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E9D" w14:textId="22F7A5CE" w:rsidR="00C8593D" w:rsidRDefault="00A71DA4" w:rsidP="00C8593D">
    <w:pPr>
      <w:pStyle w:val="Header"/>
    </w:pPr>
    <w:r>
      <w:t>COFC Reply</w:t>
    </w:r>
    <w:r w:rsidR="00C8593D">
      <w:t>, R-23-0008</w:t>
    </w:r>
  </w:p>
  <w:p w14:paraId="52DDB3C4" w14:textId="5D18BAA9" w:rsidR="00C8593D" w:rsidRDefault="00C8593D" w:rsidP="00C8593D">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425872BA" w14:textId="77777777" w:rsidR="00C8593D" w:rsidRDefault="00C8593D" w:rsidP="00C8593D">
    <w:pPr>
      <w:pStyle w:val="Header"/>
      <w:rPr>
        <w:noProof/>
      </w:rPr>
    </w:pPr>
  </w:p>
  <w:p w14:paraId="7724375D" w14:textId="77777777" w:rsidR="00C8593D" w:rsidRDefault="00C8593D" w:rsidP="00C8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E59216A"/>
    <w:multiLevelType w:val="hybridMultilevel"/>
    <w:tmpl w:val="DC2C40EC"/>
    <w:lvl w:ilvl="0" w:tplc="8162FA5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CC785F"/>
    <w:multiLevelType w:val="hybridMultilevel"/>
    <w:tmpl w:val="49ACDD94"/>
    <w:lvl w:ilvl="0" w:tplc="9E8E2E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3"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5"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10"/>
  </w:num>
  <w:num w:numId="3" w16cid:durableId="370226306">
    <w:abstractNumId w:val="13"/>
  </w:num>
  <w:num w:numId="4" w16cid:durableId="367801761">
    <w:abstractNumId w:val="1"/>
  </w:num>
  <w:num w:numId="5" w16cid:durableId="1139834692">
    <w:abstractNumId w:val="14"/>
  </w:num>
  <w:num w:numId="6" w16cid:durableId="499737626">
    <w:abstractNumId w:val="11"/>
  </w:num>
  <w:num w:numId="7" w16cid:durableId="978533070">
    <w:abstractNumId w:val="6"/>
  </w:num>
  <w:num w:numId="8" w16cid:durableId="1097822676">
    <w:abstractNumId w:val="9"/>
  </w:num>
  <w:num w:numId="9" w16cid:durableId="1751077909">
    <w:abstractNumId w:val="8"/>
  </w:num>
  <w:num w:numId="10" w16cid:durableId="502553845">
    <w:abstractNumId w:val="15"/>
  </w:num>
  <w:num w:numId="11" w16cid:durableId="1281759209">
    <w:abstractNumId w:val="0"/>
  </w:num>
  <w:num w:numId="12" w16cid:durableId="1149057103">
    <w:abstractNumId w:val="3"/>
  </w:num>
  <w:num w:numId="13" w16cid:durableId="737093517">
    <w:abstractNumId w:val="12"/>
  </w:num>
  <w:num w:numId="14" w16cid:durableId="6450294">
    <w:abstractNumId w:val="5"/>
  </w:num>
  <w:num w:numId="15" w16cid:durableId="1091851164">
    <w:abstractNumId w:val="7"/>
  </w:num>
  <w:num w:numId="16" w16cid:durableId="1268539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213F"/>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A4968"/>
    <w:rsid w:val="003A7C81"/>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23FEC"/>
    <w:rsid w:val="00430699"/>
    <w:rsid w:val="004323A2"/>
    <w:rsid w:val="004332E1"/>
    <w:rsid w:val="0043489C"/>
    <w:rsid w:val="00434DBF"/>
    <w:rsid w:val="0044074C"/>
    <w:rsid w:val="00440C7F"/>
    <w:rsid w:val="00443353"/>
    <w:rsid w:val="004462DA"/>
    <w:rsid w:val="00446678"/>
    <w:rsid w:val="004474C2"/>
    <w:rsid w:val="004501CF"/>
    <w:rsid w:val="004505ED"/>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2BFB"/>
    <w:rsid w:val="005B5507"/>
    <w:rsid w:val="005B6C1F"/>
    <w:rsid w:val="005C08D4"/>
    <w:rsid w:val="005C163E"/>
    <w:rsid w:val="005C39F7"/>
    <w:rsid w:val="005C3F6A"/>
    <w:rsid w:val="005C49A0"/>
    <w:rsid w:val="005C79BD"/>
    <w:rsid w:val="005D0EEF"/>
    <w:rsid w:val="005D277B"/>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1D4B"/>
    <w:rsid w:val="006123CF"/>
    <w:rsid w:val="00616412"/>
    <w:rsid w:val="006169F1"/>
    <w:rsid w:val="00620FC1"/>
    <w:rsid w:val="00623CFC"/>
    <w:rsid w:val="00634487"/>
    <w:rsid w:val="00635A07"/>
    <w:rsid w:val="00642063"/>
    <w:rsid w:val="006474B1"/>
    <w:rsid w:val="00656F65"/>
    <w:rsid w:val="00661DC7"/>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4DEB"/>
    <w:rsid w:val="00736BCA"/>
    <w:rsid w:val="00737054"/>
    <w:rsid w:val="00741D65"/>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06F0"/>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1DA4"/>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EFC"/>
    <w:rsid w:val="00BF6C43"/>
    <w:rsid w:val="00C04B63"/>
    <w:rsid w:val="00C120DF"/>
    <w:rsid w:val="00C2299D"/>
    <w:rsid w:val="00C25222"/>
    <w:rsid w:val="00C30317"/>
    <w:rsid w:val="00C304BB"/>
    <w:rsid w:val="00C3615C"/>
    <w:rsid w:val="00C406F4"/>
    <w:rsid w:val="00C41CA7"/>
    <w:rsid w:val="00C46DBD"/>
    <w:rsid w:val="00C47226"/>
    <w:rsid w:val="00C47A05"/>
    <w:rsid w:val="00C47CEF"/>
    <w:rsid w:val="00C56400"/>
    <w:rsid w:val="00C5657E"/>
    <w:rsid w:val="00C61157"/>
    <w:rsid w:val="00C624F9"/>
    <w:rsid w:val="00C632A7"/>
    <w:rsid w:val="00C64692"/>
    <w:rsid w:val="00C70F45"/>
    <w:rsid w:val="00C710D0"/>
    <w:rsid w:val="00C747E3"/>
    <w:rsid w:val="00C83DF2"/>
    <w:rsid w:val="00C8593D"/>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37BF"/>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2791"/>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B5ABA"/>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748D3"/>
    <w:rsid w:val="00E803F6"/>
    <w:rsid w:val="00E80B48"/>
    <w:rsid w:val="00E8448E"/>
    <w:rsid w:val="00E84DB6"/>
    <w:rsid w:val="00E931EE"/>
    <w:rsid w:val="00E93980"/>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25C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573B2"/>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6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481925063">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 w:id="21216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scoe@courts.az.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2025-10-13T23:32:00Z</dcterms:created>
  <dcterms:modified xsi:type="dcterms:W3CDTF">2025-10-13T23:33:00Z</dcterms:modified>
</cp:coreProperties>
</file>