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D283" w14:textId="77777777" w:rsidR="004271E3" w:rsidRPr="004D6E6A" w:rsidRDefault="004271E3" w:rsidP="002D662B">
      <w:pPr>
        <w:suppressLineNumbers/>
        <w:spacing w:before="0" w:line="276" w:lineRule="auto"/>
        <w:rPr>
          <w:color w:val="000000" w:themeColor="text1"/>
          <w:sz w:val="28"/>
          <w:szCs w:val="28"/>
        </w:rPr>
      </w:pPr>
      <w:r w:rsidRPr="004D6E6A">
        <w:rPr>
          <w:color w:val="000000" w:themeColor="text1"/>
          <w:sz w:val="28"/>
          <w:szCs w:val="28"/>
        </w:rPr>
        <w:t>Arizona Process Servers Association</w:t>
      </w:r>
    </w:p>
    <w:p w14:paraId="2EA3A416" w14:textId="77777777" w:rsidR="004271E3" w:rsidRPr="004D6E6A" w:rsidRDefault="004271E3" w:rsidP="002D662B">
      <w:pPr>
        <w:suppressLineNumbers/>
        <w:spacing w:before="0" w:line="276" w:lineRule="auto"/>
        <w:rPr>
          <w:color w:val="000000" w:themeColor="text1"/>
          <w:sz w:val="28"/>
          <w:szCs w:val="28"/>
        </w:rPr>
      </w:pPr>
      <w:r w:rsidRPr="004D6E6A">
        <w:rPr>
          <w:color w:val="000000" w:themeColor="text1"/>
          <w:sz w:val="28"/>
          <w:szCs w:val="28"/>
        </w:rPr>
        <w:t>c/o Barry R. Goldman, Administrator</w:t>
      </w:r>
    </w:p>
    <w:p w14:paraId="56DAB82F" w14:textId="77777777" w:rsidR="004271E3" w:rsidRPr="004D6E6A" w:rsidRDefault="004271E3" w:rsidP="002D662B">
      <w:pPr>
        <w:suppressLineNumbers/>
        <w:spacing w:before="0" w:line="276" w:lineRule="auto"/>
        <w:rPr>
          <w:color w:val="000000" w:themeColor="text1"/>
          <w:sz w:val="28"/>
          <w:szCs w:val="28"/>
        </w:rPr>
      </w:pPr>
      <w:r w:rsidRPr="004D6E6A">
        <w:rPr>
          <w:color w:val="000000" w:themeColor="text1"/>
          <w:sz w:val="28"/>
          <w:szCs w:val="28"/>
        </w:rPr>
        <w:t>20987 N. John Wayne Pkwy. #B104-381</w:t>
      </w:r>
    </w:p>
    <w:p w14:paraId="1FD8B4E6" w14:textId="77777777" w:rsidR="004271E3" w:rsidRPr="004D6E6A" w:rsidRDefault="004271E3" w:rsidP="002D662B">
      <w:pPr>
        <w:suppressLineNumbers/>
        <w:spacing w:before="0" w:line="276" w:lineRule="auto"/>
        <w:rPr>
          <w:color w:val="000000" w:themeColor="text1"/>
          <w:sz w:val="28"/>
          <w:szCs w:val="28"/>
        </w:rPr>
      </w:pPr>
      <w:r w:rsidRPr="004D6E6A">
        <w:rPr>
          <w:color w:val="000000" w:themeColor="text1"/>
          <w:sz w:val="28"/>
          <w:szCs w:val="28"/>
        </w:rPr>
        <w:t>Maricopa, AZ 85139</w:t>
      </w:r>
    </w:p>
    <w:p w14:paraId="57A09C84" w14:textId="77777777" w:rsidR="004271E3" w:rsidRPr="004D6E6A" w:rsidRDefault="004271E3" w:rsidP="002D662B">
      <w:pPr>
        <w:suppressLineNumbers/>
        <w:spacing w:before="0" w:line="276" w:lineRule="auto"/>
        <w:rPr>
          <w:color w:val="000000" w:themeColor="text1"/>
          <w:sz w:val="28"/>
          <w:szCs w:val="28"/>
        </w:rPr>
      </w:pPr>
      <w:r w:rsidRPr="004D6E6A">
        <w:rPr>
          <w:color w:val="000000" w:themeColor="text1"/>
          <w:sz w:val="28"/>
          <w:szCs w:val="28"/>
        </w:rPr>
        <w:t>Phone: (602) 476-1737</w:t>
      </w:r>
    </w:p>
    <w:p w14:paraId="14F8367A" w14:textId="2146355B" w:rsidR="004271E3" w:rsidRPr="004D6E6A" w:rsidRDefault="008834AE" w:rsidP="002D662B">
      <w:pPr>
        <w:suppressLineNumbers/>
        <w:spacing w:before="0" w:line="276" w:lineRule="auto"/>
        <w:rPr>
          <w:color w:val="000000" w:themeColor="text1"/>
          <w:sz w:val="28"/>
          <w:szCs w:val="28"/>
        </w:rPr>
      </w:pPr>
      <w:r w:rsidRPr="004D6E6A">
        <w:rPr>
          <w:color w:val="000000" w:themeColor="text1"/>
          <w:sz w:val="28"/>
          <w:szCs w:val="28"/>
        </w:rPr>
        <w:t>azserverassoc@gmail.com</w:t>
      </w:r>
    </w:p>
    <w:p w14:paraId="308B3F46" w14:textId="77777777" w:rsidR="008834AE" w:rsidRPr="004D6E6A" w:rsidRDefault="008834AE" w:rsidP="002D662B">
      <w:pPr>
        <w:suppressLineNumbers/>
        <w:spacing w:before="0" w:line="276" w:lineRule="auto"/>
        <w:rPr>
          <w:color w:val="000000" w:themeColor="text1"/>
          <w:sz w:val="28"/>
          <w:szCs w:val="28"/>
        </w:rPr>
      </w:pPr>
    </w:p>
    <w:p w14:paraId="114EAB42" w14:textId="77777777" w:rsidR="004271E3" w:rsidRPr="004D6E6A" w:rsidRDefault="004271E3" w:rsidP="002D662B">
      <w:pPr>
        <w:suppressLineNumbers/>
        <w:spacing w:line="276" w:lineRule="auto"/>
        <w:jc w:val="center"/>
        <w:rPr>
          <w:b/>
          <w:bCs/>
          <w:color w:val="000000" w:themeColor="text1"/>
          <w:sz w:val="28"/>
          <w:szCs w:val="28"/>
        </w:rPr>
      </w:pPr>
      <w:r w:rsidRPr="004D6E6A">
        <w:rPr>
          <w:b/>
          <w:bCs/>
          <w:color w:val="000000" w:themeColor="text1"/>
          <w:sz w:val="28"/>
          <w:szCs w:val="28"/>
        </w:rPr>
        <w:t>IN THE SUPREME COURT OF THE STATE OF ARIZONA</w:t>
      </w:r>
    </w:p>
    <w:tbl>
      <w:tblPr>
        <w:tblStyle w:val="TableGrid"/>
        <w:tblW w:w="0" w:type="auto"/>
        <w:tblLook w:val="04A0" w:firstRow="1" w:lastRow="0" w:firstColumn="1" w:lastColumn="0" w:noHBand="0" w:noVBand="1"/>
      </w:tblPr>
      <w:tblGrid>
        <w:gridCol w:w="4662"/>
        <w:gridCol w:w="4688"/>
      </w:tblGrid>
      <w:tr w:rsidR="004D6E6A" w:rsidRPr="004D6E6A" w14:paraId="38B55C49" w14:textId="77777777" w:rsidTr="004271E3">
        <w:tc>
          <w:tcPr>
            <w:tcW w:w="4788" w:type="dxa"/>
          </w:tcPr>
          <w:p w14:paraId="4204F1CC" w14:textId="0E0588E8" w:rsidR="004271E3" w:rsidRPr="004D6E6A" w:rsidRDefault="004271E3" w:rsidP="002D662B">
            <w:pPr>
              <w:suppressLineNumbers/>
              <w:spacing w:line="276" w:lineRule="auto"/>
              <w:rPr>
                <w:b/>
                <w:bCs/>
                <w:color w:val="000000" w:themeColor="text1"/>
                <w:sz w:val="28"/>
                <w:szCs w:val="28"/>
              </w:rPr>
            </w:pPr>
            <w:r w:rsidRPr="004D6E6A">
              <w:rPr>
                <w:b/>
                <w:bCs/>
                <w:color w:val="000000" w:themeColor="text1"/>
                <w:sz w:val="28"/>
                <w:szCs w:val="28"/>
              </w:rPr>
              <w:t xml:space="preserve">In the Matter of: Petition to Amend </w:t>
            </w:r>
            <w:bookmarkStart w:id="0" w:name="_Hlk174438197"/>
            <w:r w:rsidRPr="004D6E6A">
              <w:rPr>
                <w:b/>
                <w:bCs/>
                <w:color w:val="000000" w:themeColor="text1"/>
                <w:sz w:val="28"/>
                <w:szCs w:val="28"/>
              </w:rPr>
              <w:t xml:space="preserve">Rule 4.1(i) of the Rules of Civil Procedure for the Superior Courts of Arizona; Rule 41(j) of the Rules of Family Law Procedure; Rule 113(b) of the Justice Court Rules of Civil Procedure; Rule 5(b), Rules </w:t>
            </w:r>
            <w:r w:rsidR="00682542" w:rsidRPr="004D6E6A">
              <w:rPr>
                <w:b/>
                <w:bCs/>
                <w:color w:val="000000" w:themeColor="text1"/>
                <w:sz w:val="28"/>
                <w:szCs w:val="28"/>
              </w:rPr>
              <w:t>o</w:t>
            </w:r>
            <w:r w:rsidRPr="004D6E6A">
              <w:rPr>
                <w:b/>
                <w:bCs/>
                <w:color w:val="000000" w:themeColor="text1"/>
                <w:sz w:val="28"/>
                <w:szCs w:val="28"/>
              </w:rPr>
              <w:t>f Small Claims Procedure</w:t>
            </w:r>
            <w:bookmarkEnd w:id="0"/>
          </w:p>
        </w:tc>
        <w:tc>
          <w:tcPr>
            <w:tcW w:w="4788" w:type="dxa"/>
          </w:tcPr>
          <w:p w14:paraId="693A0AA7" w14:textId="4E146958" w:rsidR="004271E3" w:rsidRPr="004D6E6A" w:rsidRDefault="004271E3" w:rsidP="002D662B">
            <w:pPr>
              <w:suppressLineNumbers/>
              <w:spacing w:line="276" w:lineRule="auto"/>
              <w:rPr>
                <w:b/>
                <w:bCs/>
                <w:color w:val="000000" w:themeColor="text1"/>
                <w:sz w:val="28"/>
                <w:szCs w:val="28"/>
              </w:rPr>
            </w:pPr>
            <w:r w:rsidRPr="004D6E6A">
              <w:rPr>
                <w:b/>
                <w:bCs/>
                <w:color w:val="000000" w:themeColor="text1"/>
                <w:sz w:val="28"/>
                <w:szCs w:val="28"/>
              </w:rPr>
              <w:t xml:space="preserve">SUPREME COURT NO.: </w:t>
            </w:r>
            <w:r w:rsidR="00FB298B" w:rsidRPr="004D6E6A">
              <w:rPr>
                <w:b/>
                <w:bCs/>
                <w:color w:val="000000" w:themeColor="text1"/>
                <w:sz w:val="28"/>
                <w:szCs w:val="28"/>
              </w:rPr>
              <w:t>R-24-0057</w:t>
            </w:r>
          </w:p>
          <w:p w14:paraId="076C6C01" w14:textId="77777777" w:rsidR="004271E3" w:rsidRPr="004D6E6A" w:rsidRDefault="004271E3" w:rsidP="002D662B">
            <w:pPr>
              <w:suppressLineNumbers/>
              <w:spacing w:line="276" w:lineRule="auto"/>
              <w:rPr>
                <w:b/>
                <w:bCs/>
                <w:color w:val="000000" w:themeColor="text1"/>
                <w:sz w:val="28"/>
                <w:szCs w:val="28"/>
              </w:rPr>
            </w:pPr>
          </w:p>
          <w:p w14:paraId="25569CB6" w14:textId="77777777" w:rsidR="000D335B" w:rsidRPr="004D6E6A" w:rsidRDefault="000D335B" w:rsidP="002D662B">
            <w:pPr>
              <w:suppressLineNumbers/>
              <w:spacing w:line="276" w:lineRule="auto"/>
              <w:rPr>
                <w:b/>
                <w:bCs/>
                <w:color w:val="000000" w:themeColor="text1"/>
                <w:sz w:val="28"/>
                <w:szCs w:val="28"/>
              </w:rPr>
            </w:pPr>
          </w:p>
          <w:p w14:paraId="356029CF" w14:textId="7178E2AB" w:rsidR="004271E3" w:rsidRPr="004D6E6A" w:rsidRDefault="004271E3" w:rsidP="002D662B">
            <w:pPr>
              <w:suppressLineNumbers/>
              <w:spacing w:line="276" w:lineRule="auto"/>
              <w:rPr>
                <w:b/>
                <w:bCs/>
                <w:color w:val="000000" w:themeColor="text1"/>
                <w:sz w:val="28"/>
                <w:szCs w:val="28"/>
              </w:rPr>
            </w:pPr>
            <w:bookmarkStart w:id="1" w:name="_Hlk199273284"/>
            <w:r w:rsidRPr="004D6E6A">
              <w:rPr>
                <w:b/>
                <w:bCs/>
                <w:color w:val="000000" w:themeColor="text1"/>
                <w:sz w:val="28"/>
                <w:szCs w:val="28"/>
              </w:rPr>
              <w:t xml:space="preserve">PETITIONER’S </w:t>
            </w:r>
            <w:r w:rsidR="00FB298B" w:rsidRPr="004D6E6A">
              <w:rPr>
                <w:b/>
                <w:bCs/>
                <w:color w:val="000000" w:themeColor="text1"/>
                <w:sz w:val="28"/>
                <w:szCs w:val="28"/>
              </w:rPr>
              <w:t>RESPONSE TO STATE BAR</w:t>
            </w:r>
            <w:r w:rsidR="00F87A66" w:rsidRPr="004D6E6A">
              <w:rPr>
                <w:b/>
                <w:bCs/>
                <w:color w:val="000000" w:themeColor="text1"/>
                <w:sz w:val="28"/>
                <w:szCs w:val="28"/>
              </w:rPr>
              <w:t xml:space="preserve"> OF ARIZONA</w:t>
            </w:r>
            <w:r w:rsidR="00FB298B" w:rsidRPr="004D6E6A">
              <w:rPr>
                <w:b/>
                <w:bCs/>
                <w:color w:val="000000" w:themeColor="text1"/>
                <w:sz w:val="28"/>
                <w:szCs w:val="28"/>
              </w:rPr>
              <w:t xml:space="preserve"> COMMENT</w:t>
            </w:r>
            <w:r w:rsidR="00FA2E4B" w:rsidRPr="004D6E6A">
              <w:rPr>
                <w:b/>
                <w:bCs/>
                <w:color w:val="000000" w:themeColor="text1"/>
                <w:sz w:val="28"/>
                <w:szCs w:val="28"/>
              </w:rPr>
              <w:t>; AMENDED PETITION</w:t>
            </w:r>
          </w:p>
          <w:bookmarkEnd w:id="1"/>
          <w:p w14:paraId="4530AC10" w14:textId="77777777" w:rsidR="004271E3" w:rsidRPr="004D6E6A" w:rsidRDefault="004271E3" w:rsidP="002D662B">
            <w:pPr>
              <w:suppressLineNumbers/>
              <w:spacing w:line="276" w:lineRule="auto"/>
              <w:rPr>
                <w:b/>
                <w:bCs/>
                <w:color w:val="000000" w:themeColor="text1"/>
                <w:sz w:val="28"/>
                <w:szCs w:val="28"/>
              </w:rPr>
            </w:pPr>
          </w:p>
          <w:p w14:paraId="52BD06A9" w14:textId="7745AEB0" w:rsidR="004271E3" w:rsidRPr="004D6E6A" w:rsidRDefault="004271E3" w:rsidP="002D662B">
            <w:pPr>
              <w:suppressLineNumbers/>
              <w:spacing w:line="276" w:lineRule="auto"/>
              <w:rPr>
                <w:b/>
                <w:bCs/>
                <w:color w:val="000000" w:themeColor="text1"/>
                <w:sz w:val="28"/>
                <w:szCs w:val="28"/>
              </w:rPr>
            </w:pPr>
          </w:p>
        </w:tc>
      </w:tr>
    </w:tbl>
    <w:p w14:paraId="1EFA0FD0" w14:textId="52A31C34" w:rsidR="006C671E" w:rsidRPr="004D6E6A" w:rsidRDefault="004271E3" w:rsidP="002D662B">
      <w:pPr>
        <w:spacing w:line="276" w:lineRule="auto"/>
        <w:ind w:firstLine="720"/>
        <w:rPr>
          <w:color w:val="000000" w:themeColor="text1"/>
          <w:sz w:val="28"/>
          <w:szCs w:val="28"/>
        </w:rPr>
      </w:pPr>
      <w:r w:rsidRPr="004D6E6A">
        <w:rPr>
          <w:color w:val="000000" w:themeColor="text1"/>
          <w:sz w:val="28"/>
          <w:szCs w:val="28"/>
        </w:rPr>
        <w:t>The Arizona Process Servers Association (APSA)</w:t>
      </w:r>
      <w:r w:rsidR="006C671E" w:rsidRPr="004D6E6A">
        <w:rPr>
          <w:color w:val="000000" w:themeColor="text1"/>
          <w:sz w:val="28"/>
          <w:szCs w:val="28"/>
        </w:rPr>
        <w:t xml:space="preserve"> appreciates the comment provided by the State Bar on this matter.  We would be grateful and appreciative in working out any language change modifications felt necessary </w:t>
      </w:r>
      <w:r w:rsidR="00145A77" w:rsidRPr="004D6E6A">
        <w:rPr>
          <w:color w:val="000000" w:themeColor="text1"/>
          <w:sz w:val="28"/>
          <w:szCs w:val="28"/>
        </w:rPr>
        <w:t xml:space="preserve">and agreed to </w:t>
      </w:r>
      <w:r w:rsidR="006C671E" w:rsidRPr="004D6E6A">
        <w:rPr>
          <w:color w:val="000000" w:themeColor="text1"/>
          <w:sz w:val="28"/>
          <w:szCs w:val="28"/>
        </w:rPr>
        <w:t xml:space="preserve">by </w:t>
      </w:r>
      <w:r w:rsidR="00233778" w:rsidRPr="004D6E6A">
        <w:rPr>
          <w:color w:val="000000" w:themeColor="text1"/>
          <w:sz w:val="28"/>
          <w:szCs w:val="28"/>
        </w:rPr>
        <w:t>stakeholders</w:t>
      </w:r>
      <w:r w:rsidR="006C671E" w:rsidRPr="004D6E6A">
        <w:rPr>
          <w:color w:val="000000" w:themeColor="text1"/>
          <w:sz w:val="28"/>
          <w:szCs w:val="28"/>
        </w:rPr>
        <w:t>.</w:t>
      </w:r>
    </w:p>
    <w:p w14:paraId="32BEAA13" w14:textId="292184EE" w:rsidR="00C120E5" w:rsidRPr="004D6E6A" w:rsidRDefault="002D662B" w:rsidP="002D662B">
      <w:pPr>
        <w:spacing w:line="276" w:lineRule="auto"/>
        <w:ind w:firstLine="720"/>
        <w:rPr>
          <w:color w:val="000000" w:themeColor="text1"/>
          <w:sz w:val="28"/>
          <w:szCs w:val="28"/>
        </w:rPr>
      </w:pPr>
      <w:r>
        <w:rPr>
          <w:color w:val="000000" w:themeColor="text1"/>
          <w:sz w:val="28"/>
          <w:szCs w:val="28"/>
        </w:rPr>
        <w:t>In</w:t>
      </w:r>
      <w:r w:rsidR="006C671E" w:rsidRPr="004D6E6A">
        <w:rPr>
          <w:color w:val="000000" w:themeColor="text1"/>
          <w:sz w:val="28"/>
          <w:szCs w:val="28"/>
        </w:rPr>
        <w:t xml:space="preserve"> the State Bar’s Comment, the State Bar indicates, “The </w:t>
      </w:r>
      <w:r w:rsidR="006C671E" w:rsidRPr="004D6E6A">
        <w:rPr>
          <w:rFonts w:eastAsia="Calibri"/>
          <w:color w:val="000000" w:themeColor="text1"/>
          <w:sz w:val="28"/>
          <w:szCs w:val="28"/>
          <w:lang w:eastAsia="ja-JP"/>
        </w:rPr>
        <w:t xml:space="preserve">Petition suggests disharmony exists between A.R.S. </w:t>
      </w:r>
      <w:r w:rsidR="006C671E" w:rsidRPr="004D6E6A">
        <w:rPr>
          <w:color w:val="000000" w:themeColor="text1"/>
          <w:sz w:val="28"/>
          <w:szCs w:val="28"/>
        </w:rPr>
        <w:t xml:space="preserve">§ 29-3119 and the rules of procedure related to serving limited liability companies”.  </w:t>
      </w:r>
      <w:r w:rsidR="00C120E5" w:rsidRPr="004D6E6A">
        <w:rPr>
          <w:color w:val="000000" w:themeColor="text1"/>
          <w:sz w:val="28"/>
          <w:szCs w:val="28"/>
        </w:rPr>
        <w:t xml:space="preserve">Evidence of the disharmonious relationship between the current rules for service of process to LLC’s and superseding statute is clear and unmistakable. </w:t>
      </w:r>
    </w:p>
    <w:p w14:paraId="5AB73898" w14:textId="33B93B47" w:rsidR="005E08E3" w:rsidRPr="004D6E6A" w:rsidRDefault="006C671E" w:rsidP="002D662B">
      <w:pPr>
        <w:spacing w:line="276" w:lineRule="auto"/>
        <w:ind w:firstLine="720"/>
        <w:rPr>
          <w:color w:val="000000" w:themeColor="text1"/>
          <w:sz w:val="28"/>
          <w:szCs w:val="28"/>
        </w:rPr>
      </w:pPr>
      <w:r w:rsidRPr="004D6E6A">
        <w:rPr>
          <w:color w:val="000000" w:themeColor="text1"/>
          <w:sz w:val="28"/>
          <w:szCs w:val="28"/>
        </w:rPr>
        <w:t xml:space="preserve">APSA and its members, as well as </w:t>
      </w:r>
      <w:r w:rsidR="00603E94" w:rsidRPr="004D6E6A">
        <w:rPr>
          <w:color w:val="000000" w:themeColor="text1"/>
          <w:sz w:val="28"/>
          <w:szCs w:val="28"/>
        </w:rPr>
        <w:t>numerous</w:t>
      </w:r>
      <w:r w:rsidRPr="004D6E6A">
        <w:rPr>
          <w:color w:val="000000" w:themeColor="text1"/>
          <w:sz w:val="28"/>
          <w:szCs w:val="28"/>
        </w:rPr>
        <w:t xml:space="preserve"> attorneys and litigants have </w:t>
      </w:r>
      <w:r w:rsidR="00603E94" w:rsidRPr="004D6E6A">
        <w:rPr>
          <w:color w:val="000000" w:themeColor="text1"/>
          <w:sz w:val="28"/>
          <w:szCs w:val="28"/>
        </w:rPr>
        <w:t>observed</w:t>
      </w:r>
      <w:r w:rsidRPr="004D6E6A">
        <w:rPr>
          <w:color w:val="000000" w:themeColor="text1"/>
          <w:sz w:val="28"/>
          <w:szCs w:val="28"/>
        </w:rPr>
        <w:t xml:space="preserve"> and suffered from such disharmony</w:t>
      </w:r>
      <w:r w:rsidR="00603E94" w:rsidRPr="004D6E6A">
        <w:rPr>
          <w:color w:val="000000" w:themeColor="text1"/>
          <w:sz w:val="28"/>
          <w:szCs w:val="28"/>
        </w:rPr>
        <w:t xml:space="preserve">, where evidence has shown that various judicial officers have rejected, and presumably continue to reject, proofs of service </w:t>
      </w:r>
      <w:r w:rsidR="00245219" w:rsidRPr="004D6E6A">
        <w:rPr>
          <w:color w:val="000000" w:themeColor="text1"/>
          <w:sz w:val="28"/>
          <w:szCs w:val="28"/>
        </w:rPr>
        <w:t xml:space="preserve">for </w:t>
      </w:r>
      <w:r w:rsidR="00603E94" w:rsidRPr="004D6E6A">
        <w:rPr>
          <w:color w:val="000000" w:themeColor="text1"/>
          <w:sz w:val="28"/>
          <w:szCs w:val="28"/>
        </w:rPr>
        <w:t>properly served legal process</w:t>
      </w:r>
      <w:r w:rsidR="00591FC3" w:rsidRPr="004D6E6A">
        <w:rPr>
          <w:color w:val="000000" w:themeColor="text1"/>
          <w:sz w:val="28"/>
          <w:szCs w:val="28"/>
        </w:rPr>
        <w:t xml:space="preserve"> upon Limited Liability Companies (LLC’s)</w:t>
      </w:r>
      <w:r w:rsidR="00F61C24" w:rsidRPr="004D6E6A">
        <w:rPr>
          <w:color w:val="000000" w:themeColor="text1"/>
          <w:sz w:val="28"/>
          <w:szCs w:val="28"/>
        </w:rPr>
        <w:t xml:space="preserve"> under ARS §29-3119.</w:t>
      </w:r>
      <w:r w:rsidRPr="004D6E6A">
        <w:rPr>
          <w:color w:val="000000" w:themeColor="text1"/>
          <w:sz w:val="28"/>
          <w:szCs w:val="28"/>
        </w:rPr>
        <w:t xml:space="preserve">  </w:t>
      </w:r>
    </w:p>
    <w:p w14:paraId="4C455FEA" w14:textId="144EA442" w:rsidR="006C671E" w:rsidRPr="004D6E6A" w:rsidRDefault="00591FC3" w:rsidP="002D662B">
      <w:pPr>
        <w:spacing w:line="276" w:lineRule="auto"/>
        <w:ind w:firstLine="720"/>
        <w:rPr>
          <w:color w:val="000000" w:themeColor="text1"/>
          <w:sz w:val="28"/>
          <w:szCs w:val="28"/>
        </w:rPr>
      </w:pPr>
      <w:r w:rsidRPr="004D6E6A">
        <w:rPr>
          <w:color w:val="000000" w:themeColor="text1"/>
          <w:sz w:val="28"/>
          <w:szCs w:val="28"/>
        </w:rPr>
        <w:lastRenderedPageBreak/>
        <w:t xml:space="preserve">Since </w:t>
      </w:r>
      <w:r w:rsidR="005E08E3" w:rsidRPr="004D6E6A">
        <w:rPr>
          <w:color w:val="000000" w:themeColor="text1"/>
          <w:sz w:val="28"/>
          <w:szCs w:val="28"/>
        </w:rPr>
        <w:t xml:space="preserve">passage of the Arizona Limited Liability Company Act in </w:t>
      </w:r>
      <w:r w:rsidRPr="004D6E6A">
        <w:rPr>
          <w:color w:val="000000" w:themeColor="text1"/>
          <w:sz w:val="28"/>
          <w:szCs w:val="28"/>
        </w:rPr>
        <w:t xml:space="preserve">2019, </w:t>
      </w:r>
      <w:r w:rsidR="005E08E3" w:rsidRPr="004D6E6A">
        <w:rPr>
          <w:color w:val="000000" w:themeColor="text1"/>
          <w:sz w:val="28"/>
          <w:szCs w:val="28"/>
        </w:rPr>
        <w:t>the</w:t>
      </w:r>
      <w:r w:rsidR="006C671E" w:rsidRPr="004D6E6A">
        <w:rPr>
          <w:color w:val="000000" w:themeColor="text1"/>
          <w:sz w:val="28"/>
          <w:szCs w:val="28"/>
        </w:rPr>
        <w:t xml:space="preserve"> established rules </w:t>
      </w:r>
      <w:r w:rsidR="005E08E3" w:rsidRPr="004D6E6A">
        <w:rPr>
          <w:color w:val="000000" w:themeColor="text1"/>
          <w:sz w:val="28"/>
          <w:szCs w:val="28"/>
        </w:rPr>
        <w:t xml:space="preserve">of court </w:t>
      </w:r>
      <w:r w:rsidRPr="004D6E6A">
        <w:rPr>
          <w:color w:val="000000" w:themeColor="text1"/>
          <w:sz w:val="28"/>
          <w:szCs w:val="28"/>
        </w:rPr>
        <w:t xml:space="preserve">for service to LLC’s </w:t>
      </w:r>
      <w:r w:rsidR="005E08E3" w:rsidRPr="004D6E6A">
        <w:rPr>
          <w:color w:val="000000" w:themeColor="text1"/>
          <w:sz w:val="28"/>
          <w:szCs w:val="28"/>
        </w:rPr>
        <w:t xml:space="preserve">have </w:t>
      </w:r>
      <w:r w:rsidR="00F61C24" w:rsidRPr="004D6E6A">
        <w:rPr>
          <w:color w:val="000000" w:themeColor="text1"/>
          <w:sz w:val="28"/>
          <w:szCs w:val="28"/>
        </w:rPr>
        <w:t xml:space="preserve">remained unchanged and have </w:t>
      </w:r>
      <w:r w:rsidR="005E08E3" w:rsidRPr="004D6E6A">
        <w:rPr>
          <w:color w:val="000000" w:themeColor="text1"/>
          <w:sz w:val="28"/>
          <w:szCs w:val="28"/>
        </w:rPr>
        <w:t xml:space="preserve">been in conflict with ARS §29-3119, which specifically addresses service to LLC’s. </w:t>
      </w:r>
      <w:r w:rsidR="006C671E" w:rsidRPr="004D6E6A">
        <w:rPr>
          <w:color w:val="000000" w:themeColor="text1"/>
          <w:sz w:val="28"/>
          <w:szCs w:val="28"/>
        </w:rPr>
        <w:t xml:space="preserve"> </w:t>
      </w:r>
      <w:r w:rsidR="005E08E3" w:rsidRPr="004D6E6A">
        <w:rPr>
          <w:color w:val="000000" w:themeColor="text1"/>
          <w:sz w:val="28"/>
          <w:szCs w:val="28"/>
        </w:rPr>
        <w:t>Unwarranted rejection by judicial officers of properly executed and documented services under statute have</w:t>
      </w:r>
      <w:r w:rsidR="006C671E" w:rsidRPr="004D6E6A">
        <w:rPr>
          <w:color w:val="000000" w:themeColor="text1"/>
          <w:sz w:val="28"/>
          <w:szCs w:val="28"/>
        </w:rPr>
        <w:t xml:space="preserve"> caused unnecessary delays, additional costs</w:t>
      </w:r>
      <w:r w:rsidRPr="004D6E6A">
        <w:rPr>
          <w:color w:val="000000" w:themeColor="text1"/>
          <w:sz w:val="28"/>
          <w:szCs w:val="28"/>
        </w:rPr>
        <w:t>,</w:t>
      </w:r>
      <w:r w:rsidR="006C671E" w:rsidRPr="004D6E6A">
        <w:rPr>
          <w:color w:val="000000" w:themeColor="text1"/>
          <w:sz w:val="28"/>
          <w:szCs w:val="28"/>
        </w:rPr>
        <w:t xml:space="preserve"> and procedures to secure service under </w:t>
      </w:r>
      <w:r w:rsidR="00941C3F" w:rsidRPr="004D6E6A">
        <w:rPr>
          <w:color w:val="000000" w:themeColor="text1"/>
          <w:sz w:val="28"/>
          <w:szCs w:val="28"/>
        </w:rPr>
        <w:t>rules of court superseded by the passage of ARS §29-3119</w:t>
      </w:r>
      <w:r w:rsidR="005E08E3" w:rsidRPr="004D6E6A">
        <w:rPr>
          <w:color w:val="000000" w:themeColor="text1"/>
          <w:sz w:val="28"/>
          <w:szCs w:val="28"/>
        </w:rPr>
        <w:t>.</w:t>
      </w:r>
      <w:r w:rsidR="002D662B">
        <w:rPr>
          <w:color w:val="000000" w:themeColor="text1"/>
          <w:sz w:val="28"/>
          <w:szCs w:val="28"/>
        </w:rPr>
        <w:t xml:space="preserve">  We believe this is a statewide problem of some urgency.</w:t>
      </w:r>
    </w:p>
    <w:p w14:paraId="32775CC1" w14:textId="2F05AE85" w:rsidR="00FA2E4B" w:rsidRPr="004D6E6A" w:rsidRDefault="00145A77" w:rsidP="002D662B">
      <w:pPr>
        <w:spacing w:line="276" w:lineRule="auto"/>
        <w:ind w:firstLine="720"/>
        <w:rPr>
          <w:color w:val="000000" w:themeColor="text1"/>
          <w:sz w:val="28"/>
          <w:szCs w:val="28"/>
        </w:rPr>
      </w:pPr>
      <w:r w:rsidRPr="004D6E6A">
        <w:rPr>
          <w:color w:val="000000" w:themeColor="text1"/>
          <w:sz w:val="28"/>
          <w:szCs w:val="28"/>
        </w:rPr>
        <w:t xml:space="preserve">APSA </w:t>
      </w:r>
      <w:r w:rsidR="00FA2E4B" w:rsidRPr="004D6E6A">
        <w:rPr>
          <w:color w:val="000000" w:themeColor="text1"/>
          <w:sz w:val="28"/>
          <w:szCs w:val="28"/>
        </w:rPr>
        <w:t xml:space="preserve">has reviewed the </w:t>
      </w:r>
      <w:r w:rsidRPr="004D6E6A">
        <w:rPr>
          <w:color w:val="000000" w:themeColor="text1"/>
          <w:sz w:val="28"/>
          <w:szCs w:val="28"/>
        </w:rPr>
        <w:t xml:space="preserve">position </w:t>
      </w:r>
      <w:r w:rsidR="00FA2E4B" w:rsidRPr="004D6E6A">
        <w:rPr>
          <w:color w:val="000000" w:themeColor="text1"/>
          <w:sz w:val="28"/>
          <w:szCs w:val="28"/>
        </w:rPr>
        <w:t>of</w:t>
      </w:r>
      <w:r w:rsidR="000D12D8" w:rsidRPr="004D6E6A">
        <w:rPr>
          <w:color w:val="000000" w:themeColor="text1"/>
          <w:sz w:val="28"/>
          <w:szCs w:val="28"/>
        </w:rPr>
        <w:t xml:space="preserve"> </w:t>
      </w:r>
      <w:r w:rsidRPr="004D6E6A">
        <w:rPr>
          <w:color w:val="000000" w:themeColor="text1"/>
          <w:sz w:val="28"/>
          <w:szCs w:val="28"/>
        </w:rPr>
        <w:t>the State Bar</w:t>
      </w:r>
      <w:r w:rsidR="000D12D8" w:rsidRPr="004D6E6A">
        <w:rPr>
          <w:color w:val="000000" w:themeColor="text1"/>
          <w:sz w:val="28"/>
          <w:szCs w:val="28"/>
        </w:rPr>
        <w:t xml:space="preserve"> as to their belief that </w:t>
      </w:r>
      <w:r w:rsidRPr="004D6E6A">
        <w:rPr>
          <w:color w:val="000000" w:themeColor="text1"/>
          <w:sz w:val="28"/>
          <w:szCs w:val="28"/>
        </w:rPr>
        <w:t xml:space="preserve">more investigation </w:t>
      </w:r>
      <w:r w:rsidR="00591FC3" w:rsidRPr="004D6E6A">
        <w:rPr>
          <w:color w:val="000000" w:themeColor="text1"/>
          <w:sz w:val="28"/>
          <w:szCs w:val="28"/>
        </w:rPr>
        <w:t xml:space="preserve">and study </w:t>
      </w:r>
      <w:r w:rsidRPr="004D6E6A">
        <w:rPr>
          <w:color w:val="000000" w:themeColor="text1"/>
          <w:sz w:val="28"/>
          <w:szCs w:val="28"/>
        </w:rPr>
        <w:t>is necessary</w:t>
      </w:r>
      <w:r w:rsidR="005842B3">
        <w:rPr>
          <w:color w:val="000000" w:themeColor="text1"/>
          <w:sz w:val="28"/>
          <w:szCs w:val="28"/>
        </w:rPr>
        <w:t xml:space="preserve"> to bring a comprehensive solution</w:t>
      </w:r>
      <w:r w:rsidR="000D12D8" w:rsidRPr="004D6E6A">
        <w:rPr>
          <w:color w:val="000000" w:themeColor="text1"/>
          <w:sz w:val="28"/>
          <w:szCs w:val="28"/>
        </w:rPr>
        <w:t xml:space="preserve">.  </w:t>
      </w:r>
      <w:r w:rsidR="00FA2E4B" w:rsidRPr="004D6E6A">
        <w:rPr>
          <w:color w:val="000000" w:themeColor="text1"/>
          <w:sz w:val="28"/>
          <w:szCs w:val="28"/>
        </w:rPr>
        <w:t xml:space="preserve">In this regard, we have amended our Petition to include service to an LLC in circumstances where the LLC is found to be out of </w:t>
      </w:r>
      <w:r w:rsidR="00C120E5">
        <w:rPr>
          <w:color w:val="000000" w:themeColor="text1"/>
          <w:sz w:val="28"/>
          <w:szCs w:val="28"/>
        </w:rPr>
        <w:t xml:space="preserve">the </w:t>
      </w:r>
      <w:r w:rsidR="00FA2E4B" w:rsidRPr="004D6E6A">
        <w:rPr>
          <w:color w:val="000000" w:themeColor="text1"/>
          <w:sz w:val="28"/>
          <w:szCs w:val="28"/>
        </w:rPr>
        <w:t>state or in a foreign country.</w:t>
      </w:r>
    </w:p>
    <w:p w14:paraId="10F229BA" w14:textId="77777777" w:rsidR="005842B3" w:rsidRPr="004D6E6A" w:rsidRDefault="00E56870" w:rsidP="005842B3">
      <w:pPr>
        <w:spacing w:line="276" w:lineRule="auto"/>
        <w:ind w:firstLine="720"/>
        <w:rPr>
          <w:rFonts w:eastAsia="Calibri"/>
          <w:color w:val="000000" w:themeColor="text1"/>
          <w:sz w:val="28"/>
          <w:szCs w:val="28"/>
          <w:lang w:eastAsia="ja-JP"/>
        </w:rPr>
      </w:pPr>
      <w:r w:rsidRPr="004D6E6A">
        <w:rPr>
          <w:rFonts w:eastAsia="Calibri"/>
          <w:color w:val="000000" w:themeColor="text1"/>
          <w:sz w:val="28"/>
          <w:szCs w:val="28"/>
          <w:lang w:eastAsia="ja-JP"/>
        </w:rPr>
        <w:t>The Petition</w:t>
      </w:r>
      <w:r w:rsidR="00245219" w:rsidRPr="004D6E6A">
        <w:rPr>
          <w:rFonts w:eastAsia="Calibri"/>
          <w:color w:val="000000" w:themeColor="text1"/>
          <w:sz w:val="28"/>
          <w:szCs w:val="28"/>
          <w:lang w:eastAsia="ja-JP"/>
        </w:rPr>
        <w:t>er</w:t>
      </w:r>
      <w:r w:rsidRPr="004D6E6A">
        <w:rPr>
          <w:rFonts w:eastAsia="Calibri"/>
          <w:color w:val="000000" w:themeColor="text1"/>
          <w:sz w:val="28"/>
          <w:szCs w:val="28"/>
          <w:lang w:eastAsia="ja-JP"/>
        </w:rPr>
        <w:t>’s proposal only contemplates</w:t>
      </w:r>
      <w:r w:rsidR="00F4220E" w:rsidRPr="004D6E6A">
        <w:rPr>
          <w:rFonts w:eastAsia="Calibri"/>
          <w:color w:val="000000" w:themeColor="text1"/>
          <w:sz w:val="28"/>
          <w:szCs w:val="28"/>
          <w:lang w:eastAsia="ja-JP"/>
        </w:rPr>
        <w:t xml:space="preserve"> service upon</w:t>
      </w:r>
      <w:r w:rsidRPr="004D6E6A">
        <w:rPr>
          <w:rFonts w:eastAsia="Calibri"/>
          <w:color w:val="000000" w:themeColor="text1"/>
          <w:sz w:val="28"/>
          <w:szCs w:val="28"/>
          <w:lang w:eastAsia="ja-JP"/>
        </w:rPr>
        <w:t xml:space="preserve"> LLCs.  We </w:t>
      </w:r>
      <w:r w:rsidR="00245219" w:rsidRPr="004D6E6A">
        <w:rPr>
          <w:rFonts w:eastAsia="Calibri"/>
          <w:color w:val="000000" w:themeColor="text1"/>
          <w:sz w:val="28"/>
          <w:szCs w:val="28"/>
          <w:lang w:eastAsia="ja-JP"/>
        </w:rPr>
        <w:t>take no issue with corporations, partnerships, and other associations</w:t>
      </w:r>
      <w:r w:rsidRPr="004D6E6A">
        <w:rPr>
          <w:rFonts w:eastAsia="Calibri"/>
          <w:color w:val="000000" w:themeColor="text1"/>
          <w:sz w:val="28"/>
          <w:szCs w:val="28"/>
          <w:lang w:eastAsia="ja-JP"/>
        </w:rPr>
        <w:t xml:space="preserve"> in that regard.  </w:t>
      </w:r>
      <w:r w:rsidR="00245219" w:rsidRPr="004D6E6A">
        <w:rPr>
          <w:rFonts w:eastAsia="Calibri"/>
          <w:color w:val="000000" w:themeColor="text1"/>
          <w:sz w:val="28"/>
          <w:szCs w:val="28"/>
          <w:lang w:eastAsia="ja-JP"/>
        </w:rPr>
        <w:t>O</w:t>
      </w:r>
      <w:r w:rsidRPr="004D6E6A">
        <w:rPr>
          <w:rFonts w:eastAsia="Calibri"/>
          <w:color w:val="000000" w:themeColor="text1"/>
          <w:sz w:val="28"/>
          <w:szCs w:val="28"/>
          <w:lang w:eastAsia="ja-JP"/>
        </w:rPr>
        <w:t xml:space="preserve">ur rule change </w:t>
      </w:r>
      <w:r w:rsidR="00D547FD" w:rsidRPr="004D6E6A">
        <w:rPr>
          <w:rFonts w:eastAsia="Calibri"/>
          <w:color w:val="000000" w:themeColor="text1"/>
          <w:sz w:val="28"/>
          <w:szCs w:val="28"/>
          <w:lang w:eastAsia="ja-JP"/>
        </w:rPr>
        <w:t>P</w:t>
      </w:r>
      <w:r w:rsidRPr="004D6E6A">
        <w:rPr>
          <w:rFonts w:eastAsia="Calibri"/>
          <w:color w:val="000000" w:themeColor="text1"/>
          <w:sz w:val="28"/>
          <w:szCs w:val="28"/>
          <w:lang w:eastAsia="ja-JP"/>
        </w:rPr>
        <w:t xml:space="preserve">etition only addresses LLC’s for the simple reason that the legislatively enacted ARS §29-3119 and its related sections </w:t>
      </w:r>
      <w:r w:rsidR="00876551" w:rsidRPr="004D6E6A">
        <w:rPr>
          <w:rFonts w:eastAsia="Calibri"/>
          <w:color w:val="000000" w:themeColor="text1"/>
          <w:sz w:val="28"/>
          <w:szCs w:val="28"/>
          <w:lang w:eastAsia="ja-JP"/>
        </w:rPr>
        <w:t xml:space="preserve">also </w:t>
      </w:r>
      <w:r w:rsidRPr="004D6E6A">
        <w:rPr>
          <w:rFonts w:eastAsia="Calibri"/>
          <w:color w:val="000000" w:themeColor="text1"/>
          <w:sz w:val="28"/>
          <w:szCs w:val="28"/>
          <w:lang w:eastAsia="ja-JP"/>
        </w:rPr>
        <w:t xml:space="preserve">only address LLC’s.  </w:t>
      </w:r>
      <w:r w:rsidR="005842B3" w:rsidRPr="004D6E6A">
        <w:rPr>
          <w:rFonts w:eastAsia="Calibri"/>
          <w:color w:val="000000" w:themeColor="text1"/>
          <w:sz w:val="28"/>
          <w:szCs w:val="28"/>
          <w:lang w:eastAsia="ja-JP"/>
        </w:rPr>
        <w:t>Any contemplated revisions to the rules for service upon corporations, partnerships, and other associations would be separate and unrelated to our Petition.</w:t>
      </w:r>
    </w:p>
    <w:p w14:paraId="55E275CC" w14:textId="0B9A671D" w:rsidR="00E56870" w:rsidRPr="004D6E6A" w:rsidRDefault="00E56870" w:rsidP="002D662B">
      <w:pPr>
        <w:spacing w:line="276" w:lineRule="auto"/>
        <w:ind w:firstLine="720"/>
        <w:rPr>
          <w:rFonts w:eastAsia="Calibri"/>
          <w:color w:val="000000" w:themeColor="text1"/>
          <w:sz w:val="28"/>
          <w:szCs w:val="28"/>
          <w:lang w:eastAsia="ja-JP"/>
        </w:rPr>
      </w:pPr>
      <w:r w:rsidRPr="004D6E6A">
        <w:rPr>
          <w:rFonts w:eastAsia="Calibri"/>
          <w:color w:val="000000" w:themeColor="text1"/>
          <w:sz w:val="28"/>
          <w:szCs w:val="28"/>
          <w:lang w:eastAsia="ja-JP"/>
        </w:rPr>
        <w:t xml:space="preserve">The language of the rule change Petition </w:t>
      </w:r>
      <w:r w:rsidR="00245219" w:rsidRPr="004D6E6A">
        <w:rPr>
          <w:rFonts w:eastAsia="Calibri"/>
          <w:color w:val="000000" w:themeColor="text1"/>
          <w:sz w:val="28"/>
          <w:szCs w:val="28"/>
          <w:lang w:eastAsia="ja-JP"/>
        </w:rPr>
        <w:t xml:space="preserve">submitted </w:t>
      </w:r>
      <w:r w:rsidRPr="004D6E6A">
        <w:rPr>
          <w:rFonts w:eastAsia="Calibri"/>
          <w:color w:val="000000" w:themeColor="text1"/>
          <w:sz w:val="28"/>
          <w:szCs w:val="28"/>
          <w:lang w:eastAsia="ja-JP"/>
        </w:rPr>
        <w:t xml:space="preserve">by </w:t>
      </w:r>
      <w:r w:rsidR="00580675" w:rsidRPr="004D6E6A">
        <w:rPr>
          <w:rFonts w:eastAsia="Calibri"/>
          <w:color w:val="000000" w:themeColor="text1"/>
          <w:sz w:val="28"/>
          <w:szCs w:val="28"/>
          <w:lang w:eastAsia="ja-JP"/>
        </w:rPr>
        <w:t xml:space="preserve">APSA </w:t>
      </w:r>
      <w:r w:rsidR="00003C43" w:rsidRPr="004D6E6A">
        <w:rPr>
          <w:rFonts w:eastAsia="Calibri"/>
          <w:color w:val="000000" w:themeColor="text1"/>
          <w:sz w:val="28"/>
          <w:szCs w:val="28"/>
          <w:lang w:eastAsia="ja-JP"/>
        </w:rPr>
        <w:t>specifically address</w:t>
      </w:r>
      <w:r w:rsidR="00580675" w:rsidRPr="004D6E6A">
        <w:rPr>
          <w:rFonts w:eastAsia="Calibri"/>
          <w:color w:val="000000" w:themeColor="text1"/>
          <w:sz w:val="28"/>
          <w:szCs w:val="28"/>
          <w:lang w:eastAsia="ja-JP"/>
        </w:rPr>
        <w:t xml:space="preserve">es </w:t>
      </w:r>
      <w:r w:rsidR="00003C43" w:rsidRPr="004D6E6A">
        <w:rPr>
          <w:rFonts w:eastAsia="Calibri"/>
          <w:color w:val="000000" w:themeColor="text1"/>
          <w:sz w:val="28"/>
          <w:szCs w:val="28"/>
          <w:lang w:eastAsia="ja-JP"/>
        </w:rPr>
        <w:t>only that which statute affects, seeking to preserve the due process rights of litigants and the integrity of the judiciary</w:t>
      </w:r>
      <w:r w:rsidRPr="004D6E6A">
        <w:rPr>
          <w:rFonts w:eastAsia="Calibri"/>
          <w:color w:val="000000" w:themeColor="text1"/>
          <w:sz w:val="28"/>
          <w:szCs w:val="28"/>
          <w:lang w:eastAsia="ja-JP"/>
        </w:rPr>
        <w:t>.</w:t>
      </w:r>
      <w:r w:rsidR="00954C80" w:rsidRPr="004D6E6A">
        <w:rPr>
          <w:rFonts w:eastAsia="Calibri"/>
          <w:color w:val="000000" w:themeColor="text1"/>
          <w:sz w:val="28"/>
          <w:szCs w:val="28"/>
          <w:lang w:eastAsia="ja-JP"/>
        </w:rPr>
        <w:t xml:space="preserve">  It is not meant to be a</w:t>
      </w:r>
      <w:r w:rsidR="005842B3">
        <w:rPr>
          <w:rFonts w:eastAsia="Calibri"/>
          <w:color w:val="000000" w:themeColor="text1"/>
          <w:sz w:val="28"/>
          <w:szCs w:val="28"/>
          <w:lang w:eastAsia="ja-JP"/>
        </w:rPr>
        <w:t>n all-encompassing</w:t>
      </w:r>
      <w:r w:rsidR="00954C80" w:rsidRPr="004D6E6A">
        <w:rPr>
          <w:rFonts w:eastAsia="Calibri"/>
          <w:color w:val="000000" w:themeColor="text1"/>
          <w:sz w:val="28"/>
          <w:szCs w:val="28"/>
          <w:lang w:eastAsia="ja-JP"/>
        </w:rPr>
        <w:t xml:space="preserve"> revision to our rules for service of process</w:t>
      </w:r>
      <w:r w:rsidR="005842B3">
        <w:rPr>
          <w:rFonts w:eastAsia="Calibri"/>
          <w:color w:val="000000" w:themeColor="text1"/>
          <w:sz w:val="28"/>
          <w:szCs w:val="28"/>
          <w:lang w:eastAsia="ja-JP"/>
        </w:rPr>
        <w:t xml:space="preserve">; rather, it is a proposed </w:t>
      </w:r>
      <w:r w:rsidR="00954C80" w:rsidRPr="004D6E6A">
        <w:rPr>
          <w:rFonts w:eastAsia="Calibri"/>
          <w:color w:val="000000" w:themeColor="text1"/>
          <w:sz w:val="28"/>
          <w:szCs w:val="28"/>
          <w:lang w:eastAsia="ja-JP"/>
        </w:rPr>
        <w:t xml:space="preserve">change in rules targeted </w:t>
      </w:r>
      <w:r w:rsidR="00A16DBC" w:rsidRPr="004D6E6A">
        <w:rPr>
          <w:rFonts w:eastAsia="Calibri"/>
          <w:color w:val="000000" w:themeColor="text1"/>
          <w:sz w:val="28"/>
          <w:szCs w:val="28"/>
          <w:lang w:eastAsia="ja-JP"/>
        </w:rPr>
        <w:t>at</w:t>
      </w:r>
      <w:r w:rsidR="00954C80" w:rsidRPr="004D6E6A">
        <w:rPr>
          <w:rFonts w:eastAsia="Calibri"/>
          <w:color w:val="000000" w:themeColor="text1"/>
          <w:sz w:val="28"/>
          <w:szCs w:val="28"/>
          <w:lang w:eastAsia="ja-JP"/>
        </w:rPr>
        <w:t xml:space="preserve"> a specific type of entity</w:t>
      </w:r>
      <w:r w:rsidR="00876551" w:rsidRPr="004D6E6A">
        <w:rPr>
          <w:rFonts w:eastAsia="Calibri"/>
          <w:color w:val="000000" w:themeColor="text1"/>
          <w:sz w:val="28"/>
          <w:szCs w:val="28"/>
          <w:lang w:eastAsia="ja-JP"/>
        </w:rPr>
        <w:t xml:space="preserve">, consistent with </w:t>
      </w:r>
      <w:r w:rsidR="00F4220E" w:rsidRPr="004D6E6A">
        <w:rPr>
          <w:rFonts w:eastAsia="Calibri"/>
          <w:color w:val="000000" w:themeColor="text1"/>
          <w:sz w:val="28"/>
          <w:szCs w:val="28"/>
          <w:lang w:eastAsia="ja-JP"/>
        </w:rPr>
        <w:t>ARS §29-3119</w:t>
      </w:r>
      <w:r w:rsidR="00954C80" w:rsidRPr="004D6E6A">
        <w:rPr>
          <w:rFonts w:eastAsia="Calibri"/>
          <w:color w:val="000000" w:themeColor="text1"/>
          <w:sz w:val="28"/>
          <w:szCs w:val="28"/>
          <w:lang w:eastAsia="ja-JP"/>
        </w:rPr>
        <w:t>.</w:t>
      </w:r>
    </w:p>
    <w:p w14:paraId="748033B9" w14:textId="6BBD8485" w:rsidR="00B27C08" w:rsidRDefault="00B27C08" w:rsidP="002D662B">
      <w:pPr>
        <w:spacing w:line="276" w:lineRule="auto"/>
        <w:ind w:firstLine="720"/>
        <w:rPr>
          <w:rFonts w:eastAsia="Calibri"/>
          <w:color w:val="000000" w:themeColor="text1"/>
          <w:sz w:val="28"/>
          <w:szCs w:val="28"/>
          <w:lang w:eastAsia="ja-JP"/>
        </w:rPr>
      </w:pPr>
      <w:r w:rsidRPr="004D6E6A">
        <w:rPr>
          <w:rFonts w:eastAsia="Calibri"/>
          <w:color w:val="000000" w:themeColor="text1"/>
          <w:sz w:val="28"/>
          <w:szCs w:val="28"/>
          <w:lang w:eastAsia="ja-JP"/>
        </w:rPr>
        <w:t>The State Bar indicates that “…a finding of due diligence or reasonable efforts</w:t>
      </w:r>
      <w:r w:rsidR="00A16DBC" w:rsidRPr="004D6E6A">
        <w:rPr>
          <w:rFonts w:eastAsia="Calibri"/>
          <w:color w:val="000000" w:themeColor="text1"/>
          <w:sz w:val="28"/>
          <w:szCs w:val="28"/>
          <w:lang w:eastAsia="ja-JP"/>
        </w:rPr>
        <w:t>…” should be “…</w:t>
      </w:r>
      <w:r w:rsidRPr="004D6E6A">
        <w:rPr>
          <w:rFonts w:eastAsia="Calibri"/>
          <w:color w:val="000000" w:themeColor="text1"/>
          <w:sz w:val="28"/>
          <w:szCs w:val="28"/>
          <w:lang w:eastAsia="ja-JP"/>
        </w:rPr>
        <w:t>made first…” before any alternative means of service is made.  ARS §29-3119 does not negate that requirement, but actually addresses it.  The statute mandates that service be attempted</w:t>
      </w:r>
      <w:r w:rsidR="00095E02" w:rsidRPr="004D6E6A">
        <w:rPr>
          <w:rFonts w:eastAsia="Calibri"/>
          <w:color w:val="000000" w:themeColor="text1"/>
          <w:sz w:val="28"/>
          <w:szCs w:val="28"/>
          <w:lang w:eastAsia="ja-JP"/>
        </w:rPr>
        <w:t xml:space="preserve"> or</w:t>
      </w:r>
      <w:r w:rsidRPr="004D6E6A">
        <w:rPr>
          <w:rFonts w:eastAsia="Calibri"/>
          <w:color w:val="000000" w:themeColor="text1"/>
          <w:sz w:val="28"/>
          <w:szCs w:val="28"/>
          <w:lang w:eastAsia="ja-JP"/>
        </w:rPr>
        <w:t xml:space="preserve"> made </w:t>
      </w:r>
      <w:r w:rsidR="005842B3">
        <w:rPr>
          <w:rFonts w:eastAsia="Calibri"/>
          <w:color w:val="000000" w:themeColor="text1"/>
          <w:sz w:val="28"/>
          <w:szCs w:val="28"/>
          <w:lang w:eastAsia="ja-JP"/>
        </w:rPr>
        <w:t>as follows:</w:t>
      </w:r>
    </w:p>
    <w:p w14:paraId="0A881BCB" w14:textId="77777777" w:rsidR="00694DD0" w:rsidRDefault="00694DD0" w:rsidP="002D662B">
      <w:pPr>
        <w:spacing w:line="276" w:lineRule="auto"/>
        <w:ind w:firstLine="720"/>
        <w:rPr>
          <w:rFonts w:eastAsia="Calibri"/>
          <w:color w:val="000000" w:themeColor="text1"/>
          <w:sz w:val="28"/>
          <w:szCs w:val="28"/>
          <w:lang w:eastAsia="ja-JP"/>
        </w:rPr>
      </w:pPr>
    </w:p>
    <w:p w14:paraId="26264460" w14:textId="77777777" w:rsidR="00694DD0" w:rsidRPr="004D6E6A" w:rsidRDefault="00694DD0" w:rsidP="002D662B">
      <w:pPr>
        <w:spacing w:line="276" w:lineRule="auto"/>
        <w:ind w:firstLine="720"/>
        <w:rPr>
          <w:rFonts w:eastAsia="Calibri"/>
          <w:color w:val="000000" w:themeColor="text1"/>
          <w:sz w:val="28"/>
          <w:szCs w:val="28"/>
          <w:lang w:eastAsia="ja-JP"/>
        </w:rPr>
      </w:pPr>
    </w:p>
    <w:p w14:paraId="7991EDA9" w14:textId="77777777" w:rsidR="00694DD0" w:rsidRPr="004271E3" w:rsidRDefault="00694DD0" w:rsidP="00694DD0">
      <w:pPr>
        <w:spacing w:line="360" w:lineRule="auto"/>
        <w:jc w:val="center"/>
        <w:rPr>
          <w:b/>
          <w:bCs/>
          <w:sz w:val="28"/>
          <w:szCs w:val="28"/>
        </w:rPr>
      </w:pPr>
      <w:r>
        <w:rPr>
          <w:b/>
          <w:bCs/>
          <w:sz w:val="28"/>
          <w:szCs w:val="28"/>
        </w:rPr>
        <w:lastRenderedPageBreak/>
        <w:t>ARS §</w:t>
      </w:r>
      <w:r w:rsidRPr="004271E3">
        <w:rPr>
          <w:b/>
          <w:bCs/>
          <w:sz w:val="28"/>
          <w:szCs w:val="28"/>
        </w:rPr>
        <w:t>29-3119. Service of process, notice or demand</w:t>
      </w:r>
    </w:p>
    <w:p w14:paraId="2C5FFB8F" w14:textId="3B4A94AC" w:rsidR="00095E02" w:rsidRPr="004D6E6A" w:rsidRDefault="00095E02" w:rsidP="00694DD0">
      <w:pPr>
        <w:spacing w:before="0" w:line="276" w:lineRule="auto"/>
        <w:ind w:left="720"/>
        <w:rPr>
          <w:color w:val="000000" w:themeColor="text1"/>
          <w:sz w:val="28"/>
          <w:szCs w:val="28"/>
        </w:rPr>
      </w:pPr>
      <w:r w:rsidRPr="004D6E6A">
        <w:rPr>
          <w:color w:val="000000" w:themeColor="text1"/>
          <w:sz w:val="28"/>
          <w:szCs w:val="28"/>
        </w:rPr>
        <w:t>A. A limited liability company or registered foreign limited liability company may be served with any process, notice or demand required or permitted by law by serving its statutory agent.</w:t>
      </w:r>
    </w:p>
    <w:p w14:paraId="794267BA" w14:textId="77777777" w:rsidR="00095E02" w:rsidRPr="004D6E6A" w:rsidRDefault="00095E02" w:rsidP="002D662B">
      <w:pPr>
        <w:spacing w:line="276" w:lineRule="auto"/>
        <w:ind w:left="720"/>
        <w:rPr>
          <w:color w:val="000000" w:themeColor="text1"/>
          <w:sz w:val="28"/>
          <w:szCs w:val="28"/>
        </w:rPr>
      </w:pPr>
      <w:r w:rsidRPr="004D6E6A">
        <w:rPr>
          <w:color w:val="000000" w:themeColor="text1"/>
          <w:sz w:val="28"/>
          <w:szCs w:val="28"/>
        </w:rPr>
        <w:t>B. If a limited liability company or registered foreign limited liability company ceases to have a statutory agent, or if its statutory agent cannot with reasonable diligence be served, the company or foreign company may be served by registered or certified mail, return receipt requested, or by a similar commercial delivery service, addressed to the company or foreign company at its principal address. The principal address must be as shown on the company's or foreign company's most recent filing with the commission.  Service is effected under this subsection on the earliest of any of the following:</w:t>
      </w:r>
    </w:p>
    <w:p w14:paraId="03923D70" w14:textId="77777777" w:rsidR="00095E02" w:rsidRPr="004D6E6A" w:rsidRDefault="00095E02" w:rsidP="002D662B">
      <w:pPr>
        <w:spacing w:line="276" w:lineRule="auto"/>
        <w:ind w:left="1440"/>
        <w:rPr>
          <w:color w:val="000000" w:themeColor="text1"/>
          <w:sz w:val="28"/>
          <w:szCs w:val="28"/>
        </w:rPr>
      </w:pPr>
      <w:r w:rsidRPr="004D6E6A">
        <w:rPr>
          <w:color w:val="000000" w:themeColor="text1"/>
          <w:sz w:val="28"/>
          <w:szCs w:val="28"/>
        </w:rPr>
        <w:t>1. The date the company or foreign company receives the mail or delivery by the commercial delivery service.</w:t>
      </w:r>
    </w:p>
    <w:p w14:paraId="1C4BB6B3" w14:textId="77777777" w:rsidR="00095E02" w:rsidRPr="004D6E6A" w:rsidRDefault="00095E02" w:rsidP="002D662B">
      <w:pPr>
        <w:spacing w:line="276" w:lineRule="auto"/>
        <w:ind w:left="1440"/>
        <w:rPr>
          <w:color w:val="000000" w:themeColor="text1"/>
          <w:sz w:val="28"/>
          <w:szCs w:val="28"/>
        </w:rPr>
      </w:pPr>
      <w:r w:rsidRPr="004D6E6A">
        <w:rPr>
          <w:color w:val="000000" w:themeColor="text1"/>
          <w:sz w:val="28"/>
          <w:szCs w:val="28"/>
        </w:rPr>
        <w:t>2. The date shown on the return receipt, if signed by the company or foreign company.</w:t>
      </w:r>
    </w:p>
    <w:p w14:paraId="1FACAFAB" w14:textId="77777777" w:rsidR="00095E02" w:rsidRPr="004D6E6A" w:rsidRDefault="00095E02" w:rsidP="002D662B">
      <w:pPr>
        <w:spacing w:line="276" w:lineRule="auto"/>
        <w:ind w:left="1440"/>
        <w:rPr>
          <w:color w:val="000000" w:themeColor="text1"/>
          <w:sz w:val="28"/>
          <w:szCs w:val="28"/>
        </w:rPr>
      </w:pPr>
      <w:r w:rsidRPr="004D6E6A">
        <w:rPr>
          <w:color w:val="000000" w:themeColor="text1"/>
          <w:sz w:val="28"/>
          <w:szCs w:val="28"/>
        </w:rPr>
        <w:t>3. Five days after the mail or delivery is deposited with the United States postal service or with the commercial delivery service, if correctly addressed and with sufficient postage or payment.</w:t>
      </w:r>
    </w:p>
    <w:p w14:paraId="3EDC0744" w14:textId="77777777" w:rsidR="00095E02" w:rsidRPr="004D6E6A" w:rsidRDefault="00095E02" w:rsidP="002D662B">
      <w:pPr>
        <w:spacing w:line="276" w:lineRule="auto"/>
        <w:ind w:left="720"/>
        <w:rPr>
          <w:color w:val="000000" w:themeColor="text1"/>
          <w:sz w:val="28"/>
          <w:szCs w:val="28"/>
        </w:rPr>
      </w:pPr>
      <w:r w:rsidRPr="004D6E6A">
        <w:rPr>
          <w:color w:val="000000" w:themeColor="text1"/>
          <w:sz w:val="28"/>
          <w:szCs w:val="28"/>
        </w:rPr>
        <w:t>C. If process, notice or demand cannot be served on a limited liability company or registered foreign limited liability company pursuant to subsection A or B of this section, service may be made by handing a copy to the individual in charge of any regular place of business or activity of the company or foreign company if the individual served is not a plaintiff in the action.</w:t>
      </w:r>
    </w:p>
    <w:p w14:paraId="1A0F94DF" w14:textId="77777777" w:rsidR="00095E02" w:rsidRPr="004D6E6A" w:rsidRDefault="00095E02" w:rsidP="002D662B">
      <w:pPr>
        <w:spacing w:line="276" w:lineRule="auto"/>
        <w:ind w:left="720"/>
        <w:rPr>
          <w:color w:val="000000" w:themeColor="text1"/>
          <w:sz w:val="28"/>
          <w:szCs w:val="28"/>
        </w:rPr>
      </w:pPr>
      <w:r w:rsidRPr="004D6E6A">
        <w:rPr>
          <w:color w:val="000000" w:themeColor="text1"/>
          <w:sz w:val="28"/>
          <w:szCs w:val="28"/>
        </w:rPr>
        <w:t>D. Service of process, notice or demand on a statutory agent must be in a written record.</w:t>
      </w:r>
    </w:p>
    <w:p w14:paraId="62CEE854" w14:textId="77777777" w:rsidR="00095E02" w:rsidRPr="004D6E6A" w:rsidRDefault="00095E02" w:rsidP="002D662B">
      <w:pPr>
        <w:spacing w:after="240" w:line="276" w:lineRule="auto"/>
        <w:ind w:left="720"/>
        <w:rPr>
          <w:color w:val="000000" w:themeColor="text1"/>
          <w:sz w:val="28"/>
          <w:szCs w:val="28"/>
        </w:rPr>
      </w:pPr>
      <w:r w:rsidRPr="004D6E6A">
        <w:rPr>
          <w:color w:val="000000" w:themeColor="text1"/>
          <w:sz w:val="28"/>
          <w:szCs w:val="28"/>
        </w:rPr>
        <w:t>E. Service of process, notice or demand may be made by other means under law other than this chapter.</w:t>
      </w:r>
    </w:p>
    <w:p w14:paraId="36F5FC01" w14:textId="128A0634" w:rsidR="00095E02" w:rsidRPr="004D6E6A" w:rsidRDefault="00095E02" w:rsidP="002D662B">
      <w:pPr>
        <w:spacing w:line="276" w:lineRule="auto"/>
        <w:ind w:firstLine="720"/>
        <w:rPr>
          <w:color w:val="000000" w:themeColor="text1"/>
          <w:sz w:val="28"/>
          <w:szCs w:val="28"/>
        </w:rPr>
      </w:pPr>
      <w:r w:rsidRPr="004D6E6A">
        <w:rPr>
          <w:rFonts w:eastAsia="Calibri"/>
          <w:color w:val="000000" w:themeColor="text1"/>
          <w:sz w:val="28"/>
          <w:szCs w:val="28"/>
          <w:lang w:eastAsia="ja-JP"/>
        </w:rPr>
        <w:lastRenderedPageBreak/>
        <w:t>Accordingly, statute (ARS §29-3119) has already addressed the issue of “…a finding of due diligence or reasonable efforts</w:t>
      </w:r>
      <w:r w:rsidR="00A16DBC" w:rsidRPr="004D6E6A">
        <w:rPr>
          <w:rFonts w:eastAsia="Calibri"/>
          <w:color w:val="000000" w:themeColor="text1"/>
          <w:sz w:val="28"/>
          <w:szCs w:val="28"/>
          <w:lang w:eastAsia="ja-JP"/>
        </w:rPr>
        <w:t xml:space="preserve"> </w:t>
      </w:r>
      <w:r w:rsidRPr="004D6E6A">
        <w:rPr>
          <w:rFonts w:eastAsia="Calibri"/>
          <w:color w:val="000000" w:themeColor="text1"/>
          <w:sz w:val="28"/>
          <w:szCs w:val="28"/>
          <w:lang w:eastAsia="ja-JP"/>
        </w:rPr>
        <w:t xml:space="preserve">…” by means of </w:t>
      </w:r>
      <w:r w:rsidR="00392D69" w:rsidRPr="004D6E6A">
        <w:rPr>
          <w:rFonts w:eastAsia="Calibri"/>
          <w:color w:val="000000" w:themeColor="text1"/>
          <w:sz w:val="28"/>
          <w:szCs w:val="28"/>
          <w:lang w:eastAsia="ja-JP"/>
        </w:rPr>
        <w:t xml:space="preserve">the procedural steps outlined in ARS §29-3119 (A), (B), </w:t>
      </w:r>
      <w:r w:rsidR="00A16DBC" w:rsidRPr="004D6E6A">
        <w:rPr>
          <w:rFonts w:eastAsia="Calibri"/>
          <w:color w:val="000000" w:themeColor="text1"/>
          <w:sz w:val="28"/>
          <w:szCs w:val="28"/>
          <w:lang w:eastAsia="ja-JP"/>
        </w:rPr>
        <w:t xml:space="preserve">and </w:t>
      </w:r>
      <w:r w:rsidR="00392D69" w:rsidRPr="004D6E6A">
        <w:rPr>
          <w:rFonts w:eastAsia="Calibri"/>
          <w:color w:val="000000" w:themeColor="text1"/>
          <w:sz w:val="28"/>
          <w:szCs w:val="28"/>
          <w:lang w:eastAsia="ja-JP"/>
        </w:rPr>
        <w:t>(C)</w:t>
      </w:r>
      <w:r w:rsidR="00A16DBC" w:rsidRPr="004D6E6A">
        <w:rPr>
          <w:rFonts w:eastAsia="Calibri"/>
          <w:color w:val="000000" w:themeColor="text1"/>
          <w:sz w:val="28"/>
          <w:szCs w:val="28"/>
          <w:lang w:eastAsia="ja-JP"/>
        </w:rPr>
        <w:t xml:space="preserve">.  Subsection </w:t>
      </w:r>
      <w:r w:rsidR="00392D69" w:rsidRPr="004D6E6A">
        <w:rPr>
          <w:rFonts w:eastAsia="Calibri"/>
          <w:color w:val="000000" w:themeColor="text1"/>
          <w:sz w:val="28"/>
          <w:szCs w:val="28"/>
          <w:lang w:eastAsia="ja-JP"/>
        </w:rPr>
        <w:t>(D)</w:t>
      </w:r>
      <w:r w:rsidR="00A16DBC" w:rsidRPr="004D6E6A">
        <w:rPr>
          <w:rFonts w:eastAsia="Calibri"/>
          <w:color w:val="000000" w:themeColor="text1"/>
          <w:sz w:val="28"/>
          <w:szCs w:val="28"/>
          <w:lang w:eastAsia="ja-JP"/>
        </w:rPr>
        <w:t xml:space="preserve"> </w:t>
      </w:r>
      <w:r w:rsidR="00954328" w:rsidRPr="004D6E6A">
        <w:rPr>
          <w:rFonts w:eastAsia="Calibri"/>
          <w:color w:val="000000" w:themeColor="text1"/>
          <w:sz w:val="28"/>
          <w:szCs w:val="28"/>
          <w:lang w:eastAsia="ja-JP"/>
        </w:rPr>
        <w:t>mandates</w:t>
      </w:r>
      <w:r w:rsidR="00A16DBC" w:rsidRPr="004D6E6A">
        <w:rPr>
          <w:rFonts w:eastAsia="Calibri"/>
          <w:color w:val="000000" w:themeColor="text1"/>
          <w:sz w:val="28"/>
          <w:szCs w:val="28"/>
          <w:lang w:eastAsia="ja-JP"/>
        </w:rPr>
        <w:t xml:space="preserve"> the specific efforts must be documented, </w:t>
      </w:r>
      <w:r w:rsidR="00954328" w:rsidRPr="004D6E6A">
        <w:rPr>
          <w:rFonts w:eastAsia="Calibri"/>
          <w:color w:val="000000" w:themeColor="text1"/>
          <w:sz w:val="28"/>
          <w:szCs w:val="28"/>
          <w:lang w:eastAsia="ja-JP"/>
        </w:rPr>
        <w:t xml:space="preserve">which are by practice </w:t>
      </w:r>
      <w:r w:rsidR="00A16DBC" w:rsidRPr="004D6E6A">
        <w:rPr>
          <w:rFonts w:eastAsia="Calibri"/>
          <w:color w:val="000000" w:themeColor="text1"/>
          <w:sz w:val="28"/>
          <w:szCs w:val="28"/>
          <w:lang w:eastAsia="ja-JP"/>
        </w:rPr>
        <w:t xml:space="preserve">rendered either in a written Proof of Service, or Declaration of Diligent Attempts by process servers. </w:t>
      </w:r>
      <w:r w:rsidR="00876551" w:rsidRPr="004D6E6A">
        <w:rPr>
          <w:rFonts w:eastAsia="Calibri"/>
          <w:color w:val="000000" w:themeColor="text1"/>
          <w:sz w:val="28"/>
          <w:szCs w:val="28"/>
          <w:lang w:eastAsia="ja-JP"/>
        </w:rPr>
        <w:t>I</w:t>
      </w:r>
      <w:r w:rsidR="00392D69" w:rsidRPr="004D6E6A">
        <w:rPr>
          <w:rFonts w:eastAsia="Calibri"/>
          <w:color w:val="000000" w:themeColor="text1"/>
          <w:sz w:val="28"/>
          <w:szCs w:val="28"/>
          <w:lang w:eastAsia="ja-JP"/>
        </w:rPr>
        <w:t xml:space="preserve">f all diligent and reasonable attempts indicated in (A) through (C) have proven impracticable or impossible for service, </w:t>
      </w:r>
      <w:r w:rsidR="00876551" w:rsidRPr="004D6E6A">
        <w:rPr>
          <w:rFonts w:eastAsia="Calibri"/>
          <w:color w:val="000000" w:themeColor="text1"/>
          <w:sz w:val="28"/>
          <w:szCs w:val="28"/>
          <w:lang w:eastAsia="ja-JP"/>
        </w:rPr>
        <w:t xml:space="preserve">subsection (E) </w:t>
      </w:r>
      <w:r w:rsidR="00A16DBC" w:rsidRPr="004D6E6A">
        <w:rPr>
          <w:rFonts w:eastAsia="Calibri"/>
          <w:color w:val="000000" w:themeColor="text1"/>
          <w:sz w:val="28"/>
          <w:szCs w:val="28"/>
          <w:lang w:eastAsia="ja-JP"/>
        </w:rPr>
        <w:t xml:space="preserve">indicates </w:t>
      </w:r>
      <w:r w:rsidR="00392D69" w:rsidRPr="004D6E6A">
        <w:rPr>
          <w:rFonts w:eastAsia="Calibri"/>
          <w:color w:val="000000" w:themeColor="text1"/>
          <w:sz w:val="28"/>
          <w:szCs w:val="28"/>
          <w:lang w:eastAsia="ja-JP"/>
        </w:rPr>
        <w:t xml:space="preserve">the litigant may seek other means of service allowed such as </w:t>
      </w:r>
      <w:r w:rsidR="00392D69" w:rsidRPr="004D6E6A">
        <w:rPr>
          <w:color w:val="000000" w:themeColor="text1"/>
          <w:sz w:val="28"/>
          <w:szCs w:val="28"/>
        </w:rPr>
        <w:t>alternative means of service or service by publication.</w:t>
      </w:r>
    </w:p>
    <w:p w14:paraId="7713358E" w14:textId="6649F763" w:rsidR="00694DD0" w:rsidRDefault="00694DD0" w:rsidP="00694DD0">
      <w:pPr>
        <w:spacing w:line="276" w:lineRule="auto"/>
        <w:ind w:firstLine="720"/>
        <w:jc w:val="center"/>
        <w:rPr>
          <w:b/>
          <w:bCs/>
          <w:color w:val="000000" w:themeColor="text1"/>
          <w:sz w:val="28"/>
          <w:szCs w:val="28"/>
        </w:rPr>
      </w:pPr>
      <w:r>
        <w:rPr>
          <w:b/>
          <w:bCs/>
          <w:color w:val="000000" w:themeColor="text1"/>
          <w:sz w:val="28"/>
          <w:szCs w:val="28"/>
        </w:rPr>
        <w:t xml:space="preserve">Amended </w:t>
      </w:r>
      <w:r w:rsidRPr="00694DD0">
        <w:rPr>
          <w:b/>
          <w:bCs/>
          <w:color w:val="000000" w:themeColor="text1"/>
          <w:sz w:val="28"/>
          <w:szCs w:val="28"/>
        </w:rPr>
        <w:t>Proposed Language</w:t>
      </w:r>
    </w:p>
    <w:p w14:paraId="773C212C" w14:textId="11E77228" w:rsidR="00580675" w:rsidRDefault="00580675" w:rsidP="002D662B">
      <w:pPr>
        <w:spacing w:line="276" w:lineRule="auto"/>
        <w:ind w:firstLine="720"/>
        <w:rPr>
          <w:color w:val="000000" w:themeColor="text1"/>
          <w:sz w:val="28"/>
          <w:szCs w:val="28"/>
        </w:rPr>
      </w:pPr>
      <w:r w:rsidRPr="004D6E6A">
        <w:rPr>
          <w:color w:val="000000" w:themeColor="text1"/>
          <w:sz w:val="28"/>
          <w:szCs w:val="28"/>
        </w:rPr>
        <w:t xml:space="preserve">APSA, in taking the State Bar’s </w:t>
      </w:r>
      <w:r w:rsidR="002D662B" w:rsidRPr="002D662B">
        <w:rPr>
          <w:i/>
          <w:iCs/>
          <w:color w:val="000000" w:themeColor="text1"/>
          <w:sz w:val="28"/>
          <w:szCs w:val="28"/>
        </w:rPr>
        <w:t>C</w:t>
      </w:r>
      <w:r w:rsidRPr="002D662B">
        <w:rPr>
          <w:i/>
          <w:iCs/>
          <w:color w:val="000000" w:themeColor="text1"/>
          <w:sz w:val="28"/>
          <w:szCs w:val="28"/>
        </w:rPr>
        <w:t xml:space="preserve">omment </w:t>
      </w:r>
      <w:r w:rsidRPr="004D6E6A">
        <w:rPr>
          <w:color w:val="000000" w:themeColor="text1"/>
          <w:sz w:val="28"/>
          <w:szCs w:val="28"/>
        </w:rPr>
        <w:t xml:space="preserve">to heart, has further researched the issue.  Accordingly, we present modified language to our original Petition to include those situations where the LLC is found out of state or in a foreign country.  The Amendments do not seek to </w:t>
      </w:r>
      <w:r w:rsidR="004D6E6A" w:rsidRPr="004D6E6A">
        <w:rPr>
          <w:color w:val="000000" w:themeColor="text1"/>
          <w:sz w:val="28"/>
          <w:szCs w:val="28"/>
        </w:rPr>
        <w:t xml:space="preserve">comprehensively </w:t>
      </w:r>
      <w:r w:rsidRPr="004D6E6A">
        <w:rPr>
          <w:color w:val="000000" w:themeColor="text1"/>
          <w:sz w:val="28"/>
          <w:szCs w:val="28"/>
        </w:rPr>
        <w:t>rewrite those relevant rules, but address only service to LLC’s.</w:t>
      </w:r>
    </w:p>
    <w:p w14:paraId="3ED1F439" w14:textId="7DA9080C" w:rsidR="007C2A0E" w:rsidRPr="007C2A0E" w:rsidRDefault="007C2A0E" w:rsidP="007C2A0E">
      <w:pPr>
        <w:spacing w:line="276" w:lineRule="auto"/>
        <w:ind w:firstLine="720"/>
        <w:jc w:val="center"/>
        <w:rPr>
          <w:b/>
          <w:bCs/>
          <w:color w:val="000000" w:themeColor="text1"/>
          <w:sz w:val="28"/>
          <w:szCs w:val="28"/>
        </w:rPr>
      </w:pPr>
      <w:r w:rsidRPr="007C2A0E">
        <w:rPr>
          <w:b/>
          <w:bCs/>
          <w:color w:val="000000" w:themeColor="text1"/>
          <w:sz w:val="28"/>
          <w:szCs w:val="28"/>
        </w:rPr>
        <w:t>AMENDED PETITION</w:t>
      </w:r>
    </w:p>
    <w:p w14:paraId="13CF2AB4" w14:textId="2D05B39F" w:rsidR="00580675" w:rsidRPr="004D6E6A" w:rsidRDefault="00580675" w:rsidP="005842B3">
      <w:pPr>
        <w:spacing w:line="276" w:lineRule="auto"/>
        <w:ind w:left="720"/>
        <w:rPr>
          <w:b/>
          <w:bCs/>
          <w:color w:val="000000" w:themeColor="text1"/>
          <w:sz w:val="28"/>
          <w:szCs w:val="28"/>
        </w:rPr>
      </w:pPr>
      <w:r w:rsidRPr="004D6E6A">
        <w:rPr>
          <w:b/>
          <w:color w:val="000000" w:themeColor="text1"/>
          <w:sz w:val="28"/>
          <w:szCs w:val="28"/>
        </w:rPr>
        <w:t>ARCP Rule 4.1(i): Serving a Corporation, Partnership, or Other Unincorporated Association.</w:t>
      </w:r>
      <w:r w:rsidRPr="004D6E6A">
        <w:rPr>
          <w:color w:val="000000" w:themeColor="text1"/>
          <w:sz w:val="28"/>
          <w:szCs w:val="28"/>
        </w:rPr>
        <w:t xml:space="preserve"> If a domestic or foreign corporation, partnership, or other unincorporated association has the legal capacity to be sued and has not waived service under Rule 4.1(c), it may be served by delivering a copy of the summons and the pleading being served to a partner, an officer, a managing or general agent, or any other agent authorized by appointment or by law to receive service of process and--if the agent is one authorized by statute and the statute so requires--by also mailing a copy of each to the defendant. </w:t>
      </w:r>
      <w:r w:rsidRPr="00694DD0">
        <w:rPr>
          <w:color w:val="000000" w:themeColor="text1"/>
          <w:sz w:val="28"/>
          <w:szCs w:val="28"/>
          <w:u w:val="single"/>
        </w:rPr>
        <w:t>SERVICE UPON A LIMITED LIABILITY COMPANY SHALL BE MADE IN COMPLIANCE WITH ARIZONA REVISED STATUTES §29-3119.  IN THE EVENT THAT SERVICE CANNOT BE EFFECTED UNDER ARS §29-3119(A), (B), OR (C), SERVICE MAY BE ORDERED ACCORDING TO RULE 4.1(k) OR 4.1(l) PER ARS §29-3119(E).</w:t>
      </w:r>
      <w:r w:rsidR="00C120E5">
        <w:rPr>
          <w:rStyle w:val="FootnoteReference"/>
          <w:b/>
          <w:bCs/>
          <w:color w:val="000000" w:themeColor="text1"/>
          <w:sz w:val="28"/>
          <w:szCs w:val="28"/>
        </w:rPr>
        <w:footnoteReference w:id="1"/>
      </w:r>
    </w:p>
    <w:p w14:paraId="33AC7698" w14:textId="0D7FD694" w:rsidR="00580675" w:rsidRPr="004D6E6A" w:rsidRDefault="00580675" w:rsidP="005842B3">
      <w:pPr>
        <w:spacing w:line="276" w:lineRule="auto"/>
        <w:ind w:left="720"/>
        <w:rPr>
          <w:b/>
          <w:bCs/>
          <w:color w:val="000000" w:themeColor="text1"/>
          <w:sz w:val="28"/>
          <w:szCs w:val="28"/>
        </w:rPr>
      </w:pPr>
      <w:r w:rsidRPr="004D6E6A">
        <w:rPr>
          <w:b/>
          <w:bCs/>
          <w:color w:val="000000" w:themeColor="text1"/>
          <w:sz w:val="28"/>
          <w:szCs w:val="28"/>
        </w:rPr>
        <w:lastRenderedPageBreak/>
        <w:t xml:space="preserve">ARCP Rule 4.2(h): Serving a Corporation, Partnership or Other Unincorporated Association Located Outside Arizona but Within the United States. </w:t>
      </w:r>
      <w:r w:rsidRPr="004D6E6A">
        <w:rPr>
          <w:color w:val="000000" w:themeColor="text1"/>
          <w:sz w:val="28"/>
          <w:szCs w:val="28"/>
        </w:rPr>
        <w:t>If a corporation, partnership, or other unincorporated association is located outside Arizona but within the United States, it may be served by delivering a copy of the summons and the pleading being served to a partner, an officer, a managing or general agent, or any other agent authorized by appointment or by law to receive service of process and--if the agent is one authorized by statute and the statute so requires--by also mailing a copy of each to the defendant.</w:t>
      </w:r>
      <w:r w:rsidR="00694DD0">
        <w:rPr>
          <w:color w:val="000000" w:themeColor="text1"/>
          <w:sz w:val="28"/>
          <w:szCs w:val="28"/>
        </w:rPr>
        <w:t xml:space="preserve"> </w:t>
      </w:r>
      <w:r w:rsidRPr="00694DD0">
        <w:rPr>
          <w:color w:val="000000" w:themeColor="text1"/>
          <w:sz w:val="28"/>
          <w:szCs w:val="28"/>
          <w:u w:val="single"/>
        </w:rPr>
        <w:t>SERVICE UPON A LIMITED LIABILITY COMPANY SHALL BE MADE IN COMPLIANCE WITH ARIZONA REVISED STATUTES §29-3119.  IN THE EVENT THAT SERVICE CANNOT BE EFFECTED UNDER ARS §29-3119(A), (B), OR (C), SERVICE MAY BE ORDERED ACCORDING TO RULE 4.2(f) PER ARS §29-3119(E).</w:t>
      </w:r>
      <w:r w:rsidR="00C120E5">
        <w:rPr>
          <w:rStyle w:val="FootnoteReference"/>
          <w:b/>
          <w:bCs/>
          <w:color w:val="000000" w:themeColor="text1"/>
          <w:sz w:val="28"/>
          <w:szCs w:val="28"/>
        </w:rPr>
        <w:footnoteReference w:id="2"/>
      </w:r>
    </w:p>
    <w:p w14:paraId="7A4E7CCF" w14:textId="7B060C41" w:rsidR="00580675" w:rsidRPr="004D6E6A" w:rsidRDefault="00580675" w:rsidP="005842B3">
      <w:pPr>
        <w:spacing w:line="276" w:lineRule="auto"/>
        <w:ind w:left="720"/>
        <w:rPr>
          <w:color w:val="000000" w:themeColor="text1"/>
          <w:sz w:val="28"/>
          <w:szCs w:val="28"/>
        </w:rPr>
      </w:pPr>
      <w:r w:rsidRPr="004D6E6A">
        <w:rPr>
          <w:b/>
          <w:bCs/>
          <w:color w:val="000000" w:themeColor="text1"/>
          <w:sz w:val="28"/>
          <w:szCs w:val="28"/>
        </w:rPr>
        <w:t xml:space="preserve">ARCP Rule 4.2(k) Serving a Corporation, Partnership, or Other Incorporated Association in a Foreign Country. </w:t>
      </w:r>
      <w:r w:rsidRPr="004D6E6A">
        <w:rPr>
          <w:color w:val="000000" w:themeColor="text1"/>
          <w:sz w:val="28"/>
          <w:szCs w:val="28"/>
        </w:rPr>
        <w:t xml:space="preserve">Unless federal law provides otherwise or the defendant's waiver has been filed under Rule 4.2(d), a corporation, partnership, </w:t>
      </w:r>
      <w:r w:rsidRPr="00694DD0">
        <w:rPr>
          <w:color w:val="000000" w:themeColor="text1"/>
          <w:sz w:val="28"/>
          <w:szCs w:val="28"/>
          <w:u w:val="single"/>
        </w:rPr>
        <w:t>A LIMITED LIABILITY COMPANY</w:t>
      </w:r>
      <w:r w:rsidRPr="004D6E6A">
        <w:rPr>
          <w:b/>
          <w:bCs/>
          <w:color w:val="000000" w:themeColor="text1"/>
          <w:sz w:val="28"/>
          <w:szCs w:val="28"/>
        </w:rPr>
        <w:t>,</w:t>
      </w:r>
      <w:r w:rsidRPr="004D6E6A">
        <w:rPr>
          <w:color w:val="000000" w:themeColor="text1"/>
          <w:sz w:val="28"/>
          <w:szCs w:val="28"/>
        </w:rPr>
        <w:t xml:space="preserve"> or other unincorporated association that has the legal capacity to be sued may be served at a place not within any judicial district of the United States by delivering a copy of the summons and pleading being served in the manner set forth in Rule 4.2(i) for serving an individual, except personal delivery under Rule 4.2(i)(2)(C)(i).</w:t>
      </w:r>
    </w:p>
    <w:p w14:paraId="7C34F9EE" w14:textId="7B31B372" w:rsidR="00580675" w:rsidRPr="004D6E6A" w:rsidRDefault="00580675" w:rsidP="005842B3">
      <w:pPr>
        <w:spacing w:line="276" w:lineRule="auto"/>
        <w:ind w:left="720"/>
        <w:rPr>
          <w:b/>
          <w:bCs/>
          <w:color w:val="000000" w:themeColor="text1"/>
          <w:sz w:val="28"/>
          <w:szCs w:val="28"/>
        </w:rPr>
      </w:pPr>
      <w:r w:rsidRPr="004D6E6A">
        <w:rPr>
          <w:b/>
          <w:bCs/>
          <w:color w:val="000000" w:themeColor="text1"/>
          <w:sz w:val="28"/>
          <w:szCs w:val="28"/>
        </w:rPr>
        <w:t>RFLP Rule 41(j): Serving a Corporation, Partnership, or Other Unincorporated Association.</w:t>
      </w:r>
      <w:r w:rsidRPr="004D6E6A">
        <w:rPr>
          <w:color w:val="000000" w:themeColor="text1"/>
          <w:sz w:val="28"/>
          <w:szCs w:val="28"/>
        </w:rPr>
        <w:t xml:space="preserve"> If a domestic or foreign corporation, partnership, or other unincorporated association has the legal capacity to be sued it may be served by delivering a copy of the summons and the pleading to a partner, an officer, a managing or general agent, or any other agent authorized by appointment or by law to receive service, and if required by statute, by also mailing a copy to the party. </w:t>
      </w:r>
      <w:r w:rsidRPr="00694DD0">
        <w:rPr>
          <w:color w:val="000000" w:themeColor="text1"/>
          <w:sz w:val="28"/>
          <w:szCs w:val="28"/>
          <w:u w:val="single"/>
        </w:rPr>
        <w:t xml:space="preserve">SERVICE UPON A LIMITED LIABILITY COMPANY SHALL BE MADE IN COMPLIANCE WITH </w:t>
      </w:r>
      <w:r w:rsidRPr="00694DD0">
        <w:rPr>
          <w:color w:val="000000" w:themeColor="text1"/>
          <w:sz w:val="28"/>
          <w:szCs w:val="28"/>
          <w:u w:val="single"/>
        </w:rPr>
        <w:lastRenderedPageBreak/>
        <w:t>ARIZONA REVISED STATUTES §29-3119.  IN THE EVENT THAT SERVICE CANNOT BE EFFECTED UNDER ARS §29-3119(A), (B), OR (C), SERVICE MAY BE ORDERED ACCORDING TO RULE 41(l) OR 41(m) PER ARS §29-3119(E).  IF THE LIMITED LIABILITY COMPANY IS LOCATED IN A FOREIGN COUNTRY, SERVICE SHALL PROCEED ACCORDING TO RULE 41(h).</w:t>
      </w:r>
      <w:r w:rsidR="00A25191">
        <w:rPr>
          <w:rStyle w:val="FootnoteReference"/>
          <w:b/>
          <w:bCs/>
          <w:color w:val="000000" w:themeColor="text1"/>
          <w:sz w:val="28"/>
          <w:szCs w:val="28"/>
        </w:rPr>
        <w:footnoteReference w:id="3"/>
      </w:r>
    </w:p>
    <w:p w14:paraId="6C928270" w14:textId="12411182" w:rsidR="00580675" w:rsidRPr="004D6E6A" w:rsidRDefault="00580675" w:rsidP="005842B3">
      <w:pPr>
        <w:spacing w:line="276" w:lineRule="auto"/>
        <w:ind w:left="720"/>
        <w:rPr>
          <w:b/>
          <w:bCs/>
          <w:color w:val="000000" w:themeColor="text1"/>
          <w:sz w:val="28"/>
          <w:szCs w:val="28"/>
        </w:rPr>
      </w:pPr>
      <w:r w:rsidRPr="004D6E6A">
        <w:rPr>
          <w:b/>
          <w:bCs/>
          <w:color w:val="000000" w:themeColor="text1"/>
          <w:sz w:val="28"/>
          <w:szCs w:val="28"/>
        </w:rPr>
        <w:t xml:space="preserve">JCRCP Rule 113(b): Service on a corporation, partnership, limited liability company, or association within the State of Arizona. </w:t>
      </w:r>
      <w:r w:rsidRPr="004D6E6A">
        <w:rPr>
          <w:color w:val="000000" w:themeColor="text1"/>
          <w:sz w:val="28"/>
          <w:szCs w:val="28"/>
        </w:rPr>
        <w:t xml:space="preserve">Service of a summons and complaint within the State of Arizona upon a corporation, a partnership, </w:t>
      </w:r>
      <w:r w:rsidRPr="004D6E6A">
        <w:rPr>
          <w:strike/>
          <w:color w:val="000000" w:themeColor="text1"/>
          <w:sz w:val="28"/>
          <w:szCs w:val="28"/>
        </w:rPr>
        <w:t>a limited liability company,</w:t>
      </w:r>
      <w:r w:rsidRPr="004D6E6A">
        <w:rPr>
          <w:color w:val="000000" w:themeColor="text1"/>
          <w:sz w:val="28"/>
          <w:szCs w:val="28"/>
        </w:rPr>
        <w:t xml:space="preserve"> or an association must be made by personally serving an officer, a partner, or a managing or general agent, or by serving any other agent authorized by law to receive service on behalf of the organization. The constable or certified private process server must prepare an affidavit as proof that a corporation, a partnership, a limited liability company, or an association was served, and the proof of service must be filed with the court. </w:t>
      </w:r>
      <w:r w:rsidRPr="00694DD0">
        <w:rPr>
          <w:color w:val="000000" w:themeColor="text1"/>
          <w:sz w:val="28"/>
          <w:szCs w:val="28"/>
          <w:u w:val="single"/>
        </w:rPr>
        <w:t>SERVICE UPON A LIMITED LIABILITY COMPANY IS TO BE MADE IN COMPLIANCE WITH ARIZONA REVISED STATUTES §29-3119.  IN THE EVENT THAT SERVICE CANNOT BE EFFECTED UNDER ARS §29-3119(A), (B), OR (C), SERVICE MAY BE ORDERED ACCORDING TO RULE 4.1(k) OR RULE 4.1(l), PER ARS §29-3119(E).  IF THE LIMITED LIABILITY COMPANY IS LOCATED OUTSIDE THE STATE OF ARIZONA AND SERVICE CANNOT BE EFFECTED UNDER ARS §29-3119(A), (B), OR (C), SERVICE MAY BE MADE ACCORDING TO RULE 4.2(h).  IF THE LIMITED LIABILITY COMPANY IS LOCATED IN A FOREIGN COUNTRY, SERVICE SHALL PROCEED ACCORDING TO RULE 4.2(</w:t>
      </w:r>
      <w:r w:rsidR="00A25191" w:rsidRPr="00694DD0">
        <w:rPr>
          <w:color w:val="000000" w:themeColor="text1"/>
          <w:sz w:val="28"/>
          <w:szCs w:val="28"/>
          <w:u w:val="single"/>
        </w:rPr>
        <w:t>i</w:t>
      </w:r>
      <w:r w:rsidRPr="00694DD0">
        <w:rPr>
          <w:color w:val="000000" w:themeColor="text1"/>
          <w:sz w:val="28"/>
          <w:szCs w:val="28"/>
          <w:u w:val="single"/>
        </w:rPr>
        <w:t>).</w:t>
      </w:r>
      <w:r w:rsidR="00A25191">
        <w:rPr>
          <w:rStyle w:val="FootnoteReference"/>
          <w:b/>
          <w:bCs/>
          <w:color w:val="000000" w:themeColor="text1"/>
          <w:sz w:val="28"/>
          <w:szCs w:val="28"/>
        </w:rPr>
        <w:footnoteReference w:id="4"/>
      </w:r>
    </w:p>
    <w:p w14:paraId="4BA2EFDC" w14:textId="28A992D3" w:rsidR="00580675" w:rsidRPr="004D6E6A" w:rsidRDefault="00580675" w:rsidP="005842B3">
      <w:pPr>
        <w:spacing w:line="276" w:lineRule="auto"/>
        <w:ind w:left="720"/>
        <w:rPr>
          <w:color w:val="000000" w:themeColor="text1"/>
          <w:sz w:val="28"/>
          <w:szCs w:val="28"/>
        </w:rPr>
      </w:pPr>
      <w:r w:rsidRPr="004D6E6A">
        <w:rPr>
          <w:b/>
          <w:bCs/>
          <w:color w:val="000000" w:themeColor="text1"/>
          <w:sz w:val="28"/>
          <w:szCs w:val="28"/>
        </w:rPr>
        <w:lastRenderedPageBreak/>
        <w:t xml:space="preserve">RSCP Rule 5(b) -- How to Serve the Defendant. </w:t>
      </w:r>
      <w:r w:rsidRPr="004D6E6A">
        <w:rPr>
          <w:color w:val="000000" w:themeColor="text1"/>
          <w:sz w:val="28"/>
          <w:szCs w:val="28"/>
        </w:rPr>
        <w:t xml:space="preserve">The plaintiff must serve each defendant with the complaint, and the summons and Notice to the Plaintiff and Defendant provided by the court by either: </w:t>
      </w:r>
    </w:p>
    <w:p w14:paraId="44D8976C" w14:textId="77777777" w:rsidR="00580675" w:rsidRPr="004D6E6A" w:rsidRDefault="00580675" w:rsidP="005842B3">
      <w:pPr>
        <w:spacing w:line="276" w:lineRule="auto"/>
        <w:ind w:left="720"/>
        <w:rPr>
          <w:color w:val="000000" w:themeColor="text1"/>
          <w:sz w:val="28"/>
          <w:szCs w:val="28"/>
        </w:rPr>
      </w:pPr>
      <w:r w:rsidRPr="004D6E6A">
        <w:rPr>
          <w:color w:val="000000" w:themeColor="text1"/>
          <w:sz w:val="28"/>
          <w:szCs w:val="28"/>
        </w:rPr>
        <w:t>(1) Registered or Certified Mail. The plaintiff may serve the defendant by registered or certified mail, with a “return receipt requested.” The plaintiff must file the return receipt with the court within 45 days of the complaint filing date to establish that the defendant was served. The return receipt can be the card returned to the plaintiff by the postal or delivery service or the return receipt printed from the postal or delivery service's website; or</w:t>
      </w:r>
    </w:p>
    <w:p w14:paraId="65194070" w14:textId="14C2BA21" w:rsidR="00580675" w:rsidRPr="00694DD0" w:rsidRDefault="00580675" w:rsidP="005842B3">
      <w:pPr>
        <w:spacing w:line="276" w:lineRule="auto"/>
        <w:ind w:left="720"/>
        <w:rPr>
          <w:color w:val="000000" w:themeColor="text1"/>
          <w:sz w:val="28"/>
          <w:szCs w:val="28"/>
          <w:u w:val="single"/>
        </w:rPr>
      </w:pPr>
      <w:r w:rsidRPr="004D6E6A">
        <w:rPr>
          <w:color w:val="000000" w:themeColor="text1"/>
          <w:sz w:val="28"/>
          <w:szCs w:val="28"/>
        </w:rPr>
        <w:t xml:space="preserve">(2) Constable, Sheriff, or Private Process Server. The plaintiff may arrange for personal service on the defendant by a constable, sheriff, or private process server. An affidavit of service must be filed with the court within 45 days of the complaint filing date.  “Personal service” means that the constable, sheriff, or private process server must deliver a copy of the summons and pleading to the individual defendant personally, or leave copies at the individual's </w:t>
      </w:r>
      <w:r w:rsidRPr="004D6E6A">
        <w:rPr>
          <w:strike/>
          <w:color w:val="000000" w:themeColor="text1"/>
          <w:sz w:val="28"/>
          <w:szCs w:val="28"/>
        </w:rPr>
        <w:t>residence</w:t>
      </w:r>
      <w:r w:rsidRPr="004D6E6A">
        <w:rPr>
          <w:color w:val="000000" w:themeColor="text1"/>
          <w:sz w:val="28"/>
          <w:szCs w:val="28"/>
        </w:rPr>
        <w:t xml:space="preserve"> abode with a person of suitable age and discretion who lives there, or deliver copies to an authorized agent of the defendant. Service on a corporation, partnership, or association within the State of Arizona is to be made in accordance with Justice Court Rules of Civil Procedure, Rule 113(b). </w:t>
      </w:r>
      <w:r w:rsidRPr="00694DD0">
        <w:rPr>
          <w:color w:val="000000" w:themeColor="text1"/>
          <w:sz w:val="28"/>
          <w:szCs w:val="28"/>
          <w:u w:val="single"/>
        </w:rPr>
        <w:t>SERVICE UPON A LIMITED LIABILITY COMPANY IS TO BE MADE IN COMPLIANCE WITH ARIZONA REVISED STATUTES §29-3119.  SERVICE SHALL BE EFFECTED UNDER ARS §29-3119(A), (B), OR (C).</w:t>
      </w:r>
    </w:p>
    <w:p w14:paraId="056898E1" w14:textId="115BBE14" w:rsidR="000657E1" w:rsidRPr="004D6E6A" w:rsidRDefault="000657E1" w:rsidP="002D662B">
      <w:pPr>
        <w:spacing w:line="276" w:lineRule="auto"/>
        <w:ind w:firstLine="720"/>
        <w:rPr>
          <w:rFonts w:eastAsia="Calibri"/>
          <w:color w:val="000000" w:themeColor="text1"/>
          <w:sz w:val="28"/>
          <w:szCs w:val="28"/>
          <w:lang w:eastAsia="ja-JP"/>
        </w:rPr>
      </w:pPr>
      <w:r w:rsidRPr="004D6E6A">
        <w:rPr>
          <w:rFonts w:eastAsia="Calibri"/>
          <w:color w:val="000000" w:themeColor="text1"/>
          <w:sz w:val="28"/>
          <w:szCs w:val="28"/>
          <w:lang w:eastAsia="ja-JP"/>
        </w:rPr>
        <w:t>APSA believes the language</w:t>
      </w:r>
      <w:r w:rsidR="00B42BF8">
        <w:rPr>
          <w:rFonts w:eastAsia="Calibri"/>
          <w:color w:val="000000" w:themeColor="text1"/>
          <w:sz w:val="28"/>
          <w:szCs w:val="28"/>
          <w:lang w:eastAsia="ja-JP"/>
        </w:rPr>
        <w:t xml:space="preserve"> in </w:t>
      </w:r>
      <w:r w:rsidR="00182CA9" w:rsidRPr="004D6E6A">
        <w:rPr>
          <w:rFonts w:eastAsia="Calibri"/>
          <w:color w:val="000000" w:themeColor="text1"/>
          <w:sz w:val="28"/>
          <w:szCs w:val="28"/>
          <w:lang w:eastAsia="ja-JP"/>
        </w:rPr>
        <w:t>our Petition</w:t>
      </w:r>
      <w:r w:rsidRPr="004D6E6A">
        <w:rPr>
          <w:rFonts w:eastAsia="Calibri"/>
          <w:color w:val="000000" w:themeColor="text1"/>
          <w:sz w:val="28"/>
          <w:szCs w:val="28"/>
          <w:lang w:eastAsia="ja-JP"/>
        </w:rPr>
        <w:t xml:space="preserve"> is reasonable, specific, and sufficiently precise </w:t>
      </w:r>
      <w:r w:rsidR="00182CA9" w:rsidRPr="004D6E6A">
        <w:rPr>
          <w:rFonts w:eastAsia="Calibri"/>
          <w:color w:val="000000" w:themeColor="text1"/>
          <w:sz w:val="28"/>
          <w:szCs w:val="28"/>
          <w:lang w:eastAsia="ja-JP"/>
        </w:rPr>
        <w:t xml:space="preserve">in its language </w:t>
      </w:r>
      <w:r w:rsidRPr="004D6E6A">
        <w:rPr>
          <w:rFonts w:eastAsia="Calibri"/>
          <w:color w:val="000000" w:themeColor="text1"/>
          <w:sz w:val="28"/>
          <w:szCs w:val="28"/>
          <w:lang w:eastAsia="ja-JP"/>
        </w:rPr>
        <w:t xml:space="preserve">to address service of process on LLC’s, which is the sole </w:t>
      </w:r>
      <w:r w:rsidR="00182CA9" w:rsidRPr="004D6E6A">
        <w:rPr>
          <w:rFonts w:eastAsia="Calibri"/>
          <w:color w:val="000000" w:themeColor="text1"/>
          <w:sz w:val="28"/>
          <w:szCs w:val="28"/>
          <w:lang w:eastAsia="ja-JP"/>
        </w:rPr>
        <w:t>concern of our Petition.</w:t>
      </w:r>
      <w:r w:rsidR="00B42BF8">
        <w:rPr>
          <w:rFonts w:eastAsia="Calibri"/>
          <w:color w:val="000000" w:themeColor="text1"/>
          <w:sz w:val="28"/>
          <w:szCs w:val="28"/>
          <w:lang w:eastAsia="ja-JP"/>
        </w:rPr>
        <w:t xml:space="preserve">  We ask that our Amended Petition be approved.</w:t>
      </w:r>
    </w:p>
    <w:p w14:paraId="59922480" w14:textId="77777777" w:rsidR="004738EF" w:rsidRPr="004D6E6A" w:rsidRDefault="004738EF" w:rsidP="002D662B">
      <w:pPr>
        <w:overflowPunct w:val="0"/>
        <w:autoSpaceDE w:val="0"/>
        <w:autoSpaceDN w:val="0"/>
        <w:adjustRightInd w:val="0"/>
        <w:spacing w:before="0" w:line="276" w:lineRule="auto"/>
        <w:ind w:right="90"/>
        <w:textAlignment w:val="baseline"/>
        <w:rPr>
          <w:rFonts w:eastAsia="Times New Roman"/>
          <w:color w:val="000000" w:themeColor="text1"/>
          <w:kern w:val="0"/>
          <w:sz w:val="28"/>
          <w:szCs w:val="28"/>
          <w14:ligatures w14:val="none"/>
        </w:rPr>
      </w:pPr>
    </w:p>
    <w:p w14:paraId="7C842E0E" w14:textId="463E2805" w:rsidR="00B256A0" w:rsidRPr="004D6E6A" w:rsidRDefault="00B256A0" w:rsidP="002D662B">
      <w:pPr>
        <w:overflowPunct w:val="0"/>
        <w:autoSpaceDE w:val="0"/>
        <w:autoSpaceDN w:val="0"/>
        <w:adjustRightInd w:val="0"/>
        <w:spacing w:before="0" w:line="276" w:lineRule="auto"/>
        <w:ind w:right="90"/>
        <w:textAlignment w:val="baseline"/>
        <w:rPr>
          <w:rFonts w:eastAsia="Times New Roman"/>
          <w:color w:val="000000" w:themeColor="text1"/>
          <w:kern w:val="0"/>
          <w:sz w:val="28"/>
          <w:szCs w:val="28"/>
          <w14:ligatures w14:val="none"/>
        </w:rPr>
      </w:pPr>
      <w:r w:rsidRPr="004D6E6A">
        <w:rPr>
          <w:rFonts w:eastAsia="Times New Roman"/>
          <w:color w:val="000000" w:themeColor="text1"/>
          <w:kern w:val="0"/>
          <w:sz w:val="28"/>
          <w:szCs w:val="28"/>
          <w14:ligatures w14:val="none"/>
        </w:rPr>
        <w:t>Respectfully submitted,</w:t>
      </w:r>
    </w:p>
    <w:p w14:paraId="75E7C3E5" w14:textId="77777777" w:rsidR="00B256A0" w:rsidRPr="004D6E6A" w:rsidRDefault="00B256A0" w:rsidP="002D662B">
      <w:pPr>
        <w:overflowPunct w:val="0"/>
        <w:autoSpaceDE w:val="0"/>
        <w:autoSpaceDN w:val="0"/>
        <w:adjustRightInd w:val="0"/>
        <w:spacing w:before="0" w:line="276" w:lineRule="auto"/>
        <w:textAlignment w:val="baseline"/>
        <w:rPr>
          <w:rFonts w:eastAsia="Times New Roman"/>
          <w:b/>
          <w:color w:val="000000" w:themeColor="text1"/>
          <w:kern w:val="0"/>
          <w:sz w:val="28"/>
          <w:szCs w:val="28"/>
          <w14:ligatures w14:val="none"/>
        </w:rPr>
      </w:pPr>
      <w:r w:rsidRPr="004D6E6A">
        <w:rPr>
          <w:rFonts w:eastAsia="Times New Roman"/>
          <w:b/>
          <w:color w:val="000000" w:themeColor="text1"/>
          <w:kern w:val="0"/>
          <w:sz w:val="28"/>
          <w:szCs w:val="28"/>
          <w14:ligatures w14:val="none"/>
        </w:rPr>
        <w:t>Arizona Process Servers Association</w:t>
      </w:r>
    </w:p>
    <w:p w14:paraId="57532F49" w14:textId="77777777" w:rsidR="00B256A0" w:rsidRPr="004D6E6A" w:rsidRDefault="00B256A0" w:rsidP="002D662B">
      <w:pPr>
        <w:overflowPunct w:val="0"/>
        <w:autoSpaceDE w:val="0"/>
        <w:autoSpaceDN w:val="0"/>
        <w:adjustRightInd w:val="0"/>
        <w:spacing w:before="0" w:line="276" w:lineRule="auto"/>
        <w:ind w:right="90" w:firstLine="720"/>
        <w:textAlignment w:val="baseline"/>
        <w:rPr>
          <w:rFonts w:eastAsia="Times New Roman"/>
          <w:b/>
          <w:color w:val="000000" w:themeColor="text1"/>
          <w:kern w:val="0"/>
          <w:sz w:val="28"/>
          <w:szCs w:val="28"/>
          <w14:ligatures w14:val="none"/>
        </w:rPr>
      </w:pPr>
      <w:r w:rsidRPr="004D6E6A">
        <w:rPr>
          <w:rFonts w:eastAsia="Times New Roman"/>
          <w:b/>
          <w:color w:val="000000" w:themeColor="text1"/>
          <w:kern w:val="0"/>
          <w:sz w:val="28"/>
          <w:szCs w:val="28"/>
          <w14:ligatures w14:val="none"/>
        </w:rPr>
        <w:t>/S/</w:t>
      </w:r>
    </w:p>
    <w:p w14:paraId="2D49F08B" w14:textId="77777777" w:rsidR="00B256A0" w:rsidRPr="004D6E6A" w:rsidRDefault="00B256A0" w:rsidP="002D662B">
      <w:pPr>
        <w:overflowPunct w:val="0"/>
        <w:autoSpaceDE w:val="0"/>
        <w:autoSpaceDN w:val="0"/>
        <w:adjustRightInd w:val="0"/>
        <w:spacing w:before="0" w:line="276" w:lineRule="auto"/>
        <w:ind w:right="90"/>
        <w:textAlignment w:val="baseline"/>
        <w:rPr>
          <w:rFonts w:eastAsia="Times New Roman"/>
          <w:b/>
          <w:color w:val="000000" w:themeColor="text1"/>
          <w:kern w:val="0"/>
          <w:sz w:val="28"/>
          <w:szCs w:val="28"/>
          <w14:ligatures w14:val="none"/>
        </w:rPr>
      </w:pPr>
      <w:r w:rsidRPr="004D6E6A">
        <w:rPr>
          <w:rFonts w:eastAsia="Times New Roman"/>
          <w:b/>
          <w:color w:val="000000" w:themeColor="text1"/>
          <w:kern w:val="0"/>
          <w:sz w:val="28"/>
          <w:szCs w:val="28"/>
          <w14:ligatures w14:val="none"/>
        </w:rPr>
        <w:t>BARRY R. GOLDMAN</w:t>
      </w:r>
    </w:p>
    <w:p w14:paraId="089DC2FD" w14:textId="77777777" w:rsidR="00B256A0" w:rsidRPr="004D6E6A" w:rsidRDefault="00B256A0" w:rsidP="002D662B">
      <w:pPr>
        <w:overflowPunct w:val="0"/>
        <w:autoSpaceDE w:val="0"/>
        <w:autoSpaceDN w:val="0"/>
        <w:adjustRightInd w:val="0"/>
        <w:spacing w:before="0" w:line="276" w:lineRule="auto"/>
        <w:textAlignment w:val="baseline"/>
        <w:rPr>
          <w:rFonts w:eastAsia="Times New Roman"/>
          <w:bCs/>
          <w:color w:val="000000" w:themeColor="text1"/>
          <w:kern w:val="0"/>
          <w:sz w:val="28"/>
          <w:szCs w:val="28"/>
          <w14:ligatures w14:val="none"/>
        </w:rPr>
      </w:pPr>
      <w:r w:rsidRPr="004D6E6A">
        <w:rPr>
          <w:rFonts w:eastAsia="Times New Roman"/>
          <w:bCs/>
          <w:color w:val="000000" w:themeColor="text1"/>
          <w:kern w:val="0"/>
          <w:sz w:val="28"/>
          <w:szCs w:val="28"/>
          <w14:ligatures w14:val="none"/>
        </w:rPr>
        <w:t>Administrator, Secretary/Treasurer</w:t>
      </w:r>
    </w:p>
    <w:p w14:paraId="274E2A1F" w14:textId="03BE9E64" w:rsidR="00594CEA" w:rsidRPr="004D6E6A" w:rsidRDefault="00594CEA" w:rsidP="002D662B">
      <w:pPr>
        <w:spacing w:line="276" w:lineRule="auto"/>
        <w:rPr>
          <w:rFonts w:eastAsia="Times New Roman"/>
          <w:bCs/>
          <w:color w:val="000000" w:themeColor="text1"/>
          <w:kern w:val="0"/>
          <w:sz w:val="28"/>
          <w:szCs w:val="28"/>
          <w14:ligatures w14:val="none"/>
        </w:rPr>
      </w:pPr>
    </w:p>
    <w:p w14:paraId="1A3B7FB5" w14:textId="77777777" w:rsidR="00954328" w:rsidRPr="004D6E6A" w:rsidRDefault="00954328" w:rsidP="002D662B">
      <w:pPr>
        <w:overflowPunct w:val="0"/>
        <w:autoSpaceDE w:val="0"/>
        <w:autoSpaceDN w:val="0"/>
        <w:adjustRightInd w:val="0"/>
        <w:spacing w:before="0" w:line="276" w:lineRule="auto"/>
        <w:textAlignment w:val="baseline"/>
        <w:rPr>
          <w:rFonts w:eastAsia="Times New Roman"/>
          <w:color w:val="000000" w:themeColor="text1"/>
          <w:kern w:val="0"/>
          <w:sz w:val="28"/>
          <w:szCs w:val="28"/>
          <w14:ligatures w14:val="none"/>
        </w:rPr>
      </w:pPr>
      <w:r w:rsidRPr="004D6E6A">
        <w:rPr>
          <w:rFonts w:eastAsia="Times New Roman"/>
          <w:color w:val="000000" w:themeColor="text1"/>
          <w:kern w:val="0"/>
          <w:sz w:val="28"/>
          <w:szCs w:val="28"/>
          <w14:ligatures w14:val="none"/>
        </w:rPr>
        <w:t xml:space="preserve">Susie Baldwin, President </w:t>
      </w:r>
    </w:p>
    <w:p w14:paraId="779F0A3C" w14:textId="77777777" w:rsidR="00954328" w:rsidRPr="004D6E6A" w:rsidRDefault="00954328" w:rsidP="002D662B">
      <w:pPr>
        <w:overflowPunct w:val="0"/>
        <w:autoSpaceDE w:val="0"/>
        <w:autoSpaceDN w:val="0"/>
        <w:adjustRightInd w:val="0"/>
        <w:spacing w:before="0" w:line="276" w:lineRule="auto"/>
        <w:textAlignment w:val="baseline"/>
        <w:rPr>
          <w:rFonts w:eastAsia="Times New Roman"/>
          <w:color w:val="000000" w:themeColor="text1"/>
          <w:kern w:val="0"/>
          <w:sz w:val="28"/>
          <w:szCs w:val="28"/>
          <w14:ligatures w14:val="none"/>
        </w:rPr>
      </w:pPr>
      <w:r w:rsidRPr="004D6E6A">
        <w:rPr>
          <w:rFonts w:eastAsia="Times New Roman"/>
          <w:color w:val="000000" w:themeColor="text1"/>
          <w:kern w:val="0"/>
          <w:sz w:val="28"/>
          <w:szCs w:val="28"/>
          <w14:ligatures w14:val="none"/>
        </w:rPr>
        <w:t xml:space="preserve">John Osborn, Vice President </w:t>
      </w:r>
    </w:p>
    <w:p w14:paraId="2B588494" w14:textId="77777777" w:rsidR="00954328" w:rsidRPr="004D6E6A" w:rsidRDefault="00954328" w:rsidP="002D662B">
      <w:pPr>
        <w:overflowPunct w:val="0"/>
        <w:autoSpaceDE w:val="0"/>
        <w:autoSpaceDN w:val="0"/>
        <w:adjustRightInd w:val="0"/>
        <w:spacing w:before="0" w:line="276" w:lineRule="auto"/>
        <w:textAlignment w:val="baseline"/>
        <w:rPr>
          <w:rFonts w:eastAsia="Times New Roman"/>
          <w:color w:val="000000" w:themeColor="text1"/>
          <w:kern w:val="0"/>
          <w:sz w:val="28"/>
          <w:szCs w:val="28"/>
          <w14:ligatures w14:val="none"/>
        </w:rPr>
      </w:pPr>
      <w:r w:rsidRPr="004D6E6A">
        <w:rPr>
          <w:rFonts w:eastAsia="Times New Roman"/>
          <w:color w:val="000000" w:themeColor="text1"/>
          <w:kern w:val="0"/>
          <w:sz w:val="28"/>
          <w:szCs w:val="28"/>
          <w14:ligatures w14:val="none"/>
        </w:rPr>
        <w:t xml:space="preserve">Barry R.  Goldman, Secretary/Treasurer/Admin.  </w:t>
      </w:r>
    </w:p>
    <w:p w14:paraId="7DE2E114" w14:textId="77777777" w:rsidR="00954328" w:rsidRPr="004D6E6A" w:rsidRDefault="00954328" w:rsidP="002D662B">
      <w:pPr>
        <w:overflowPunct w:val="0"/>
        <w:autoSpaceDE w:val="0"/>
        <w:autoSpaceDN w:val="0"/>
        <w:adjustRightInd w:val="0"/>
        <w:spacing w:before="0" w:line="276" w:lineRule="auto"/>
        <w:textAlignment w:val="baseline"/>
        <w:rPr>
          <w:rFonts w:eastAsia="Times New Roman"/>
          <w:color w:val="000000" w:themeColor="text1"/>
          <w:kern w:val="0"/>
          <w:sz w:val="28"/>
          <w:szCs w:val="28"/>
          <w14:ligatures w14:val="none"/>
        </w:rPr>
      </w:pPr>
      <w:r w:rsidRPr="004D6E6A">
        <w:rPr>
          <w:rFonts w:eastAsia="Times New Roman"/>
          <w:color w:val="000000" w:themeColor="text1"/>
          <w:kern w:val="0"/>
          <w:sz w:val="28"/>
          <w:szCs w:val="28"/>
          <w14:ligatures w14:val="none"/>
        </w:rPr>
        <w:t xml:space="preserve">Larry J.  Ratcliff, Immed.  Past Pres.  </w:t>
      </w:r>
    </w:p>
    <w:p w14:paraId="03E1A8C4" w14:textId="77777777" w:rsidR="00954328" w:rsidRPr="004D6E6A" w:rsidRDefault="00954328" w:rsidP="002D662B">
      <w:pPr>
        <w:overflowPunct w:val="0"/>
        <w:autoSpaceDE w:val="0"/>
        <w:autoSpaceDN w:val="0"/>
        <w:adjustRightInd w:val="0"/>
        <w:spacing w:before="0" w:line="276" w:lineRule="auto"/>
        <w:textAlignment w:val="baseline"/>
        <w:rPr>
          <w:rFonts w:eastAsia="Times New Roman"/>
          <w:color w:val="000000" w:themeColor="text1"/>
          <w:kern w:val="0"/>
          <w:sz w:val="28"/>
          <w:szCs w:val="28"/>
          <w14:ligatures w14:val="none"/>
        </w:rPr>
      </w:pPr>
      <w:r w:rsidRPr="004D6E6A">
        <w:rPr>
          <w:rFonts w:eastAsia="Times New Roman"/>
          <w:color w:val="000000" w:themeColor="text1"/>
          <w:kern w:val="0"/>
          <w:sz w:val="28"/>
          <w:szCs w:val="28"/>
          <w14:ligatures w14:val="none"/>
        </w:rPr>
        <w:t xml:space="preserve">Steve Butcher (Director #1) (2025)  </w:t>
      </w:r>
    </w:p>
    <w:p w14:paraId="03141B48" w14:textId="77777777" w:rsidR="00954328" w:rsidRPr="004D6E6A" w:rsidRDefault="00954328" w:rsidP="002D662B">
      <w:pPr>
        <w:overflowPunct w:val="0"/>
        <w:autoSpaceDE w:val="0"/>
        <w:autoSpaceDN w:val="0"/>
        <w:adjustRightInd w:val="0"/>
        <w:spacing w:before="0" w:line="276" w:lineRule="auto"/>
        <w:textAlignment w:val="baseline"/>
        <w:rPr>
          <w:rFonts w:eastAsia="Times New Roman"/>
          <w:color w:val="000000" w:themeColor="text1"/>
          <w:kern w:val="0"/>
          <w:sz w:val="28"/>
          <w:szCs w:val="28"/>
          <w14:ligatures w14:val="none"/>
        </w:rPr>
      </w:pPr>
      <w:r w:rsidRPr="004D6E6A">
        <w:rPr>
          <w:rFonts w:eastAsia="Times New Roman"/>
          <w:color w:val="000000" w:themeColor="text1"/>
          <w:kern w:val="0"/>
          <w:sz w:val="28"/>
          <w:szCs w:val="28"/>
          <w14:ligatures w14:val="none"/>
        </w:rPr>
        <w:t xml:space="preserve">Catherine Hess (Director #2) (2026) </w:t>
      </w:r>
    </w:p>
    <w:p w14:paraId="356755D9" w14:textId="77777777" w:rsidR="00954328" w:rsidRPr="004D6E6A" w:rsidRDefault="00954328" w:rsidP="002D662B">
      <w:pPr>
        <w:overflowPunct w:val="0"/>
        <w:autoSpaceDE w:val="0"/>
        <w:autoSpaceDN w:val="0"/>
        <w:adjustRightInd w:val="0"/>
        <w:spacing w:before="0" w:line="276" w:lineRule="auto"/>
        <w:textAlignment w:val="baseline"/>
        <w:rPr>
          <w:rFonts w:eastAsia="Times New Roman"/>
          <w:color w:val="000000" w:themeColor="text1"/>
          <w:kern w:val="0"/>
          <w:sz w:val="28"/>
          <w:szCs w:val="28"/>
          <w14:ligatures w14:val="none"/>
        </w:rPr>
      </w:pPr>
      <w:r w:rsidRPr="004D6E6A">
        <w:rPr>
          <w:rFonts w:eastAsia="Times New Roman"/>
          <w:color w:val="000000" w:themeColor="text1"/>
          <w:kern w:val="0"/>
          <w:sz w:val="28"/>
          <w:szCs w:val="28"/>
          <w14:ligatures w14:val="none"/>
        </w:rPr>
        <w:t xml:space="preserve">Gregory Scott Hardy (Director #3) (2025) </w:t>
      </w:r>
    </w:p>
    <w:p w14:paraId="5855449E" w14:textId="77777777" w:rsidR="00954328" w:rsidRPr="004D6E6A" w:rsidRDefault="00954328" w:rsidP="002D662B">
      <w:pPr>
        <w:overflowPunct w:val="0"/>
        <w:autoSpaceDE w:val="0"/>
        <w:autoSpaceDN w:val="0"/>
        <w:adjustRightInd w:val="0"/>
        <w:spacing w:before="0" w:line="276" w:lineRule="auto"/>
        <w:textAlignment w:val="baseline"/>
        <w:rPr>
          <w:rFonts w:eastAsia="Times New Roman"/>
          <w:color w:val="000000" w:themeColor="text1"/>
          <w:kern w:val="0"/>
          <w:sz w:val="28"/>
          <w:szCs w:val="28"/>
          <w14:ligatures w14:val="none"/>
        </w:rPr>
      </w:pPr>
      <w:r w:rsidRPr="004D6E6A">
        <w:rPr>
          <w:rFonts w:eastAsia="Times New Roman"/>
          <w:color w:val="000000" w:themeColor="text1"/>
          <w:kern w:val="0"/>
          <w:sz w:val="28"/>
          <w:szCs w:val="28"/>
          <w14:ligatures w14:val="none"/>
        </w:rPr>
        <w:t xml:space="preserve">Nathan Botsch (Director #4) (2026)  </w:t>
      </w:r>
    </w:p>
    <w:p w14:paraId="5A36499F" w14:textId="77777777" w:rsidR="00954328" w:rsidRPr="004D6E6A" w:rsidRDefault="00954328" w:rsidP="002D662B">
      <w:pPr>
        <w:overflowPunct w:val="0"/>
        <w:autoSpaceDE w:val="0"/>
        <w:autoSpaceDN w:val="0"/>
        <w:adjustRightInd w:val="0"/>
        <w:spacing w:before="0" w:line="276" w:lineRule="auto"/>
        <w:textAlignment w:val="baseline"/>
        <w:rPr>
          <w:rFonts w:eastAsia="Times New Roman"/>
          <w:color w:val="000000" w:themeColor="text1"/>
          <w:kern w:val="0"/>
          <w:sz w:val="28"/>
          <w:szCs w:val="28"/>
          <w14:ligatures w14:val="none"/>
        </w:rPr>
      </w:pPr>
      <w:r w:rsidRPr="004D6E6A">
        <w:rPr>
          <w:rFonts w:eastAsia="Times New Roman"/>
          <w:color w:val="000000" w:themeColor="text1"/>
          <w:kern w:val="0"/>
          <w:sz w:val="28"/>
          <w:szCs w:val="28"/>
          <w14:ligatures w14:val="none"/>
        </w:rPr>
        <w:t xml:space="preserve">Matthew Uthe (Director #5) (2025) </w:t>
      </w:r>
    </w:p>
    <w:p w14:paraId="45A30324" w14:textId="6FB34C00" w:rsidR="00C94827" w:rsidRPr="004D6E6A" w:rsidRDefault="00954328" w:rsidP="002D662B">
      <w:pPr>
        <w:overflowPunct w:val="0"/>
        <w:autoSpaceDE w:val="0"/>
        <w:autoSpaceDN w:val="0"/>
        <w:adjustRightInd w:val="0"/>
        <w:spacing w:before="0" w:line="276" w:lineRule="auto"/>
        <w:textAlignment w:val="baseline"/>
        <w:rPr>
          <w:color w:val="000000" w:themeColor="text1"/>
          <w:sz w:val="28"/>
          <w:szCs w:val="28"/>
        </w:rPr>
      </w:pPr>
      <w:r w:rsidRPr="004D6E6A">
        <w:rPr>
          <w:rFonts w:eastAsia="Times New Roman"/>
          <w:color w:val="000000" w:themeColor="text1"/>
          <w:kern w:val="0"/>
          <w:sz w:val="28"/>
          <w:szCs w:val="28"/>
          <w14:ligatures w14:val="none"/>
        </w:rPr>
        <w:t>Craig Podgurski (Director #6) (2026)</w:t>
      </w:r>
    </w:p>
    <w:sectPr w:rsidR="00C94827" w:rsidRPr="004D6E6A" w:rsidSect="00EC7B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28F58" w14:textId="77777777" w:rsidR="000B5AC6" w:rsidRDefault="000B5AC6" w:rsidP="004271E3">
      <w:pPr>
        <w:spacing w:before="0"/>
      </w:pPr>
      <w:r>
        <w:separator/>
      </w:r>
    </w:p>
  </w:endnote>
  <w:endnote w:type="continuationSeparator" w:id="0">
    <w:p w14:paraId="4655CB7B" w14:textId="77777777" w:rsidR="000B5AC6" w:rsidRDefault="000B5AC6" w:rsidP="004271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2DA" w14:textId="77777777" w:rsidR="00ED72A6" w:rsidRDefault="00ED7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547000"/>
      <w:docPartObj>
        <w:docPartGallery w:val="Page Numbers (Bottom of Page)"/>
        <w:docPartUnique/>
      </w:docPartObj>
    </w:sdtPr>
    <w:sdtEndPr>
      <w:rPr>
        <w:noProof/>
        <w:sz w:val="20"/>
        <w:szCs w:val="20"/>
      </w:rPr>
    </w:sdtEndPr>
    <w:sdtContent>
      <w:p w14:paraId="6B4146BF" w14:textId="77777777" w:rsidR="004271E3" w:rsidRPr="00EC7BFA" w:rsidRDefault="004271E3">
        <w:pPr>
          <w:pStyle w:val="Footer"/>
          <w:jc w:val="right"/>
          <w:rPr>
            <w:noProof/>
            <w:sz w:val="20"/>
            <w:szCs w:val="20"/>
          </w:rPr>
        </w:pPr>
        <w:r w:rsidRPr="00EC7BFA">
          <w:rPr>
            <w:sz w:val="20"/>
            <w:szCs w:val="20"/>
          </w:rPr>
          <w:fldChar w:fldCharType="begin"/>
        </w:r>
        <w:r w:rsidRPr="00EC7BFA">
          <w:rPr>
            <w:sz w:val="20"/>
            <w:szCs w:val="20"/>
          </w:rPr>
          <w:instrText xml:space="preserve"> PAGE   \* MERGEFORMAT </w:instrText>
        </w:r>
        <w:r w:rsidRPr="00EC7BFA">
          <w:rPr>
            <w:sz w:val="20"/>
            <w:szCs w:val="20"/>
          </w:rPr>
          <w:fldChar w:fldCharType="separate"/>
        </w:r>
        <w:r w:rsidRPr="00EC7BFA">
          <w:rPr>
            <w:noProof/>
            <w:sz w:val="20"/>
            <w:szCs w:val="20"/>
          </w:rPr>
          <w:t>2</w:t>
        </w:r>
        <w:r w:rsidRPr="00EC7BFA">
          <w:rPr>
            <w:noProof/>
            <w:sz w:val="20"/>
            <w:szCs w:val="20"/>
          </w:rPr>
          <w:fldChar w:fldCharType="end"/>
        </w:r>
      </w:p>
      <w:p w14:paraId="5047639B" w14:textId="75AC0E09" w:rsidR="00B96579" w:rsidRPr="00EC7BFA" w:rsidRDefault="00B96579">
        <w:pPr>
          <w:pStyle w:val="Footer"/>
          <w:jc w:val="right"/>
          <w:rPr>
            <w:noProof/>
            <w:sz w:val="20"/>
            <w:szCs w:val="20"/>
          </w:rPr>
        </w:pPr>
        <w:r w:rsidRPr="00EC7BFA">
          <w:rPr>
            <w:noProof/>
            <w:sz w:val="20"/>
            <w:szCs w:val="20"/>
          </w:rPr>
          <w:fldChar w:fldCharType="begin"/>
        </w:r>
        <w:r w:rsidRPr="00EC7BFA">
          <w:rPr>
            <w:noProof/>
            <w:sz w:val="20"/>
            <w:szCs w:val="20"/>
          </w:rPr>
          <w:instrText xml:space="preserve"> DATE \@ "d MMMM yyyy" </w:instrText>
        </w:r>
        <w:r w:rsidRPr="00EC7BFA">
          <w:rPr>
            <w:noProof/>
            <w:sz w:val="20"/>
            <w:szCs w:val="20"/>
          </w:rPr>
          <w:fldChar w:fldCharType="separate"/>
        </w:r>
        <w:r w:rsidR="001A3BC4">
          <w:rPr>
            <w:noProof/>
            <w:sz w:val="20"/>
            <w:szCs w:val="20"/>
          </w:rPr>
          <w:t>3 June 2025</w:t>
        </w:r>
        <w:r w:rsidRPr="00EC7BFA">
          <w:rPr>
            <w:noProof/>
            <w:sz w:val="20"/>
            <w:szCs w:val="20"/>
          </w:rPr>
          <w:fldChar w:fldCharType="end"/>
        </w:r>
      </w:p>
      <w:p w14:paraId="256AB8FC" w14:textId="6FF97CF7" w:rsidR="00B96579" w:rsidRPr="00EC7BFA" w:rsidRDefault="00145A77">
        <w:pPr>
          <w:pStyle w:val="Footer"/>
          <w:jc w:val="right"/>
          <w:rPr>
            <w:noProof/>
            <w:sz w:val="20"/>
            <w:szCs w:val="20"/>
          </w:rPr>
        </w:pPr>
        <w:r w:rsidRPr="00145A77">
          <w:rPr>
            <w:noProof/>
            <w:sz w:val="20"/>
            <w:szCs w:val="20"/>
          </w:rPr>
          <w:t>PETITIONER’S RESPONSE TO STATE BAR OF ARIZONA COMMENT</w:t>
        </w:r>
        <w:r w:rsidR="00ED72A6" w:rsidRPr="00ED72A6">
          <w:rPr>
            <w:noProof/>
            <w:sz w:val="20"/>
            <w:szCs w:val="20"/>
          </w:rPr>
          <w:t>; AMENDED PETITION</w:t>
        </w:r>
        <w:r w:rsidRPr="00145A77">
          <w:rPr>
            <w:noProof/>
            <w:sz w:val="20"/>
            <w:szCs w:val="20"/>
          </w:rPr>
          <w:t xml:space="preserve"> </w:t>
        </w:r>
        <w:r w:rsidR="004271E3" w:rsidRPr="00EC7BFA">
          <w:rPr>
            <w:noProof/>
            <w:sz w:val="20"/>
            <w:szCs w:val="20"/>
          </w:rPr>
          <w:t>(APSA)</w:t>
        </w:r>
      </w:p>
      <w:p w14:paraId="402EDB5E" w14:textId="76F64447" w:rsidR="004271E3" w:rsidRPr="00EC7BFA" w:rsidRDefault="00B96579">
        <w:pPr>
          <w:pStyle w:val="Footer"/>
          <w:jc w:val="right"/>
          <w:rPr>
            <w:sz w:val="20"/>
            <w:szCs w:val="20"/>
          </w:rPr>
        </w:pPr>
        <w:r w:rsidRPr="00EC7BFA">
          <w:rPr>
            <w:noProof/>
            <w:sz w:val="20"/>
            <w:szCs w:val="20"/>
          </w:rPr>
          <w:t>Goldman, B.R.</w:t>
        </w:r>
      </w:p>
    </w:sdtContent>
  </w:sdt>
  <w:p w14:paraId="60A62CD9" w14:textId="77777777" w:rsidR="004271E3" w:rsidRDefault="00427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D2E9" w14:textId="77777777" w:rsidR="00ED72A6" w:rsidRDefault="00ED7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3EA0" w14:textId="77777777" w:rsidR="000B5AC6" w:rsidRDefault="000B5AC6" w:rsidP="004271E3">
      <w:pPr>
        <w:spacing w:before="0"/>
      </w:pPr>
      <w:r>
        <w:separator/>
      </w:r>
    </w:p>
  </w:footnote>
  <w:footnote w:type="continuationSeparator" w:id="0">
    <w:p w14:paraId="5DB0EE48" w14:textId="77777777" w:rsidR="000B5AC6" w:rsidRDefault="000B5AC6" w:rsidP="004271E3">
      <w:pPr>
        <w:spacing w:before="0"/>
      </w:pPr>
      <w:r>
        <w:continuationSeparator/>
      </w:r>
    </w:p>
  </w:footnote>
  <w:footnote w:id="1">
    <w:p w14:paraId="14EF4D66" w14:textId="74FBB58E" w:rsidR="00C120E5" w:rsidRDefault="00C120E5">
      <w:pPr>
        <w:pStyle w:val="FootnoteText"/>
      </w:pPr>
      <w:r>
        <w:rPr>
          <w:rStyle w:val="FootnoteReference"/>
        </w:rPr>
        <w:footnoteRef/>
      </w:r>
      <w:r>
        <w:t xml:space="preserve"> </w:t>
      </w:r>
      <w:bookmarkStart w:id="2" w:name="_Hlk199476521"/>
      <w:r>
        <w:t xml:space="preserve">ARCP Rule 4.1(k): </w:t>
      </w:r>
      <w:r w:rsidRPr="00C120E5">
        <w:t>Alternative Means of Service</w:t>
      </w:r>
      <w:bookmarkEnd w:id="2"/>
      <w:r>
        <w:t xml:space="preserve">; ARCP Rule 4.1(l): </w:t>
      </w:r>
      <w:r w:rsidRPr="00C120E5">
        <w:t>Service by Publication</w:t>
      </w:r>
    </w:p>
  </w:footnote>
  <w:footnote w:id="2">
    <w:p w14:paraId="4CF1D14A" w14:textId="13E1F59E" w:rsidR="00C120E5" w:rsidRDefault="00C120E5">
      <w:pPr>
        <w:pStyle w:val="FootnoteText"/>
      </w:pPr>
      <w:r>
        <w:rPr>
          <w:rStyle w:val="FootnoteReference"/>
        </w:rPr>
        <w:footnoteRef/>
      </w:r>
      <w:r>
        <w:t xml:space="preserve"> ARCP Rule 4.2(f): </w:t>
      </w:r>
      <w:r w:rsidRPr="00C120E5">
        <w:t>Service by Publication</w:t>
      </w:r>
    </w:p>
  </w:footnote>
  <w:footnote w:id="3">
    <w:p w14:paraId="5FBDE507" w14:textId="2A5872F0" w:rsidR="00A25191" w:rsidRDefault="00A25191">
      <w:pPr>
        <w:pStyle w:val="FootnoteText"/>
      </w:pPr>
      <w:r>
        <w:rPr>
          <w:rStyle w:val="FootnoteReference"/>
        </w:rPr>
        <w:footnoteRef/>
      </w:r>
      <w:r>
        <w:t xml:space="preserve"> RFLP Rule 41(l): </w:t>
      </w:r>
      <w:r w:rsidRPr="00A25191">
        <w:t>Alternative Means of Service</w:t>
      </w:r>
      <w:r>
        <w:t xml:space="preserve">; RFLP Rule 41(m): </w:t>
      </w:r>
      <w:r w:rsidRPr="00A25191">
        <w:t>Service by Publication</w:t>
      </w:r>
      <w:r>
        <w:t xml:space="preserve">; RFLP Rule 41(h): </w:t>
      </w:r>
      <w:r w:rsidRPr="00A25191">
        <w:t>Serving an Individual in a Foreign Country</w:t>
      </w:r>
    </w:p>
  </w:footnote>
  <w:footnote w:id="4">
    <w:p w14:paraId="323D9BBA" w14:textId="135AD3AF" w:rsidR="00A25191" w:rsidRPr="00A25191" w:rsidRDefault="00A25191">
      <w:pPr>
        <w:pStyle w:val="FootnoteText"/>
        <w:rPr>
          <w:caps/>
        </w:rPr>
      </w:pPr>
      <w:r>
        <w:rPr>
          <w:rStyle w:val="FootnoteReference"/>
        </w:rPr>
        <w:footnoteRef/>
      </w:r>
      <w:r>
        <w:t xml:space="preserve"> </w:t>
      </w:r>
      <w:r w:rsidRPr="00A25191">
        <w:t>ARCP Rule 4.1(k): Alternative Means of Service; ARCP Rule 4.1(l): Service by Publication</w:t>
      </w:r>
      <w:r>
        <w:t xml:space="preserve">; </w:t>
      </w:r>
      <w:r>
        <w:rPr>
          <w:caps/>
        </w:rPr>
        <w:t>ARCP R</w:t>
      </w:r>
      <w:r>
        <w:t xml:space="preserve">ule 4.2(h): </w:t>
      </w:r>
      <w:r w:rsidRPr="00A25191">
        <w:t>Serving a Corporation, Partnership or Other Unincorporated Association Located Outside Arizona but Within the United States</w:t>
      </w:r>
      <w:r>
        <w:t xml:space="preserve">; </w:t>
      </w:r>
      <w:r>
        <w:rPr>
          <w:caps/>
        </w:rPr>
        <w:t>ARCP R</w:t>
      </w:r>
      <w:r>
        <w:t xml:space="preserve">ule 4.2(i): </w:t>
      </w:r>
      <w:r w:rsidR="00B42BF8" w:rsidRPr="00B42BF8">
        <w:t>Serving an Individual in a Foreign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0822" w14:textId="77777777" w:rsidR="00ED72A6" w:rsidRDefault="00ED7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5C74" w14:textId="77777777" w:rsidR="00ED72A6" w:rsidRDefault="00ED7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4B3A" w14:textId="77777777" w:rsidR="00ED72A6" w:rsidRDefault="00ED7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41FCB"/>
    <w:multiLevelType w:val="hybridMultilevel"/>
    <w:tmpl w:val="E2BA9A8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561E0EDE"/>
    <w:multiLevelType w:val="hybridMultilevel"/>
    <w:tmpl w:val="F8F0B1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18600768">
    <w:abstractNumId w:val="1"/>
  </w:num>
  <w:num w:numId="2" w16cid:durableId="112041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E3"/>
    <w:rsid w:val="00001058"/>
    <w:rsid w:val="00003C43"/>
    <w:rsid w:val="0002685B"/>
    <w:rsid w:val="0005246D"/>
    <w:rsid w:val="000657E1"/>
    <w:rsid w:val="000949F4"/>
    <w:rsid w:val="00095E02"/>
    <w:rsid w:val="000A30E3"/>
    <w:rsid w:val="000B5AC6"/>
    <w:rsid w:val="000D12D8"/>
    <w:rsid w:val="000D335B"/>
    <w:rsid w:val="000D56DC"/>
    <w:rsid w:val="00133A3D"/>
    <w:rsid w:val="00145A77"/>
    <w:rsid w:val="00182CA9"/>
    <w:rsid w:val="001974AD"/>
    <w:rsid w:val="001A024E"/>
    <w:rsid w:val="001A3BC4"/>
    <w:rsid w:val="001D2C2D"/>
    <w:rsid w:val="001F5A61"/>
    <w:rsid w:val="00207931"/>
    <w:rsid w:val="0022490A"/>
    <w:rsid w:val="00233778"/>
    <w:rsid w:val="00245219"/>
    <w:rsid w:val="002518BA"/>
    <w:rsid w:val="00255292"/>
    <w:rsid w:val="00256C40"/>
    <w:rsid w:val="00283415"/>
    <w:rsid w:val="00294689"/>
    <w:rsid w:val="002A275A"/>
    <w:rsid w:val="002A692D"/>
    <w:rsid w:val="002B5C26"/>
    <w:rsid w:val="002C0A6E"/>
    <w:rsid w:val="002C45FD"/>
    <w:rsid w:val="002D24A8"/>
    <w:rsid w:val="002D662B"/>
    <w:rsid w:val="002E77A3"/>
    <w:rsid w:val="002F31F1"/>
    <w:rsid w:val="00323D4F"/>
    <w:rsid w:val="00325A69"/>
    <w:rsid w:val="00341DE2"/>
    <w:rsid w:val="00352E78"/>
    <w:rsid w:val="00364361"/>
    <w:rsid w:val="00392D69"/>
    <w:rsid w:val="003C2907"/>
    <w:rsid w:val="003D2801"/>
    <w:rsid w:val="003E01B7"/>
    <w:rsid w:val="00400956"/>
    <w:rsid w:val="0042589D"/>
    <w:rsid w:val="004271E3"/>
    <w:rsid w:val="004328F8"/>
    <w:rsid w:val="00447698"/>
    <w:rsid w:val="004527DE"/>
    <w:rsid w:val="00455E16"/>
    <w:rsid w:val="004670AC"/>
    <w:rsid w:val="004738EF"/>
    <w:rsid w:val="0049123E"/>
    <w:rsid w:val="004D6E6A"/>
    <w:rsid w:val="004F68EA"/>
    <w:rsid w:val="00506C40"/>
    <w:rsid w:val="005669D0"/>
    <w:rsid w:val="00580675"/>
    <w:rsid w:val="005842B3"/>
    <w:rsid w:val="005911B1"/>
    <w:rsid w:val="00591FC3"/>
    <w:rsid w:val="00594BD7"/>
    <w:rsid w:val="00594CEA"/>
    <w:rsid w:val="005A50E5"/>
    <w:rsid w:val="005B03D2"/>
    <w:rsid w:val="005E08E3"/>
    <w:rsid w:val="005F0DD6"/>
    <w:rsid w:val="00603E94"/>
    <w:rsid w:val="00625D76"/>
    <w:rsid w:val="00645BBE"/>
    <w:rsid w:val="006514D3"/>
    <w:rsid w:val="00666069"/>
    <w:rsid w:val="00682542"/>
    <w:rsid w:val="00690DC9"/>
    <w:rsid w:val="00694DD0"/>
    <w:rsid w:val="00695942"/>
    <w:rsid w:val="006A503E"/>
    <w:rsid w:val="006B7F0B"/>
    <w:rsid w:val="006C0987"/>
    <w:rsid w:val="006C45F1"/>
    <w:rsid w:val="006C671E"/>
    <w:rsid w:val="006D198F"/>
    <w:rsid w:val="006F68AA"/>
    <w:rsid w:val="0070040B"/>
    <w:rsid w:val="00724725"/>
    <w:rsid w:val="007328F0"/>
    <w:rsid w:val="007352A5"/>
    <w:rsid w:val="0074651F"/>
    <w:rsid w:val="0074702C"/>
    <w:rsid w:val="007727CA"/>
    <w:rsid w:val="007835F5"/>
    <w:rsid w:val="007A6658"/>
    <w:rsid w:val="007A75CA"/>
    <w:rsid w:val="007B1678"/>
    <w:rsid w:val="007C2A0E"/>
    <w:rsid w:val="007C584C"/>
    <w:rsid w:val="007C7930"/>
    <w:rsid w:val="007D5B82"/>
    <w:rsid w:val="007F1C45"/>
    <w:rsid w:val="00807483"/>
    <w:rsid w:val="008434C6"/>
    <w:rsid w:val="00876551"/>
    <w:rsid w:val="008834AE"/>
    <w:rsid w:val="00893F1B"/>
    <w:rsid w:val="008B5193"/>
    <w:rsid w:val="008C2938"/>
    <w:rsid w:val="008C600C"/>
    <w:rsid w:val="008F24F9"/>
    <w:rsid w:val="009038F7"/>
    <w:rsid w:val="00933FE1"/>
    <w:rsid w:val="00941C3F"/>
    <w:rsid w:val="00950919"/>
    <w:rsid w:val="00954328"/>
    <w:rsid w:val="00954C80"/>
    <w:rsid w:val="009A2DB5"/>
    <w:rsid w:val="009A6A54"/>
    <w:rsid w:val="009D6C0D"/>
    <w:rsid w:val="00A16DBC"/>
    <w:rsid w:val="00A25191"/>
    <w:rsid w:val="00A53BB5"/>
    <w:rsid w:val="00A669E0"/>
    <w:rsid w:val="00A970D6"/>
    <w:rsid w:val="00AB1CAE"/>
    <w:rsid w:val="00AB4F16"/>
    <w:rsid w:val="00AB6094"/>
    <w:rsid w:val="00B255B8"/>
    <w:rsid w:val="00B256A0"/>
    <w:rsid w:val="00B27C08"/>
    <w:rsid w:val="00B31E1A"/>
    <w:rsid w:val="00B36FFF"/>
    <w:rsid w:val="00B42BF8"/>
    <w:rsid w:val="00B61ED0"/>
    <w:rsid w:val="00B86717"/>
    <w:rsid w:val="00B91FC2"/>
    <w:rsid w:val="00B96579"/>
    <w:rsid w:val="00BB3F38"/>
    <w:rsid w:val="00BD717F"/>
    <w:rsid w:val="00C00FD2"/>
    <w:rsid w:val="00C120E5"/>
    <w:rsid w:val="00C34359"/>
    <w:rsid w:val="00C35915"/>
    <w:rsid w:val="00C82DDD"/>
    <w:rsid w:val="00C83E15"/>
    <w:rsid w:val="00C85DDE"/>
    <w:rsid w:val="00C94827"/>
    <w:rsid w:val="00CA2BE9"/>
    <w:rsid w:val="00CE119C"/>
    <w:rsid w:val="00CF66CA"/>
    <w:rsid w:val="00D21820"/>
    <w:rsid w:val="00D547FD"/>
    <w:rsid w:val="00D82467"/>
    <w:rsid w:val="00DB0174"/>
    <w:rsid w:val="00DD4EF7"/>
    <w:rsid w:val="00DF1490"/>
    <w:rsid w:val="00DF44EF"/>
    <w:rsid w:val="00E17D2C"/>
    <w:rsid w:val="00E31C84"/>
    <w:rsid w:val="00E34102"/>
    <w:rsid w:val="00E56870"/>
    <w:rsid w:val="00E674B2"/>
    <w:rsid w:val="00E70F5E"/>
    <w:rsid w:val="00E9260B"/>
    <w:rsid w:val="00EA03C6"/>
    <w:rsid w:val="00EC7BFA"/>
    <w:rsid w:val="00ED401E"/>
    <w:rsid w:val="00ED72A6"/>
    <w:rsid w:val="00F222B1"/>
    <w:rsid w:val="00F32A21"/>
    <w:rsid w:val="00F4220E"/>
    <w:rsid w:val="00F520AE"/>
    <w:rsid w:val="00F57458"/>
    <w:rsid w:val="00F61C24"/>
    <w:rsid w:val="00F647E8"/>
    <w:rsid w:val="00F82718"/>
    <w:rsid w:val="00F84276"/>
    <w:rsid w:val="00F87A66"/>
    <w:rsid w:val="00FA2E4B"/>
    <w:rsid w:val="00FA595C"/>
    <w:rsid w:val="00FA73F9"/>
    <w:rsid w:val="00FB298B"/>
    <w:rsid w:val="00FC7223"/>
    <w:rsid w:val="00FE13B1"/>
    <w:rsid w:val="00FF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D5176"/>
  <w15:chartTrackingRefBased/>
  <w15:docId w15:val="{08FFC72C-3547-4A22-8F25-558D73CC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1E3"/>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1E3"/>
    <w:pPr>
      <w:keepNext/>
      <w:keepLines/>
      <w:spacing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1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71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71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71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71E3"/>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71E3"/>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1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1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71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71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71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71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71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71E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1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1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71E3"/>
    <w:pPr>
      <w:spacing w:after="160"/>
      <w:jc w:val="center"/>
    </w:pPr>
    <w:rPr>
      <w:i/>
      <w:iCs/>
      <w:color w:val="404040" w:themeColor="text1" w:themeTint="BF"/>
    </w:rPr>
  </w:style>
  <w:style w:type="character" w:customStyle="1" w:styleId="QuoteChar">
    <w:name w:val="Quote Char"/>
    <w:basedOn w:val="DefaultParagraphFont"/>
    <w:link w:val="Quote"/>
    <w:uiPriority w:val="29"/>
    <w:rsid w:val="004271E3"/>
    <w:rPr>
      <w:i/>
      <w:iCs/>
      <w:color w:val="404040" w:themeColor="text1" w:themeTint="BF"/>
    </w:rPr>
  </w:style>
  <w:style w:type="paragraph" w:styleId="ListParagraph">
    <w:name w:val="List Paragraph"/>
    <w:basedOn w:val="Normal"/>
    <w:uiPriority w:val="34"/>
    <w:qFormat/>
    <w:rsid w:val="004271E3"/>
    <w:pPr>
      <w:ind w:left="720"/>
      <w:contextualSpacing/>
    </w:pPr>
  </w:style>
  <w:style w:type="character" w:styleId="IntenseEmphasis">
    <w:name w:val="Intense Emphasis"/>
    <w:basedOn w:val="DefaultParagraphFont"/>
    <w:uiPriority w:val="21"/>
    <w:qFormat/>
    <w:rsid w:val="004271E3"/>
    <w:rPr>
      <w:i/>
      <w:iCs/>
      <w:color w:val="0F4761" w:themeColor="accent1" w:themeShade="BF"/>
    </w:rPr>
  </w:style>
  <w:style w:type="paragraph" w:styleId="IntenseQuote">
    <w:name w:val="Intense Quote"/>
    <w:basedOn w:val="Normal"/>
    <w:next w:val="Normal"/>
    <w:link w:val="IntenseQuoteChar"/>
    <w:uiPriority w:val="30"/>
    <w:qFormat/>
    <w:rsid w:val="00427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1E3"/>
    <w:rPr>
      <w:i/>
      <w:iCs/>
      <w:color w:val="0F4761" w:themeColor="accent1" w:themeShade="BF"/>
    </w:rPr>
  </w:style>
  <w:style w:type="character" w:styleId="IntenseReference">
    <w:name w:val="Intense Reference"/>
    <w:basedOn w:val="DefaultParagraphFont"/>
    <w:uiPriority w:val="32"/>
    <w:qFormat/>
    <w:rsid w:val="004271E3"/>
    <w:rPr>
      <w:b/>
      <w:bCs/>
      <w:smallCaps/>
      <w:color w:val="0F4761" w:themeColor="accent1" w:themeShade="BF"/>
      <w:spacing w:val="5"/>
    </w:rPr>
  </w:style>
  <w:style w:type="table" w:styleId="TableGrid">
    <w:name w:val="Table Grid"/>
    <w:basedOn w:val="TableNormal"/>
    <w:uiPriority w:val="39"/>
    <w:rsid w:val="004271E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271E3"/>
  </w:style>
  <w:style w:type="paragraph" w:styleId="Header">
    <w:name w:val="header"/>
    <w:basedOn w:val="Normal"/>
    <w:link w:val="HeaderChar"/>
    <w:uiPriority w:val="99"/>
    <w:unhideWhenUsed/>
    <w:rsid w:val="004271E3"/>
    <w:pPr>
      <w:tabs>
        <w:tab w:val="center" w:pos="4680"/>
        <w:tab w:val="right" w:pos="9360"/>
      </w:tabs>
      <w:spacing w:before="0"/>
    </w:pPr>
  </w:style>
  <w:style w:type="character" w:customStyle="1" w:styleId="HeaderChar">
    <w:name w:val="Header Char"/>
    <w:basedOn w:val="DefaultParagraphFont"/>
    <w:link w:val="Header"/>
    <w:uiPriority w:val="99"/>
    <w:rsid w:val="004271E3"/>
  </w:style>
  <w:style w:type="paragraph" w:styleId="Footer">
    <w:name w:val="footer"/>
    <w:basedOn w:val="Normal"/>
    <w:link w:val="FooterChar"/>
    <w:uiPriority w:val="99"/>
    <w:unhideWhenUsed/>
    <w:rsid w:val="004271E3"/>
    <w:pPr>
      <w:tabs>
        <w:tab w:val="center" w:pos="4680"/>
        <w:tab w:val="right" w:pos="9360"/>
      </w:tabs>
      <w:spacing w:before="0"/>
    </w:pPr>
  </w:style>
  <w:style w:type="character" w:customStyle="1" w:styleId="FooterChar">
    <w:name w:val="Footer Char"/>
    <w:basedOn w:val="DefaultParagraphFont"/>
    <w:link w:val="Footer"/>
    <w:uiPriority w:val="99"/>
    <w:rsid w:val="004271E3"/>
  </w:style>
  <w:style w:type="paragraph" w:styleId="FootnoteText">
    <w:name w:val="footnote text"/>
    <w:basedOn w:val="Normal"/>
    <w:link w:val="FootnoteTextChar"/>
    <w:uiPriority w:val="99"/>
    <w:semiHidden/>
    <w:unhideWhenUsed/>
    <w:rsid w:val="00BD717F"/>
    <w:pPr>
      <w:spacing w:before="0"/>
    </w:pPr>
    <w:rPr>
      <w:sz w:val="20"/>
      <w:szCs w:val="20"/>
    </w:rPr>
  </w:style>
  <w:style w:type="character" w:customStyle="1" w:styleId="FootnoteTextChar">
    <w:name w:val="Footnote Text Char"/>
    <w:basedOn w:val="DefaultParagraphFont"/>
    <w:link w:val="FootnoteText"/>
    <w:uiPriority w:val="99"/>
    <w:semiHidden/>
    <w:rsid w:val="00BD717F"/>
    <w:rPr>
      <w:sz w:val="20"/>
      <w:szCs w:val="20"/>
    </w:rPr>
  </w:style>
  <w:style w:type="character" w:styleId="FootnoteReference">
    <w:name w:val="footnote reference"/>
    <w:basedOn w:val="DefaultParagraphFont"/>
    <w:uiPriority w:val="99"/>
    <w:semiHidden/>
    <w:unhideWhenUsed/>
    <w:rsid w:val="00BD717F"/>
    <w:rPr>
      <w:vertAlign w:val="superscript"/>
    </w:rPr>
  </w:style>
  <w:style w:type="character" w:styleId="Hyperlink">
    <w:name w:val="Hyperlink"/>
    <w:basedOn w:val="DefaultParagraphFont"/>
    <w:uiPriority w:val="99"/>
    <w:unhideWhenUsed/>
    <w:rsid w:val="008834AE"/>
    <w:rPr>
      <w:color w:val="467886" w:themeColor="hyperlink"/>
      <w:u w:val="single"/>
    </w:rPr>
  </w:style>
  <w:style w:type="character" w:styleId="UnresolvedMention">
    <w:name w:val="Unresolved Mention"/>
    <w:basedOn w:val="DefaultParagraphFont"/>
    <w:uiPriority w:val="99"/>
    <w:semiHidden/>
    <w:unhideWhenUsed/>
    <w:rsid w:val="008834AE"/>
    <w:rPr>
      <w:color w:val="605E5C"/>
      <w:shd w:val="clear" w:color="auto" w:fill="E1DFDD"/>
    </w:rPr>
  </w:style>
  <w:style w:type="paragraph" w:styleId="NormalWeb">
    <w:name w:val="Normal (Web)"/>
    <w:basedOn w:val="Normal"/>
    <w:uiPriority w:val="99"/>
    <w:semiHidden/>
    <w:unhideWhenUsed/>
    <w:rsid w:val="0046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0636">
      <w:bodyDiv w:val="1"/>
      <w:marLeft w:val="0"/>
      <w:marRight w:val="0"/>
      <w:marTop w:val="0"/>
      <w:marBottom w:val="0"/>
      <w:divBdr>
        <w:top w:val="none" w:sz="0" w:space="0" w:color="auto"/>
        <w:left w:val="none" w:sz="0" w:space="0" w:color="auto"/>
        <w:bottom w:val="none" w:sz="0" w:space="0" w:color="auto"/>
        <w:right w:val="none" w:sz="0" w:space="0" w:color="auto"/>
      </w:divBdr>
    </w:div>
    <w:div w:id="547035134">
      <w:bodyDiv w:val="1"/>
      <w:marLeft w:val="0"/>
      <w:marRight w:val="0"/>
      <w:marTop w:val="0"/>
      <w:marBottom w:val="0"/>
      <w:divBdr>
        <w:top w:val="none" w:sz="0" w:space="0" w:color="auto"/>
        <w:left w:val="none" w:sz="0" w:space="0" w:color="auto"/>
        <w:bottom w:val="none" w:sz="0" w:space="0" w:color="auto"/>
        <w:right w:val="none" w:sz="0" w:space="0" w:color="auto"/>
      </w:divBdr>
    </w:div>
    <w:div w:id="741217702">
      <w:bodyDiv w:val="1"/>
      <w:marLeft w:val="0"/>
      <w:marRight w:val="0"/>
      <w:marTop w:val="0"/>
      <w:marBottom w:val="0"/>
      <w:divBdr>
        <w:top w:val="none" w:sz="0" w:space="0" w:color="auto"/>
        <w:left w:val="none" w:sz="0" w:space="0" w:color="auto"/>
        <w:bottom w:val="none" w:sz="0" w:space="0" w:color="auto"/>
        <w:right w:val="none" w:sz="0" w:space="0" w:color="auto"/>
      </w:divBdr>
      <w:divsChild>
        <w:div w:id="921916726">
          <w:marLeft w:val="0"/>
          <w:marRight w:val="0"/>
          <w:marTop w:val="0"/>
          <w:marBottom w:val="0"/>
          <w:divBdr>
            <w:top w:val="none" w:sz="0" w:space="0" w:color="auto"/>
            <w:left w:val="none" w:sz="0" w:space="0" w:color="auto"/>
            <w:bottom w:val="none" w:sz="0" w:space="0" w:color="auto"/>
            <w:right w:val="none" w:sz="0" w:space="0" w:color="auto"/>
          </w:divBdr>
        </w:div>
      </w:divsChild>
    </w:div>
    <w:div w:id="1863586593">
      <w:bodyDiv w:val="1"/>
      <w:marLeft w:val="0"/>
      <w:marRight w:val="0"/>
      <w:marTop w:val="0"/>
      <w:marBottom w:val="0"/>
      <w:divBdr>
        <w:top w:val="none" w:sz="0" w:space="0" w:color="auto"/>
        <w:left w:val="none" w:sz="0" w:space="0" w:color="auto"/>
        <w:bottom w:val="none" w:sz="0" w:space="0" w:color="auto"/>
        <w:right w:val="none" w:sz="0" w:space="0" w:color="auto"/>
      </w:divBdr>
      <w:divsChild>
        <w:div w:id="1984461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4016-0693-47CB-A6A3-29A2C4C7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R Goldman</dc:creator>
  <cp:keywords/>
  <dc:description/>
  <cp:lastModifiedBy>Abril, Sonia</cp:lastModifiedBy>
  <cp:revision>2</cp:revision>
  <cp:lastPrinted>2025-05-29T04:16:00Z</cp:lastPrinted>
  <dcterms:created xsi:type="dcterms:W3CDTF">2025-06-03T20:23:00Z</dcterms:created>
  <dcterms:modified xsi:type="dcterms:W3CDTF">2025-06-03T20:23:00Z</dcterms:modified>
</cp:coreProperties>
</file>