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54A" w:rsidRPr="004B4C02" w:rsidRDefault="00E170F6" w:rsidP="00E170F6">
      <w:pPr>
        <w:spacing w:after="0" w:line="240" w:lineRule="auto"/>
        <w:rPr>
          <w:sz w:val="28"/>
          <w:szCs w:val="28"/>
        </w:rPr>
      </w:pPr>
      <w:r w:rsidRPr="004B4C02">
        <w:rPr>
          <w:sz w:val="28"/>
          <w:szCs w:val="28"/>
        </w:rPr>
        <w:t>Kevin M. Morrow Esq.</w:t>
      </w:r>
    </w:p>
    <w:p w:rsidR="00265931" w:rsidRDefault="00265931" w:rsidP="00265931">
      <w:pPr>
        <w:spacing w:after="0" w:line="240" w:lineRule="auto"/>
        <w:rPr>
          <w:sz w:val="28"/>
          <w:szCs w:val="28"/>
        </w:rPr>
      </w:pPr>
      <w:r w:rsidRPr="00265931">
        <w:rPr>
          <w:sz w:val="28"/>
          <w:szCs w:val="28"/>
        </w:rPr>
        <w:t xml:space="preserve">2005 N. Central Ave., </w:t>
      </w:r>
    </w:p>
    <w:p w:rsidR="00265931" w:rsidRPr="00265931" w:rsidRDefault="00265931" w:rsidP="00265931">
      <w:pPr>
        <w:spacing w:after="0" w:line="240" w:lineRule="auto"/>
        <w:rPr>
          <w:sz w:val="28"/>
          <w:szCs w:val="28"/>
        </w:rPr>
      </w:pPr>
      <w:r w:rsidRPr="00265931">
        <w:rPr>
          <w:sz w:val="28"/>
          <w:szCs w:val="28"/>
        </w:rPr>
        <w:t>Phoenix, AZ 85004</w:t>
      </w:r>
    </w:p>
    <w:p w:rsidR="00265931" w:rsidRPr="00265931" w:rsidRDefault="00265931" w:rsidP="00265931">
      <w:pPr>
        <w:spacing w:after="0" w:line="240" w:lineRule="auto"/>
        <w:rPr>
          <w:sz w:val="28"/>
          <w:szCs w:val="28"/>
        </w:rPr>
      </w:pPr>
      <w:r w:rsidRPr="00265931">
        <w:rPr>
          <w:sz w:val="28"/>
          <w:szCs w:val="28"/>
        </w:rPr>
        <w:t>602-542-2928</w:t>
      </w:r>
    </w:p>
    <w:p w:rsidR="00265931" w:rsidRPr="00265931" w:rsidRDefault="00265931" w:rsidP="00265931">
      <w:pPr>
        <w:spacing w:after="0" w:line="240" w:lineRule="auto"/>
        <w:rPr>
          <w:sz w:val="28"/>
          <w:szCs w:val="28"/>
        </w:rPr>
      </w:pPr>
      <w:r w:rsidRPr="00265931">
        <w:rPr>
          <w:sz w:val="28"/>
          <w:szCs w:val="28"/>
        </w:rPr>
        <w:t xml:space="preserve">Kevin.Morrow@azag.gov </w:t>
      </w:r>
    </w:p>
    <w:p w:rsidR="00E170F6" w:rsidRPr="004B4C02" w:rsidRDefault="00E170F6" w:rsidP="00265931">
      <w:pPr>
        <w:spacing w:after="0" w:line="240" w:lineRule="auto"/>
        <w:rPr>
          <w:sz w:val="28"/>
          <w:szCs w:val="28"/>
        </w:rPr>
      </w:pPr>
      <w:r w:rsidRPr="004B4C02">
        <w:rPr>
          <w:sz w:val="28"/>
          <w:szCs w:val="28"/>
        </w:rPr>
        <w:t>AZ Bar # 034697.</w:t>
      </w:r>
    </w:p>
    <w:p w:rsidR="00FC354A" w:rsidRPr="004B4C02" w:rsidRDefault="00FC354A" w:rsidP="00E170F6">
      <w:pPr>
        <w:pStyle w:val="StyleStyleCourtNameTitle18ptAfter12ptTimesNewRoman"/>
        <w:widowControl/>
        <w:spacing w:before="240" w:after="0"/>
        <w:rPr>
          <w:szCs w:val="28"/>
        </w:rPr>
      </w:pPr>
      <w:r w:rsidRPr="004B4C02">
        <w:rPr>
          <w:szCs w:val="28"/>
        </w:rPr>
        <w:t>In tHe Supreme Court</w:t>
      </w:r>
    </w:p>
    <w:p w:rsidR="00FC354A" w:rsidRPr="004B4C02" w:rsidRDefault="00FC354A" w:rsidP="00E170F6">
      <w:pPr>
        <w:pStyle w:val="StyleStyleCourtNameTitle18ptAfter12ptTimesNewRoman"/>
        <w:widowControl/>
        <w:spacing w:before="0"/>
        <w:rPr>
          <w:szCs w:val="28"/>
        </w:rPr>
      </w:pPr>
      <w:r w:rsidRPr="004B4C02">
        <w:rPr>
          <w:szCs w:val="28"/>
        </w:rPr>
        <w:t>State of ARIZONA</w:t>
      </w:r>
    </w:p>
    <w:tbl>
      <w:tblPr>
        <w:tblW w:w="9360" w:type="dxa"/>
        <w:tblInd w:w="120" w:type="dxa"/>
        <w:tblLayout w:type="fixed"/>
        <w:tblCellMar>
          <w:top w:w="260" w:type="dxa"/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4770"/>
      </w:tblGrid>
      <w:tr w:rsidR="00FC354A" w:rsidRPr="004B4C02" w:rsidTr="00627B7A">
        <w:trPr>
          <w:cantSplit/>
        </w:trPr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:rsidR="00FC354A" w:rsidRPr="004B4C02" w:rsidRDefault="00FC354A" w:rsidP="00FC354A">
            <w:pPr>
              <w:rPr>
                <w:sz w:val="28"/>
                <w:szCs w:val="28"/>
              </w:rPr>
            </w:pPr>
            <w:r w:rsidRPr="004B4C02">
              <w:rPr>
                <w:sz w:val="28"/>
                <w:szCs w:val="28"/>
              </w:rPr>
              <w:t xml:space="preserve">PETITION TO AMEND RULE </w:t>
            </w:r>
            <w:r w:rsidR="00265931">
              <w:rPr>
                <w:sz w:val="28"/>
                <w:szCs w:val="28"/>
              </w:rPr>
              <w:t>19.1,</w:t>
            </w:r>
            <w:r w:rsidRPr="004B4C02">
              <w:rPr>
                <w:sz w:val="28"/>
                <w:szCs w:val="28"/>
              </w:rPr>
              <w:t xml:space="preserve"> ARIZONA RULES OF </w:t>
            </w:r>
            <w:r w:rsidR="00FA1F64">
              <w:rPr>
                <w:sz w:val="28"/>
                <w:szCs w:val="28"/>
              </w:rPr>
              <w:t>CRIMINAL</w:t>
            </w:r>
            <w:r w:rsidR="00FA1F64" w:rsidRPr="004B4C02">
              <w:rPr>
                <w:sz w:val="28"/>
                <w:szCs w:val="28"/>
              </w:rPr>
              <w:t xml:space="preserve"> </w:t>
            </w:r>
            <w:r w:rsidRPr="004B4C02">
              <w:rPr>
                <w:sz w:val="28"/>
                <w:szCs w:val="28"/>
              </w:rPr>
              <w:t>PROCEDURE</w:t>
            </w:r>
          </w:p>
        </w:tc>
        <w:tc>
          <w:tcPr>
            <w:tcW w:w="4770" w:type="dxa"/>
            <w:tcBorders>
              <w:left w:val="single" w:sz="6" w:space="0" w:color="auto"/>
            </w:tcBorders>
            <w:tcMar>
              <w:left w:w="173" w:type="dxa"/>
              <w:right w:w="0" w:type="dxa"/>
            </w:tcMar>
          </w:tcPr>
          <w:p w:rsidR="00FC354A" w:rsidRPr="004B4C02" w:rsidRDefault="00FC354A" w:rsidP="00FC354A">
            <w:pPr>
              <w:pStyle w:val="Caseinfo"/>
              <w:spacing w:line="240" w:lineRule="auto"/>
              <w:rPr>
                <w:rStyle w:val="FieldAllCaps"/>
                <w:caps w:val="0"/>
                <w:smallCaps w:val="0"/>
              </w:rPr>
            </w:pPr>
            <w:r w:rsidRPr="004B4C02">
              <w:rPr>
                <w:rStyle w:val="FieldAllCaps"/>
                <w:caps w:val="0"/>
                <w:smallCaps w:val="0"/>
              </w:rPr>
              <w:t>Supreme Court No. R–</w:t>
            </w:r>
            <w:r w:rsidR="00B02289" w:rsidRPr="00B02289">
              <w:rPr>
                <w:rStyle w:val="FieldAllCaps"/>
                <w:caps w:val="0"/>
                <w:smallCaps w:val="0"/>
              </w:rPr>
              <w:t>25</w:t>
            </w:r>
            <w:r w:rsidR="00B02289">
              <w:rPr>
                <w:rStyle w:val="FieldAllCaps"/>
                <w:caps w:val="0"/>
                <w:smallCaps w:val="0"/>
              </w:rPr>
              <w:t>–</w:t>
            </w:r>
            <w:r w:rsidR="00B02289" w:rsidRPr="00B02289">
              <w:rPr>
                <w:rStyle w:val="FieldAllCaps"/>
                <w:caps w:val="0"/>
                <w:smallCaps w:val="0"/>
              </w:rPr>
              <w:t>0010</w:t>
            </w:r>
          </w:p>
          <w:p w:rsidR="00FC354A" w:rsidRPr="004B4C02" w:rsidRDefault="00FC354A" w:rsidP="00FC354A">
            <w:pPr>
              <w:pStyle w:val="Caseinfo"/>
              <w:spacing w:line="240" w:lineRule="auto"/>
              <w:rPr>
                <w:rStyle w:val="FieldAllCaps"/>
                <w:caps w:val="0"/>
                <w:smallCaps w:val="0"/>
              </w:rPr>
            </w:pPr>
          </w:p>
          <w:p w:rsidR="000E2EC7" w:rsidRPr="004B4C02" w:rsidRDefault="000E2EC7" w:rsidP="000E2EC7">
            <w:pPr>
              <w:pStyle w:val="Caseinfo"/>
              <w:spacing w:line="240" w:lineRule="auto"/>
              <w:rPr>
                <w:rStyle w:val="StyleCaseinfoBlackChar"/>
                <w:b/>
                <w:smallCaps w:val="0"/>
                <w:color w:val="auto"/>
              </w:rPr>
            </w:pPr>
            <w:r>
              <w:rPr>
                <w:rStyle w:val="FieldAllCaps"/>
                <w:b/>
                <w:caps w:val="0"/>
                <w:smallCaps w:val="0"/>
              </w:rPr>
              <w:t>Petition</w:t>
            </w:r>
            <w:r w:rsidR="00FA1F64">
              <w:rPr>
                <w:rStyle w:val="FieldAllCaps"/>
                <w:b/>
                <w:caps w:val="0"/>
                <w:smallCaps w:val="0"/>
              </w:rPr>
              <w:t>er’</w:t>
            </w:r>
            <w:r>
              <w:rPr>
                <w:rStyle w:val="FieldAllCaps"/>
                <w:b/>
                <w:caps w:val="0"/>
                <w:smallCaps w:val="0"/>
              </w:rPr>
              <w:t xml:space="preserve">s Reply to Comments </w:t>
            </w:r>
          </w:p>
          <w:p w:rsidR="00FC354A" w:rsidRPr="004B4C02" w:rsidRDefault="00FC354A" w:rsidP="00FC354A">
            <w:pPr>
              <w:pStyle w:val="Caseinfo"/>
              <w:spacing w:line="240" w:lineRule="auto"/>
              <w:rPr>
                <w:rStyle w:val="StyleCaseinfoBlackChar"/>
                <w:b/>
                <w:smallCaps w:val="0"/>
                <w:color w:val="auto"/>
              </w:rPr>
            </w:pPr>
          </w:p>
          <w:p w:rsidR="00FC354A" w:rsidRPr="004B4C02" w:rsidRDefault="00FC354A" w:rsidP="00FC354A">
            <w:pPr>
              <w:pStyle w:val="Caseinfo"/>
              <w:spacing w:line="240" w:lineRule="auto"/>
              <w:rPr>
                <w:rStyle w:val="FieldAllCaps"/>
                <w:b/>
                <w:caps w:val="0"/>
                <w:smallCaps w:val="0"/>
              </w:rPr>
            </w:pPr>
          </w:p>
        </w:tc>
      </w:tr>
      <w:tr w:rsidR="00FC354A" w:rsidRPr="004B4C02" w:rsidTr="00627B7A">
        <w:trPr>
          <w:cantSplit/>
          <w:trHeight w:val="282"/>
        </w:trPr>
        <w:tc>
          <w:tcPr>
            <w:tcW w:w="4590" w:type="dxa"/>
            <w:tcBorders>
              <w:top w:val="single" w:sz="6" w:space="0" w:color="auto"/>
            </w:tcBorders>
            <w:tcMar>
              <w:top w:w="0" w:type="dxa"/>
            </w:tcMar>
          </w:tcPr>
          <w:p w:rsidR="00FC354A" w:rsidRPr="004B4C02" w:rsidRDefault="00FC354A" w:rsidP="00627B7A">
            <w:pPr>
              <w:pStyle w:val="Zbasefontbody"/>
            </w:pPr>
          </w:p>
        </w:tc>
        <w:tc>
          <w:tcPr>
            <w:tcW w:w="4770" w:type="dxa"/>
            <w:tcMar>
              <w:top w:w="0" w:type="dxa"/>
            </w:tcMar>
          </w:tcPr>
          <w:p w:rsidR="00FC354A" w:rsidRPr="004B4C02" w:rsidRDefault="00FC354A" w:rsidP="00627B7A">
            <w:pPr>
              <w:pStyle w:val="Zbasefontbody"/>
            </w:pPr>
          </w:p>
        </w:tc>
      </w:tr>
    </w:tbl>
    <w:p w:rsidR="000E2EC7" w:rsidRDefault="00E170F6" w:rsidP="00B40A19">
      <w:pPr>
        <w:spacing w:after="0" w:line="480" w:lineRule="auto"/>
        <w:ind w:firstLine="720"/>
        <w:jc w:val="both"/>
      </w:pPr>
      <w:r w:rsidRPr="0083270A">
        <w:t xml:space="preserve">Pursuant to </w:t>
      </w:r>
      <w:r w:rsidR="000E2EC7">
        <w:t>Rule 28(e)(5) and this Court’s order of May 8, 2025</w:t>
      </w:r>
      <w:r w:rsidRPr="0083270A">
        <w:t xml:space="preserve">, the undersigned attorney (Petitioner) respectively </w:t>
      </w:r>
      <w:r w:rsidR="000E2EC7">
        <w:t xml:space="preserve">reply to the comments to the petition raised by the </w:t>
      </w:r>
      <w:r w:rsidR="000E2EC7" w:rsidRPr="000E2EC7">
        <w:t>Maricopa County Indigent Defense Agencies</w:t>
      </w:r>
      <w:r w:rsidR="000E2EC7">
        <w:t xml:space="preserve"> and Judge </w:t>
      </w:r>
      <w:proofErr w:type="spellStart"/>
      <w:r w:rsidR="000E2EC7" w:rsidRPr="000E2EC7">
        <w:t>Reinstein</w:t>
      </w:r>
      <w:proofErr w:type="spellEnd"/>
      <w:r w:rsidR="000E2EC7">
        <w:t>.</w:t>
      </w:r>
    </w:p>
    <w:p w:rsidR="000E2EC7" w:rsidRDefault="000E2EC7" w:rsidP="00B40A19">
      <w:pPr>
        <w:spacing w:after="0" w:line="480" w:lineRule="auto"/>
        <w:ind w:firstLine="720"/>
        <w:jc w:val="both"/>
      </w:pPr>
      <w:r>
        <w:t xml:space="preserve">As an initial matter, none of the comments refute </w:t>
      </w:r>
      <w:r w:rsidR="009D307F">
        <w:t>P</w:t>
      </w:r>
      <w:r>
        <w:t xml:space="preserve">etitioner’s contention that there is a reoccurring problem with </w:t>
      </w:r>
      <w:r w:rsidR="009D307F">
        <w:t xml:space="preserve">Rule 19.1 and a </w:t>
      </w:r>
      <w:r>
        <w:t xml:space="preserve">lack of guidance for trial court judges in penalty phase retirals of capital cases.  </w:t>
      </w:r>
      <w:r w:rsidR="009D307F">
        <w:t xml:space="preserve">The </w:t>
      </w:r>
      <w:r w:rsidR="009D307F" w:rsidRPr="000E2EC7">
        <w:t>Defense Agencies</w:t>
      </w:r>
      <w:r w:rsidR="009D307F">
        <w:t xml:space="preserve"> would simply prefer that the facts of a murder be read in a short concise sentence rather than allow a jury to hear powerful live testimony regarding</w:t>
      </w:r>
      <w:r w:rsidR="008D4CE7">
        <w:t xml:space="preserve"> the</w:t>
      </w:r>
      <w:r w:rsidR="009D307F">
        <w:t xml:space="preserve"> murder</w:t>
      </w:r>
      <w:r w:rsidR="008D4CE7">
        <w:t>(</w:t>
      </w:r>
      <w:r w:rsidR="009D307F">
        <w:t>s</w:t>
      </w:r>
      <w:r w:rsidR="008D4CE7">
        <w:t>)</w:t>
      </w:r>
      <w:r w:rsidR="009D307F">
        <w:t>; the punishment for which the</w:t>
      </w:r>
      <w:r w:rsidR="008D4CE7">
        <w:t xml:space="preserve"> jury</w:t>
      </w:r>
      <w:r w:rsidR="009D307F">
        <w:t xml:space="preserve"> must decide. </w:t>
      </w:r>
    </w:p>
    <w:p w:rsidR="000E2EC7" w:rsidRDefault="000E2EC7" w:rsidP="00B40A19">
      <w:pPr>
        <w:spacing w:after="0" w:line="480" w:lineRule="auto"/>
        <w:ind w:firstLine="720"/>
        <w:jc w:val="both"/>
      </w:pPr>
      <w:r>
        <w:t xml:space="preserve">However, Judge </w:t>
      </w:r>
      <w:proofErr w:type="spellStart"/>
      <w:r w:rsidRPr="000E2EC7">
        <w:t>Reinstein</w:t>
      </w:r>
      <w:proofErr w:type="spellEnd"/>
      <w:r>
        <w:t xml:space="preserve"> </w:t>
      </w:r>
      <w:r w:rsidR="009D307F">
        <w:t xml:space="preserve">astutely </w:t>
      </w:r>
      <w:r>
        <w:t xml:space="preserve">pointed out the substantial difference between the two proposed versions of Rule </w:t>
      </w:r>
      <w:r w:rsidR="00833F46">
        <w:t>19.1(</w:t>
      </w:r>
      <w:r w:rsidR="009D307F">
        <w:t>f</w:t>
      </w:r>
      <w:r w:rsidR="00833F46">
        <w:t xml:space="preserve">).  Petitioner no longer has </w:t>
      </w:r>
      <w:r w:rsidR="001A66DA">
        <w:t>an</w:t>
      </w:r>
      <w:r w:rsidR="00833F46">
        <w:t xml:space="preserve"> older draft version of the proposed petition and is unsure how the discrepancy occurred. </w:t>
      </w:r>
    </w:p>
    <w:p w:rsidR="00833F46" w:rsidRDefault="00833F46" w:rsidP="00B40A19">
      <w:pPr>
        <w:spacing w:after="0" w:line="480" w:lineRule="auto"/>
        <w:ind w:firstLine="720"/>
        <w:jc w:val="both"/>
      </w:pPr>
      <w:r>
        <w:lastRenderedPageBreak/>
        <w:t xml:space="preserve">Judge </w:t>
      </w:r>
      <w:proofErr w:type="spellStart"/>
      <w:r w:rsidRPr="000E2EC7">
        <w:t>Reinstein</w:t>
      </w:r>
      <w:proofErr w:type="spellEnd"/>
      <w:r>
        <w:t xml:space="preserve"> also pointed out that no prosecuting agency commented on the petition.  </w:t>
      </w:r>
      <w:r w:rsidRPr="0083270A">
        <w:t>Petitioner</w:t>
      </w:r>
      <w:r>
        <w:t xml:space="preserve"> drafted the petition in his personal capacity after discussing the issue </w:t>
      </w:r>
      <w:r w:rsidR="00555961">
        <w:t xml:space="preserve">last year </w:t>
      </w:r>
      <w:r>
        <w:t xml:space="preserve">with several capital trial prosecutors.  </w:t>
      </w:r>
      <w:r w:rsidRPr="0083270A">
        <w:t>Petitioner</w:t>
      </w:r>
      <w:r>
        <w:t xml:space="preserve"> </w:t>
      </w:r>
      <w:r w:rsidR="008D4CE7">
        <w:t>was</w:t>
      </w:r>
      <w:r>
        <w:t xml:space="preserve"> told that the Maricopa County Attorney’s Office intended to file a comment in support of the petition, but d</w:t>
      </w:r>
      <w:r w:rsidR="009D307F">
        <w:t>id not do so before the deadline</w:t>
      </w:r>
      <w:r w:rsidR="008D4CE7">
        <w:t xml:space="preserve"> due to other obligations</w:t>
      </w:r>
      <w:r w:rsidR="009D307F">
        <w:t>.</w:t>
      </w:r>
    </w:p>
    <w:p w:rsidR="00833F46" w:rsidRDefault="009D307F" w:rsidP="00B40A19">
      <w:pPr>
        <w:spacing w:after="0" w:line="480" w:lineRule="auto"/>
        <w:ind w:firstLine="720"/>
        <w:jc w:val="both"/>
      </w:pPr>
      <w:r>
        <w:t xml:space="preserve">Judge </w:t>
      </w:r>
      <w:proofErr w:type="spellStart"/>
      <w:r w:rsidRPr="000E2EC7">
        <w:t>Reinstein</w:t>
      </w:r>
      <w:proofErr w:type="spellEnd"/>
      <w:r>
        <w:t xml:space="preserve"> also pointed out that t</w:t>
      </w:r>
      <w:r w:rsidR="00833F46" w:rsidRPr="00833F46">
        <w:t>he Capital Jury Instructions Workgroup, a subgroup</w:t>
      </w:r>
      <w:r>
        <w:t xml:space="preserve"> of the </w:t>
      </w:r>
      <w:r w:rsidRPr="009D307F">
        <w:t>Capital Case Oversight Committee</w:t>
      </w:r>
      <w:r>
        <w:t>, discussed the petition but also did not file a comment.</w:t>
      </w:r>
    </w:p>
    <w:p w:rsidR="00833F46" w:rsidRDefault="009D307F" w:rsidP="00B40A19">
      <w:pPr>
        <w:spacing w:after="0" w:line="480" w:lineRule="auto"/>
        <w:ind w:firstLine="720"/>
        <w:jc w:val="both"/>
      </w:pPr>
      <w:r>
        <w:t>During Petitioner’s recent discussion</w:t>
      </w:r>
      <w:r w:rsidR="008D4CE7">
        <w:t>s</w:t>
      </w:r>
      <w:r>
        <w:t xml:space="preserve"> with several prosecutors and other members of the </w:t>
      </w:r>
      <w:r w:rsidRPr="009D307F">
        <w:t>Oversight Committee</w:t>
      </w:r>
      <w:r>
        <w:t xml:space="preserve">, </w:t>
      </w:r>
      <w:r w:rsidR="001A66DA">
        <w:t>a</w:t>
      </w:r>
      <w:r>
        <w:t xml:space="preserve"> consensus </w:t>
      </w:r>
      <w:r w:rsidR="001A66DA">
        <w:t>formed</w:t>
      </w:r>
      <w:r>
        <w:t xml:space="preserve"> that defense counsel should be allowed to give the first opening statement in the proposed 19.1(f) penalty phase (as proposed in Appendix A).</w:t>
      </w:r>
      <w:bookmarkStart w:id="0" w:name="_GoBack"/>
      <w:bookmarkEnd w:id="0"/>
    </w:p>
    <w:p w:rsidR="000E2EC7" w:rsidRDefault="008D4CE7" w:rsidP="001A66DA">
      <w:pPr>
        <w:spacing w:after="0" w:line="480" w:lineRule="auto"/>
        <w:ind w:firstLine="720"/>
        <w:jc w:val="both"/>
      </w:pPr>
      <w:r>
        <w:t>However, g</w:t>
      </w:r>
      <w:r w:rsidR="001A66DA">
        <w:t>iven the</w:t>
      </w:r>
      <w:r>
        <w:t xml:space="preserve"> unfortunate</w:t>
      </w:r>
      <w:r w:rsidR="001A66DA">
        <w:t xml:space="preserve"> discrepancy in the original petition,</w:t>
      </w:r>
      <w:r w:rsidR="00515DBF">
        <w:t xml:space="preserve"> and lack of relevant comments from stakeholders,</w:t>
      </w:r>
      <w:r w:rsidR="001A66DA">
        <w:t xml:space="preserve"> </w:t>
      </w:r>
      <w:r w:rsidR="000E2EC7">
        <w:t>Petitioner requests this Court do one of the following</w:t>
      </w:r>
      <w:r w:rsidR="00555961">
        <w:t>:</w:t>
      </w:r>
      <w:r w:rsidR="001A66DA">
        <w:t xml:space="preserve"> </w:t>
      </w:r>
      <w:r w:rsidR="00555961">
        <w:t xml:space="preserve">(1) </w:t>
      </w:r>
      <w:r w:rsidR="000E2EC7">
        <w:t>“</w:t>
      </w:r>
      <w:r w:rsidR="000E2EC7" w:rsidRPr="000E2EC7">
        <w:t>continue the petition for later consideration</w:t>
      </w:r>
      <w:r w:rsidR="000E2EC7">
        <w:t xml:space="preserve">.” </w:t>
      </w:r>
      <w:r w:rsidR="00555961">
        <w:t xml:space="preserve"> </w:t>
      </w:r>
      <w:r w:rsidR="000E2EC7" w:rsidRPr="001A66DA">
        <w:rPr>
          <w:i/>
        </w:rPr>
        <w:t>See</w:t>
      </w:r>
      <w:r w:rsidR="000E2EC7">
        <w:t xml:space="preserve"> Rule 28(g)(1).</w:t>
      </w:r>
      <w:r w:rsidR="001A66DA">
        <w:t xml:space="preserve">  Petitioner could then file a revised proposal</w:t>
      </w:r>
      <w:r w:rsidR="00555961">
        <w:t xml:space="preserve"> for consideration at next year’s Rules Agenda.  Or (2) </w:t>
      </w:r>
      <w:r w:rsidR="00555961" w:rsidRPr="000E2EC7">
        <w:t>continue the petition</w:t>
      </w:r>
      <w:r w:rsidR="00555961">
        <w:t xml:space="preserve"> and</w:t>
      </w:r>
      <w:r w:rsidR="001A66DA">
        <w:t xml:space="preserve"> instruct that the proposal be sent to the </w:t>
      </w:r>
      <w:r w:rsidR="001A66DA" w:rsidRPr="009D307F">
        <w:t>Capital Case Oversight Committee</w:t>
      </w:r>
      <w:r w:rsidR="001A66DA">
        <w:t xml:space="preserve"> for </w:t>
      </w:r>
      <w:r w:rsidR="00555961">
        <w:t>further</w:t>
      </w:r>
      <w:r w:rsidR="001A66DA">
        <w:t xml:space="preserve"> discussion and revision.</w:t>
      </w:r>
      <w:r w:rsidR="00555961">
        <w:t xml:space="preserve"> </w:t>
      </w:r>
      <w:r w:rsidR="00555961" w:rsidRPr="00555961">
        <w:t xml:space="preserve"> </w:t>
      </w:r>
      <w:r w:rsidR="00555961" w:rsidRPr="001A66DA">
        <w:rPr>
          <w:i/>
        </w:rPr>
        <w:t>See</w:t>
      </w:r>
      <w:r w:rsidR="00555961">
        <w:t xml:space="preserve"> </w:t>
      </w:r>
      <w:r w:rsidR="00555961" w:rsidRPr="00555961">
        <w:t>Arizona Code of Judicial Administration § 1</w:t>
      </w:r>
      <w:r w:rsidR="00555961">
        <w:t>–</w:t>
      </w:r>
      <w:r w:rsidR="00555961" w:rsidRPr="00555961">
        <w:t>104</w:t>
      </w:r>
      <w:r w:rsidR="00555961">
        <w:t>.</w:t>
      </w:r>
    </w:p>
    <w:p w:rsidR="000E2EC7" w:rsidRDefault="000E2EC7" w:rsidP="001A66DA">
      <w:pPr>
        <w:spacing w:before="120" w:after="0" w:line="480" w:lineRule="auto"/>
        <w:ind w:firstLine="720"/>
        <w:jc w:val="both"/>
      </w:pPr>
      <w:r>
        <w:t xml:space="preserve">Finally, </w:t>
      </w:r>
      <w:r w:rsidRPr="0083270A">
        <w:t>Petitioner</w:t>
      </w:r>
      <w:r w:rsidR="00833F46">
        <w:t xml:space="preserve"> was unaware that </w:t>
      </w:r>
      <w:r w:rsidR="00833F46" w:rsidRPr="00833F46">
        <w:rPr>
          <w:i/>
        </w:rPr>
        <w:t>In Re Rules of Criminal Procedure</w:t>
      </w:r>
      <w:r w:rsidR="00833F46" w:rsidRPr="00833F46">
        <w:t>, No. R-22-0035 (Ariz. Dec. 8, 2022)</w:t>
      </w:r>
      <w:r w:rsidR="00833F46">
        <w:t xml:space="preserve">, utilized a specific naming scheme to identify provisions for </w:t>
      </w:r>
      <w:r w:rsidR="00833F46">
        <w:lastRenderedPageBreak/>
        <w:t xml:space="preserve">Victims Rights. </w:t>
      </w:r>
      <w:r w:rsidR="00555961">
        <w:t xml:space="preserve"> </w:t>
      </w:r>
      <w:r w:rsidR="00833F46">
        <w:t>Unlike other provision of the Criminal Rules</w:t>
      </w:r>
      <w:r w:rsidR="001A66DA">
        <w:t>,</w:t>
      </w:r>
      <w:r w:rsidR="00833F46">
        <w:t xml:space="preserve"> the change to 19.1 created a new subsection, rather than a renumbering.  Petitioner would ask this Court to disregard the proposed renumbering of 19.1(v).</w:t>
      </w:r>
    </w:p>
    <w:p w:rsidR="00FA5ABF" w:rsidRPr="0083270A" w:rsidRDefault="004C1204" w:rsidP="004C1204">
      <w:pPr>
        <w:spacing w:before="120" w:after="0" w:line="480" w:lineRule="auto"/>
        <w:ind w:firstLine="720"/>
        <w:jc w:val="both"/>
      </w:pPr>
      <w:r w:rsidRPr="0083270A">
        <w:t xml:space="preserve">This Court should </w:t>
      </w:r>
      <w:r w:rsidR="001A66DA">
        <w:t>take action that will lead, eventually</w:t>
      </w:r>
      <w:r w:rsidR="00555961">
        <w:t>,</w:t>
      </w:r>
      <w:r w:rsidR="001A66DA">
        <w:t xml:space="preserve"> to the </w:t>
      </w:r>
      <w:r w:rsidRPr="0083270A">
        <w:t>adopt</w:t>
      </w:r>
      <w:r w:rsidR="001A66DA">
        <w:t>ion of a</w:t>
      </w:r>
      <w:r w:rsidRPr="0083270A">
        <w:t xml:space="preserve"> specific rule </w:t>
      </w:r>
      <w:r w:rsidR="00EE6486">
        <w:t>to</w:t>
      </w:r>
      <w:r w:rsidRPr="0083270A">
        <w:t xml:space="preserve"> </w:t>
      </w:r>
      <w:r w:rsidR="00EE6486" w:rsidRPr="0083270A">
        <w:t>govern</w:t>
      </w:r>
      <w:r w:rsidRPr="0083270A">
        <w:t xml:space="preserve"> </w:t>
      </w:r>
      <w:r w:rsidR="001A66DA">
        <w:t>the</w:t>
      </w:r>
      <w:r w:rsidRPr="0083270A">
        <w:t xml:space="preserve"> unusual, but not uncommon, circumstances </w:t>
      </w:r>
      <w:r w:rsidR="001A66DA">
        <w:t xml:space="preserve">described in the petition </w:t>
      </w:r>
      <w:r w:rsidRPr="0083270A">
        <w:t>and avoid the ad hoc resolutions being adopted by the trial courts.</w:t>
      </w:r>
    </w:p>
    <w:p w:rsidR="009B799C" w:rsidRPr="004B4C02" w:rsidRDefault="00845CC1" w:rsidP="00845CC1">
      <w:pPr>
        <w:spacing w:after="0" w:line="480" w:lineRule="auto"/>
        <w:jc w:val="center"/>
        <w:rPr>
          <w:b/>
          <w:sz w:val="28"/>
          <w:szCs w:val="28"/>
        </w:rPr>
      </w:pPr>
      <w:r w:rsidRPr="004B4C02">
        <w:rPr>
          <w:b/>
          <w:sz w:val="28"/>
          <w:szCs w:val="28"/>
        </w:rPr>
        <w:t>CONCLUSION</w:t>
      </w:r>
    </w:p>
    <w:p w:rsidR="00653C47" w:rsidRPr="0083270A" w:rsidRDefault="00653C47" w:rsidP="00845CC1">
      <w:pPr>
        <w:spacing w:after="0" w:line="480" w:lineRule="auto"/>
        <w:ind w:firstLine="720"/>
        <w:jc w:val="both"/>
      </w:pPr>
      <w:r w:rsidRPr="0083270A">
        <w:t>For the foregoing reasons, Petitioner respectfully asks this Court to</w:t>
      </w:r>
      <w:r w:rsidR="001A66DA">
        <w:t xml:space="preserve"> take an action continuing the proposed</w:t>
      </w:r>
      <w:r w:rsidRPr="0083270A">
        <w:t xml:space="preserve"> amend</w:t>
      </w:r>
      <w:r w:rsidR="001A66DA">
        <w:t>ment to</w:t>
      </w:r>
      <w:r w:rsidRPr="0083270A">
        <w:t xml:space="preserve"> Rule </w:t>
      </w:r>
      <w:r w:rsidR="00FA5ABF" w:rsidRPr="0083270A">
        <w:t>19.1</w:t>
      </w:r>
      <w:r w:rsidRPr="0083270A">
        <w:t>.</w:t>
      </w:r>
    </w:p>
    <w:tbl>
      <w:tblPr>
        <w:tblW w:w="949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3"/>
        <w:gridCol w:w="4920"/>
      </w:tblGrid>
      <w:tr w:rsidR="00732ABD" w:rsidRPr="004B4C02" w:rsidTr="00732ABD">
        <w:trPr>
          <w:cantSplit/>
          <w:trHeight w:val="255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tcMar>
              <w:top w:w="260" w:type="dxa"/>
              <w:bottom w:w="260" w:type="dxa"/>
            </w:tcMar>
          </w:tcPr>
          <w:p w:rsidR="00732ABD" w:rsidRPr="004B4C02" w:rsidRDefault="00732ABD" w:rsidP="00A07043">
            <w:pPr>
              <w:pStyle w:val="Heading6"/>
              <w:numPr>
                <w:ilvl w:val="0"/>
                <w:numId w:val="0"/>
              </w:numPr>
              <w:ind w:left="3600"/>
              <w:rPr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260" w:type="dxa"/>
              <w:left w:w="173" w:type="dxa"/>
              <w:bottom w:w="260" w:type="dxa"/>
              <w:right w:w="0" w:type="dxa"/>
            </w:tcMar>
          </w:tcPr>
          <w:p w:rsidR="00732ABD" w:rsidRPr="004B4C02" w:rsidRDefault="00732ABD" w:rsidP="00732ABD">
            <w:pPr>
              <w:spacing w:line="240" w:lineRule="auto"/>
              <w:ind w:firstLine="718"/>
              <w:rPr>
                <w:sz w:val="28"/>
                <w:szCs w:val="28"/>
              </w:rPr>
            </w:pPr>
            <w:bookmarkStart w:id="1" w:name="LegalWords_End"/>
            <w:bookmarkEnd w:id="1"/>
            <w:r w:rsidRPr="004B4C02">
              <w:rPr>
                <w:sz w:val="28"/>
                <w:szCs w:val="28"/>
              </w:rPr>
              <w:t>Respectfully submitted,</w:t>
            </w:r>
          </w:p>
          <w:p w:rsidR="00732ABD" w:rsidRPr="004B4C02" w:rsidRDefault="00732ABD" w:rsidP="00A07043">
            <w:pPr>
              <w:spacing w:line="240" w:lineRule="auto"/>
              <w:ind w:firstLine="718"/>
              <w:rPr>
                <w:sz w:val="28"/>
                <w:szCs w:val="28"/>
              </w:rPr>
            </w:pPr>
          </w:p>
          <w:p w:rsidR="00732ABD" w:rsidRPr="004B4C02" w:rsidRDefault="00732ABD" w:rsidP="00A07043">
            <w:pPr>
              <w:spacing w:line="240" w:lineRule="auto"/>
              <w:ind w:firstLine="718"/>
              <w:rPr>
                <w:sz w:val="28"/>
                <w:szCs w:val="28"/>
                <w:u w:val="single"/>
              </w:rPr>
            </w:pPr>
            <w:r w:rsidRPr="004B4C02">
              <w:rPr>
                <w:sz w:val="28"/>
                <w:szCs w:val="28"/>
                <w:u w:val="single"/>
              </w:rPr>
              <w:t>/s/</w:t>
            </w:r>
            <w:r w:rsidRPr="004B4C02">
              <w:rPr>
                <w:sz w:val="28"/>
                <w:szCs w:val="28"/>
                <w:u w:val="single"/>
              </w:rPr>
              <w:tab/>
            </w:r>
            <w:r w:rsidRPr="004B4C02">
              <w:rPr>
                <w:sz w:val="28"/>
                <w:szCs w:val="28"/>
                <w:u w:val="single"/>
              </w:rPr>
              <w:tab/>
            </w:r>
            <w:r w:rsidRPr="004B4C02">
              <w:rPr>
                <w:sz w:val="28"/>
                <w:szCs w:val="28"/>
                <w:u w:val="single"/>
              </w:rPr>
              <w:tab/>
            </w:r>
            <w:r w:rsidRPr="004B4C02">
              <w:rPr>
                <w:sz w:val="28"/>
                <w:szCs w:val="28"/>
                <w:u w:val="single"/>
              </w:rPr>
              <w:tab/>
            </w:r>
          </w:p>
          <w:p w:rsidR="00732ABD" w:rsidRPr="004B4C02" w:rsidRDefault="00732ABD" w:rsidP="00A07043">
            <w:pPr>
              <w:spacing w:line="240" w:lineRule="auto"/>
              <w:ind w:firstLine="718"/>
              <w:rPr>
                <w:sz w:val="28"/>
                <w:szCs w:val="28"/>
              </w:rPr>
            </w:pPr>
            <w:r w:rsidRPr="004B4C02">
              <w:rPr>
                <w:sz w:val="28"/>
                <w:szCs w:val="28"/>
              </w:rPr>
              <w:t>Kevin M. Morrow Esq.</w:t>
            </w:r>
          </w:p>
          <w:p w:rsidR="00732ABD" w:rsidRPr="004B4C02" w:rsidRDefault="00732ABD" w:rsidP="00A07043">
            <w:pPr>
              <w:spacing w:line="240" w:lineRule="auto"/>
              <w:ind w:firstLine="718"/>
              <w:rPr>
                <w:sz w:val="28"/>
                <w:szCs w:val="28"/>
              </w:rPr>
            </w:pPr>
            <w:r w:rsidRPr="004B4C02">
              <w:rPr>
                <w:sz w:val="28"/>
                <w:szCs w:val="28"/>
              </w:rPr>
              <w:t>AZ SBN 034697</w:t>
            </w:r>
          </w:p>
          <w:p w:rsidR="00732ABD" w:rsidRPr="004B4C02" w:rsidRDefault="00732ABD" w:rsidP="00732ABD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45CC1" w:rsidRPr="004B4C02" w:rsidRDefault="00845CC1" w:rsidP="00D52A6C">
      <w:pPr>
        <w:spacing w:after="0" w:line="480" w:lineRule="auto"/>
        <w:jc w:val="both"/>
        <w:rPr>
          <w:sz w:val="28"/>
          <w:szCs w:val="28"/>
        </w:rPr>
      </w:pPr>
    </w:p>
    <w:p w:rsidR="009B799C" w:rsidRPr="004B4C02" w:rsidRDefault="009B799C" w:rsidP="00D52A6C">
      <w:pPr>
        <w:spacing w:after="0" w:line="480" w:lineRule="auto"/>
        <w:jc w:val="both"/>
        <w:rPr>
          <w:sz w:val="28"/>
          <w:szCs w:val="28"/>
        </w:rPr>
      </w:pPr>
    </w:p>
    <w:p w:rsidR="008A7E13" w:rsidRDefault="008A7E13" w:rsidP="00EF2F4F">
      <w:pPr>
        <w:tabs>
          <w:tab w:val="left" w:pos="1410"/>
        </w:tabs>
        <w:rPr>
          <w:sz w:val="28"/>
          <w:szCs w:val="28"/>
        </w:rPr>
      </w:pPr>
    </w:p>
    <w:p w:rsidR="0083270A" w:rsidRDefault="0083270A" w:rsidP="00EF2F4F">
      <w:pPr>
        <w:tabs>
          <w:tab w:val="left" w:pos="1410"/>
        </w:tabs>
        <w:rPr>
          <w:sz w:val="28"/>
          <w:szCs w:val="28"/>
        </w:rPr>
      </w:pPr>
    </w:p>
    <w:p w:rsidR="008A7E13" w:rsidRPr="004B4C02" w:rsidRDefault="008A7E13" w:rsidP="00EF2F4F">
      <w:pPr>
        <w:tabs>
          <w:tab w:val="left" w:pos="1410"/>
        </w:tabs>
        <w:rPr>
          <w:sz w:val="28"/>
          <w:szCs w:val="28"/>
        </w:rPr>
      </w:pPr>
    </w:p>
    <w:sectPr w:rsidR="008A7E13" w:rsidRPr="004B4C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57A" w:rsidRDefault="005C157A" w:rsidP="005C157A">
      <w:pPr>
        <w:spacing w:after="0" w:line="240" w:lineRule="auto"/>
      </w:pPr>
      <w:r>
        <w:separator/>
      </w:r>
    </w:p>
  </w:endnote>
  <w:endnote w:type="continuationSeparator" w:id="0">
    <w:p w:rsidR="005C157A" w:rsidRDefault="005C157A" w:rsidP="005C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322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57A" w:rsidRDefault="005C1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57A" w:rsidRDefault="005C1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57A" w:rsidRDefault="005C157A" w:rsidP="005C157A">
      <w:pPr>
        <w:spacing w:after="0" w:line="240" w:lineRule="auto"/>
      </w:pPr>
      <w:r>
        <w:separator/>
      </w:r>
    </w:p>
  </w:footnote>
  <w:footnote w:type="continuationSeparator" w:id="0">
    <w:p w:rsidR="005C157A" w:rsidRDefault="005C157A" w:rsidP="005C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95BE2"/>
    <w:multiLevelType w:val="multilevel"/>
    <w:tmpl w:val="A7BEB7D8"/>
    <w:styleLink w:val="ABRHeadings"/>
    <w:lvl w:ilvl="0">
      <w:start w:val="1"/>
      <w:numFmt w:val="none"/>
      <w:pStyle w:val="Heading1"/>
      <w:suff w:val="nothing"/>
      <w:lvlText w:val=""/>
      <w:lvlJc w:val="left"/>
      <w:pPr>
        <w:ind w:left="0" w:hanging="360"/>
      </w:pPr>
      <w:rPr>
        <w:rFonts w:ascii="Times New Roman Bold" w:hAnsi="Times New Roman Bold" w:hint="default"/>
        <w:b/>
        <w:i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upperRoman"/>
      <w:pStyle w:val="Heading2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upperLetter"/>
      <w:pStyle w:val="Heading3"/>
      <w:lvlText w:val="%3."/>
      <w:lvlJc w:val="left"/>
      <w:pPr>
        <w:ind w:left="1440" w:hanging="720"/>
      </w:pPr>
      <w:rPr>
        <w:rFonts w:ascii="Times New Roman Bold" w:hAnsi="Times New Roman Bold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4">
      <w:start w:val="1"/>
      <w:numFmt w:val="lowerLetter"/>
      <w:pStyle w:val="Heading5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2880"/>
        </w:tabs>
        <w:ind w:left="360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504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5760" w:hanging="720"/>
      </w:pPr>
      <w:rPr>
        <w:rFonts w:hint="default"/>
      </w:rPr>
    </w:lvl>
  </w:abstractNum>
  <w:abstractNum w:abstractNumId="1" w15:restartNumberingAfterBreak="0">
    <w:nsid w:val="1A99130D"/>
    <w:multiLevelType w:val="hybridMultilevel"/>
    <w:tmpl w:val="08702BC2"/>
    <w:lvl w:ilvl="0" w:tplc="23EA0B12">
      <w:start w:val="1"/>
      <w:numFmt w:val="decimal"/>
      <w:pStyle w:val="Body"/>
      <w:lvlText w:val="¶%1"/>
      <w:lvlJc w:val="left"/>
      <w:pPr>
        <w:ind w:left="171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8DE"/>
    <w:multiLevelType w:val="hybridMultilevel"/>
    <w:tmpl w:val="E7FAF698"/>
    <w:lvl w:ilvl="0" w:tplc="60449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hanging="360"/>
        </w:pPr>
        <w:rPr>
          <w:rFonts w:ascii="Times New Roman Bold" w:hAnsi="Times New Roman Bold" w:hint="default"/>
          <w:b/>
          <w:i w:val="0"/>
          <w:strike w:val="0"/>
          <w:dstrik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ind w:left="1440" w:hanging="720"/>
        </w:pPr>
        <w:rPr>
          <w:rFonts w:ascii="Times New Roman Bold" w:hAnsi="Times New Roman Bold" w:hint="default"/>
          <w:b/>
          <w:i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ind w:left="216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ind w:left="288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5">
      <w:lvl w:ilvl="5">
        <w:start w:val="1"/>
        <w:numFmt w:val="lowerRoman"/>
        <w:pStyle w:val="Heading6"/>
        <w:lvlText w:val="%6."/>
        <w:lvlJc w:val="left"/>
        <w:pPr>
          <w:tabs>
            <w:tab w:val="num" w:pos="2880"/>
          </w:tabs>
          <w:ind w:left="360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6">
      <w:lvl w:ilvl="6">
        <w:start w:val="1"/>
        <w:numFmt w:val="decimal"/>
        <w:pStyle w:val="Heading7"/>
        <w:lvlText w:val="%7."/>
        <w:lvlJc w:val="left"/>
        <w:pPr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left"/>
        <w:pPr>
          <w:ind w:left="5760" w:hanging="720"/>
        </w:pPr>
        <w:rPr>
          <w:rFonts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CE"/>
    <w:rsid w:val="00053B9F"/>
    <w:rsid w:val="00061409"/>
    <w:rsid w:val="000740FE"/>
    <w:rsid w:val="0008574A"/>
    <w:rsid w:val="00094C28"/>
    <w:rsid w:val="000C6E06"/>
    <w:rsid w:val="000E2EC7"/>
    <w:rsid w:val="00122CA4"/>
    <w:rsid w:val="001321E3"/>
    <w:rsid w:val="00144AEC"/>
    <w:rsid w:val="00161C9E"/>
    <w:rsid w:val="00174E66"/>
    <w:rsid w:val="001A522A"/>
    <w:rsid w:val="001A66DA"/>
    <w:rsid w:val="001B48AE"/>
    <w:rsid w:val="001F205C"/>
    <w:rsid w:val="00235E34"/>
    <w:rsid w:val="00241435"/>
    <w:rsid w:val="00265931"/>
    <w:rsid w:val="002C44C3"/>
    <w:rsid w:val="002E5551"/>
    <w:rsid w:val="003722DE"/>
    <w:rsid w:val="00390416"/>
    <w:rsid w:val="003C6DDF"/>
    <w:rsid w:val="003D2360"/>
    <w:rsid w:val="00401309"/>
    <w:rsid w:val="00416091"/>
    <w:rsid w:val="00432159"/>
    <w:rsid w:val="00432319"/>
    <w:rsid w:val="004B4C02"/>
    <w:rsid w:val="004C1204"/>
    <w:rsid w:val="004C70EF"/>
    <w:rsid w:val="004D3D8B"/>
    <w:rsid w:val="005019FE"/>
    <w:rsid w:val="00515DBF"/>
    <w:rsid w:val="00555961"/>
    <w:rsid w:val="00582D65"/>
    <w:rsid w:val="005C157A"/>
    <w:rsid w:val="005D68C6"/>
    <w:rsid w:val="005E0963"/>
    <w:rsid w:val="005E65F9"/>
    <w:rsid w:val="005E744C"/>
    <w:rsid w:val="00604579"/>
    <w:rsid w:val="006221DF"/>
    <w:rsid w:val="00646D5E"/>
    <w:rsid w:val="00653C47"/>
    <w:rsid w:val="00692AB7"/>
    <w:rsid w:val="006B1715"/>
    <w:rsid w:val="006C01D1"/>
    <w:rsid w:val="006C28A3"/>
    <w:rsid w:val="006D4ACE"/>
    <w:rsid w:val="006D6ADF"/>
    <w:rsid w:val="007012BF"/>
    <w:rsid w:val="00721C02"/>
    <w:rsid w:val="00732ABD"/>
    <w:rsid w:val="007579FA"/>
    <w:rsid w:val="007913E6"/>
    <w:rsid w:val="007E3517"/>
    <w:rsid w:val="007F3DA6"/>
    <w:rsid w:val="007F7B5E"/>
    <w:rsid w:val="0083270A"/>
    <w:rsid w:val="00833F46"/>
    <w:rsid w:val="00842B3C"/>
    <w:rsid w:val="00845CC1"/>
    <w:rsid w:val="008750B6"/>
    <w:rsid w:val="008960F1"/>
    <w:rsid w:val="008A7E13"/>
    <w:rsid w:val="008D4CE7"/>
    <w:rsid w:val="00913EAA"/>
    <w:rsid w:val="00917593"/>
    <w:rsid w:val="00925D25"/>
    <w:rsid w:val="00962AAA"/>
    <w:rsid w:val="00985E83"/>
    <w:rsid w:val="0099239F"/>
    <w:rsid w:val="00994E39"/>
    <w:rsid w:val="009A546B"/>
    <w:rsid w:val="009B799C"/>
    <w:rsid w:val="009D307F"/>
    <w:rsid w:val="009F1B3C"/>
    <w:rsid w:val="00A71842"/>
    <w:rsid w:val="00A92FA2"/>
    <w:rsid w:val="00AA0A99"/>
    <w:rsid w:val="00AE4264"/>
    <w:rsid w:val="00B02289"/>
    <w:rsid w:val="00B05678"/>
    <w:rsid w:val="00B220B4"/>
    <w:rsid w:val="00B40A19"/>
    <w:rsid w:val="00B45A89"/>
    <w:rsid w:val="00B55FCC"/>
    <w:rsid w:val="00B62AAE"/>
    <w:rsid w:val="00B66D3D"/>
    <w:rsid w:val="00B973E0"/>
    <w:rsid w:val="00BB6F39"/>
    <w:rsid w:val="00BE1856"/>
    <w:rsid w:val="00C12354"/>
    <w:rsid w:val="00C83DDA"/>
    <w:rsid w:val="00CB448C"/>
    <w:rsid w:val="00CC0A54"/>
    <w:rsid w:val="00CC431C"/>
    <w:rsid w:val="00CC58D3"/>
    <w:rsid w:val="00CD08C9"/>
    <w:rsid w:val="00D4043C"/>
    <w:rsid w:val="00D50F57"/>
    <w:rsid w:val="00D52A6C"/>
    <w:rsid w:val="00D741BA"/>
    <w:rsid w:val="00E10C74"/>
    <w:rsid w:val="00E170F6"/>
    <w:rsid w:val="00E35E6C"/>
    <w:rsid w:val="00E3718D"/>
    <w:rsid w:val="00E779FD"/>
    <w:rsid w:val="00EC18F2"/>
    <w:rsid w:val="00ED2BCB"/>
    <w:rsid w:val="00EE6486"/>
    <w:rsid w:val="00EF2F4F"/>
    <w:rsid w:val="00EF7065"/>
    <w:rsid w:val="00F05A4F"/>
    <w:rsid w:val="00F51F4F"/>
    <w:rsid w:val="00F8323C"/>
    <w:rsid w:val="00FA1F64"/>
    <w:rsid w:val="00FA5ABF"/>
    <w:rsid w:val="00FB3031"/>
    <w:rsid w:val="00FB4F5F"/>
    <w:rsid w:val="00FC354A"/>
    <w:rsid w:val="00FD1E35"/>
    <w:rsid w:val="00FD1F02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C20D"/>
  <w15:chartTrackingRefBased/>
  <w15:docId w15:val="{5E8C6FC8-E03A-40D2-AD11-802F6AD5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ACE"/>
    <w:rPr>
      <w:rFonts w:ascii="Times New Roman" w:hAnsi="Times New Roman" w:cs="Times New Roman"/>
      <w:sz w:val="26"/>
      <w:szCs w:val="26"/>
    </w:rPr>
  </w:style>
  <w:style w:type="paragraph" w:styleId="Heading1">
    <w:name w:val="heading 1"/>
    <w:next w:val="Normal"/>
    <w:link w:val="Heading1Char"/>
    <w:qFormat/>
    <w:rsid w:val="00732ABD"/>
    <w:pPr>
      <w:keepNext/>
      <w:pageBreakBefore/>
      <w:numPr>
        <w:numId w:val="3"/>
      </w:numPr>
      <w:suppressAutoHyphens/>
      <w:spacing w:after="280" w:line="240" w:lineRule="auto"/>
      <w:ind w:firstLine="0"/>
      <w:jc w:val="center"/>
      <w:outlineLvl w:val="0"/>
    </w:pPr>
    <w:rPr>
      <w:rFonts w:ascii="Times New Roman Bold" w:eastAsia="Times New Roman" w:hAnsi="Times New Roman Bold" w:cs="Garamond"/>
      <w:b/>
      <w:bCs/>
      <w:cap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732ABD"/>
    <w:pPr>
      <w:pageBreakBefore w:val="0"/>
      <w:numPr>
        <w:ilvl w:val="1"/>
      </w:numPr>
      <w:tabs>
        <w:tab w:val="left" w:pos="720"/>
      </w:tabs>
      <w:jc w:val="both"/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qFormat/>
    <w:rsid w:val="00732ABD"/>
    <w:pPr>
      <w:numPr>
        <w:ilvl w:val="2"/>
      </w:numPr>
      <w:tabs>
        <w:tab w:val="clear" w:pos="720"/>
      </w:tabs>
      <w:outlineLvl w:val="2"/>
    </w:pPr>
    <w:rPr>
      <w:kern w:val="2"/>
    </w:rPr>
  </w:style>
  <w:style w:type="paragraph" w:styleId="Heading4">
    <w:name w:val="heading 4"/>
    <w:basedOn w:val="Heading3"/>
    <w:next w:val="Normal"/>
    <w:link w:val="Heading4Char"/>
    <w:qFormat/>
    <w:rsid w:val="00732ABD"/>
    <w:pPr>
      <w:numPr>
        <w:ilvl w:val="3"/>
      </w:numPr>
      <w:outlineLvl w:val="3"/>
    </w:pPr>
    <w:rPr>
      <w:rFonts w:cs="Times New Roman"/>
      <w:bCs w:val="0"/>
      <w:i/>
    </w:rPr>
  </w:style>
  <w:style w:type="paragraph" w:styleId="Heading5">
    <w:name w:val="heading 5"/>
    <w:basedOn w:val="Heading4"/>
    <w:next w:val="Normal"/>
    <w:link w:val="Heading5Char"/>
    <w:qFormat/>
    <w:rsid w:val="00732ABD"/>
    <w:pPr>
      <w:numPr>
        <w:ilvl w:val="4"/>
      </w:numPr>
      <w:outlineLvl w:val="4"/>
    </w:pPr>
    <w:rPr>
      <w:bCs/>
      <w:i w:val="0"/>
      <w:iCs/>
      <w:szCs w:val="26"/>
    </w:rPr>
  </w:style>
  <w:style w:type="paragraph" w:styleId="Heading6">
    <w:name w:val="heading 6"/>
    <w:basedOn w:val="Heading5"/>
    <w:next w:val="Normal"/>
    <w:link w:val="Heading6Char"/>
    <w:rsid w:val="00732ABD"/>
    <w:pPr>
      <w:numPr>
        <w:ilvl w:val="5"/>
      </w:numPr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Heading6"/>
    <w:next w:val="Normal"/>
    <w:link w:val="Heading7Char"/>
    <w:rsid w:val="00732ABD"/>
    <w:pPr>
      <w:numPr>
        <w:ilvl w:val="6"/>
      </w:numPr>
      <w:outlineLvl w:val="6"/>
    </w:pPr>
    <w:rPr>
      <w:sz w:val="24"/>
      <w:szCs w:val="24"/>
    </w:rPr>
  </w:style>
  <w:style w:type="paragraph" w:styleId="Heading8">
    <w:name w:val="heading 8"/>
    <w:basedOn w:val="Heading7"/>
    <w:next w:val="Normal"/>
    <w:link w:val="Heading8Char"/>
    <w:rsid w:val="00732ABD"/>
    <w:pPr>
      <w:numPr>
        <w:ilvl w:val="7"/>
      </w:numPr>
      <w:outlineLvl w:val="7"/>
    </w:pPr>
    <w:rPr>
      <w:i/>
      <w:iCs w:val="0"/>
    </w:rPr>
  </w:style>
  <w:style w:type="paragraph" w:styleId="Heading9">
    <w:name w:val="heading 9"/>
    <w:basedOn w:val="Heading8"/>
    <w:next w:val="Normal"/>
    <w:link w:val="Heading9Char"/>
    <w:rsid w:val="00732ABD"/>
    <w:pPr>
      <w:numPr>
        <w:ilvl w:val="8"/>
      </w:numPr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6D4ACE"/>
    <w:pPr>
      <w:numPr>
        <w:numId w:val="1"/>
      </w:numPr>
      <w:tabs>
        <w:tab w:val="left" w:pos="1440"/>
      </w:tabs>
      <w:spacing w:after="240" w:line="240" w:lineRule="auto"/>
      <w:ind w:left="0" w:firstLine="0"/>
      <w:jc w:val="both"/>
    </w:pPr>
    <w:rPr>
      <w:rFonts w:ascii="Book Antiqua" w:hAnsi="Book Antiqua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FC354A"/>
    <w:pPr>
      <w:ind w:left="720"/>
      <w:contextualSpacing/>
    </w:pPr>
  </w:style>
  <w:style w:type="paragraph" w:customStyle="1" w:styleId="Zbasefontbody">
    <w:name w:val="Zbasefont_body"/>
    <w:link w:val="ZbasefontbodyChar"/>
    <w:rsid w:val="00FC354A"/>
    <w:pPr>
      <w:spacing w:after="0" w:line="240" w:lineRule="auto"/>
    </w:pPr>
    <w:rPr>
      <w:rFonts w:ascii="Times New Roman" w:eastAsia="Times New Roman" w:hAnsi="Times New Roman" w:cs="Times New Roman"/>
      <w:bCs/>
      <w:kern w:val="2"/>
      <w:sz w:val="28"/>
      <w:szCs w:val="28"/>
    </w:rPr>
  </w:style>
  <w:style w:type="paragraph" w:customStyle="1" w:styleId="Brieftitle">
    <w:name w:val="Brief_title"/>
    <w:basedOn w:val="Zbasefontbody"/>
    <w:rsid w:val="00FC354A"/>
    <w:pPr>
      <w:spacing w:before="240" w:after="240"/>
    </w:pPr>
    <w:rPr>
      <w:b/>
      <w:smallCaps/>
      <w:noProof/>
      <w:sz w:val="26"/>
      <w:szCs w:val="26"/>
    </w:rPr>
  </w:style>
  <w:style w:type="paragraph" w:customStyle="1" w:styleId="Caseinfo">
    <w:name w:val="Case_info"/>
    <w:basedOn w:val="Zbasefontbody"/>
    <w:link w:val="CaseinfoChar"/>
    <w:rsid w:val="00FC354A"/>
    <w:pPr>
      <w:tabs>
        <w:tab w:val="left" w:pos="3780"/>
      </w:tabs>
      <w:spacing w:line="360" w:lineRule="auto"/>
    </w:pPr>
    <w:rPr>
      <w:smallCaps/>
    </w:rPr>
  </w:style>
  <w:style w:type="character" w:customStyle="1" w:styleId="FieldAllCaps">
    <w:name w:val="Field All Caps"/>
    <w:autoRedefine/>
    <w:rsid w:val="00FC354A"/>
    <w:rPr>
      <w:caps/>
      <w:sz w:val="28"/>
      <w:szCs w:val="28"/>
    </w:rPr>
  </w:style>
  <w:style w:type="paragraph" w:customStyle="1" w:styleId="StyleStyleCourtNameTitle18ptAfter12ptTimesNewRoman">
    <w:name w:val="Style Style CourtNameTitle + 18 pt After:  12 pt + Times New Roman..."/>
    <w:basedOn w:val="Normal"/>
    <w:rsid w:val="00FC354A"/>
    <w:pPr>
      <w:widowControl w:val="0"/>
      <w:spacing w:before="360" w:after="240" w:line="240" w:lineRule="auto"/>
      <w:jc w:val="center"/>
      <w:outlineLvl w:val="0"/>
    </w:pPr>
    <w:rPr>
      <w:rFonts w:eastAsia="Times New Roman"/>
      <w:b/>
      <w:bCs/>
      <w:caps/>
      <w:kern w:val="2"/>
      <w:sz w:val="28"/>
      <w:szCs w:val="20"/>
    </w:rPr>
  </w:style>
  <w:style w:type="paragraph" w:customStyle="1" w:styleId="StyleCaseinfoBlack">
    <w:name w:val="Style Case_info + Black"/>
    <w:basedOn w:val="Caseinfo"/>
    <w:link w:val="StyleCaseinfoBlackChar"/>
    <w:rsid w:val="00FC354A"/>
    <w:rPr>
      <w:bCs w:val="0"/>
      <w:smallCaps w:val="0"/>
      <w:color w:val="000000"/>
    </w:rPr>
  </w:style>
  <w:style w:type="character" w:customStyle="1" w:styleId="ZbasefontbodyChar">
    <w:name w:val="Zbasefont_body Char"/>
    <w:link w:val="Zbasefontbody"/>
    <w:rsid w:val="00FC354A"/>
    <w:rPr>
      <w:rFonts w:ascii="Times New Roman" w:eastAsia="Times New Roman" w:hAnsi="Times New Roman" w:cs="Times New Roman"/>
      <w:bCs/>
      <w:kern w:val="2"/>
      <w:sz w:val="28"/>
      <w:szCs w:val="28"/>
    </w:rPr>
  </w:style>
  <w:style w:type="character" w:customStyle="1" w:styleId="CaseinfoChar">
    <w:name w:val="Case_info Char"/>
    <w:link w:val="Caseinfo"/>
    <w:rsid w:val="00FC354A"/>
    <w:rPr>
      <w:rFonts w:ascii="Times New Roman" w:eastAsia="Times New Roman" w:hAnsi="Times New Roman" w:cs="Times New Roman"/>
      <w:bCs/>
      <w:smallCaps/>
      <w:kern w:val="2"/>
      <w:sz w:val="28"/>
      <w:szCs w:val="28"/>
    </w:rPr>
  </w:style>
  <w:style w:type="character" w:customStyle="1" w:styleId="StyleCaseinfoBlackChar">
    <w:name w:val="Style Case_info + Black Char"/>
    <w:link w:val="StyleCaseinfoBlack"/>
    <w:rsid w:val="00FC354A"/>
    <w:rPr>
      <w:rFonts w:ascii="Times New Roman" w:eastAsia="Times New Roman" w:hAnsi="Times New Roman" w:cs="Times New Roman"/>
      <w:color w:val="000000"/>
      <w:kern w:val="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7A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C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7A"/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32ABD"/>
    <w:rPr>
      <w:rFonts w:ascii="Times New Roman Bold" w:eastAsia="Times New Roman" w:hAnsi="Times New Roman Bold" w:cs="Garamond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32ABD"/>
    <w:rPr>
      <w:rFonts w:ascii="Times New Roman Bold" w:eastAsia="Times New Roman" w:hAnsi="Times New Roman Bold" w:cs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32ABD"/>
    <w:rPr>
      <w:rFonts w:ascii="Times New Roman Bold" w:eastAsia="Times New Roman" w:hAnsi="Times New Roman Bold" w:cs="Garamond"/>
      <w:b/>
      <w:bCs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32ABD"/>
    <w:rPr>
      <w:rFonts w:ascii="Times New Roman Bold" w:eastAsia="Times New Roman" w:hAnsi="Times New Roman Bold" w:cs="Times New Roman"/>
      <w:b/>
      <w:i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32ABD"/>
    <w:rPr>
      <w:rFonts w:ascii="Times New Roman Bold" w:eastAsia="Times New Roman" w:hAnsi="Times New Roman Bold" w:cs="Times New Roman"/>
      <w:b/>
      <w:bCs/>
      <w:iCs/>
      <w:kern w:val="2"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732ABD"/>
    <w:rPr>
      <w:rFonts w:ascii="Times New Roman" w:eastAsia="Times New Roman" w:hAnsi="Times New Roman" w:cs="Times New Roman"/>
      <w:iCs/>
      <w:kern w:val="2"/>
    </w:rPr>
  </w:style>
  <w:style w:type="character" w:customStyle="1" w:styleId="Heading7Char">
    <w:name w:val="Heading 7 Char"/>
    <w:basedOn w:val="DefaultParagraphFont"/>
    <w:link w:val="Heading7"/>
    <w:rsid w:val="00732ABD"/>
    <w:rPr>
      <w:rFonts w:ascii="Times New Roman" w:eastAsia="Times New Roman" w:hAnsi="Times New Roman" w:cs="Times New Roman"/>
      <w:i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32ABD"/>
    <w:rPr>
      <w:rFonts w:ascii="Times New Roman" w:eastAsia="Times New Roman" w:hAnsi="Times New Roman" w:cs="Times New Roman"/>
      <w:i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32ABD"/>
    <w:rPr>
      <w:rFonts w:ascii="Times New Roman" w:eastAsia="Times New Roman" w:hAnsi="Times New Roman" w:cs="Times New Roman"/>
      <w:i/>
      <w:kern w:val="2"/>
    </w:rPr>
  </w:style>
  <w:style w:type="numbering" w:customStyle="1" w:styleId="ABRHeadings">
    <w:name w:val="ABR Headings"/>
    <w:rsid w:val="00732ABD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985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79FD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8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85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2493-57B9-486D-B1F2-B3C2891B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 Atty Gen Office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Kevin</dc:creator>
  <cp:keywords/>
  <dc:description/>
  <cp:lastModifiedBy>Morrow, Kevin</cp:lastModifiedBy>
  <cp:revision>25</cp:revision>
  <dcterms:created xsi:type="dcterms:W3CDTF">2024-06-10T18:58:00Z</dcterms:created>
  <dcterms:modified xsi:type="dcterms:W3CDTF">2025-06-03T16:02:00Z</dcterms:modified>
</cp:coreProperties>
</file>