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D9FC" w14:textId="77777777" w:rsidR="005B1ED4" w:rsidRPr="005B1ED4" w:rsidRDefault="005B1ED4" w:rsidP="005B1ED4">
      <w:pPr>
        <w:widowControl w:val="0"/>
        <w:spacing w:beforeLines="20" w:before="48" w:after="0" w:line="260" w:lineRule="exact"/>
        <w:ind w:right="360"/>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Andrew W. Gould #013234</w:t>
      </w:r>
    </w:p>
    <w:p w14:paraId="383F5850" w14:textId="77777777" w:rsidR="005B1ED4" w:rsidRPr="005B1ED4" w:rsidRDefault="005B1ED4" w:rsidP="005B1ED4">
      <w:pPr>
        <w:widowControl w:val="0"/>
        <w:spacing w:beforeLines="20" w:before="48" w:after="0" w:line="260" w:lineRule="exact"/>
        <w:ind w:right="360"/>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Emily G. Gould #036184</w:t>
      </w:r>
    </w:p>
    <w:p w14:paraId="712BBEA4"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caps/>
          <w:kern w:val="0"/>
          <w:sz w:val="28"/>
          <w:szCs w:val="28"/>
          <w14:ligatures w14:val="none"/>
        </w:rPr>
      </w:pPr>
      <w:r w:rsidRPr="005B1ED4">
        <w:rPr>
          <w:rFonts w:ascii="Book Antiqua" w:eastAsia="Calibri" w:hAnsi="Book Antiqua" w:cs="Times New Roman"/>
          <w:caps/>
          <w:kern w:val="0"/>
          <w:sz w:val="28"/>
          <w:szCs w:val="28"/>
          <w14:ligatures w14:val="none"/>
        </w:rPr>
        <w:t xml:space="preserve">holtzman vogel baran </w:t>
      </w:r>
    </w:p>
    <w:p w14:paraId="363D81A8"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caps/>
          <w:kern w:val="0"/>
          <w:sz w:val="28"/>
          <w:szCs w:val="28"/>
          <w14:ligatures w14:val="none"/>
        </w:rPr>
      </w:pPr>
      <w:r w:rsidRPr="005B1ED4">
        <w:rPr>
          <w:rFonts w:ascii="Book Antiqua" w:eastAsia="Calibri" w:hAnsi="Book Antiqua" w:cs="Times New Roman"/>
          <w:caps/>
          <w:kern w:val="0"/>
          <w:sz w:val="28"/>
          <w:szCs w:val="28"/>
          <w14:ligatures w14:val="none"/>
        </w:rPr>
        <w:t>torchinsky &amp; josefiak pllc</w:t>
      </w:r>
    </w:p>
    <w:p w14:paraId="70A3C90B"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2555 East Camelback Road, Suite 700</w:t>
      </w:r>
    </w:p>
    <w:p w14:paraId="5664A1FB"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Phoenix, Arizona 85016</w:t>
      </w:r>
    </w:p>
    <w:p w14:paraId="6DA7051B"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(602) 388-1262</w:t>
      </w:r>
    </w:p>
    <w:p w14:paraId="3B7BBE5E"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agould@holtzmanvogel.com</w:t>
      </w:r>
    </w:p>
    <w:p w14:paraId="1542E2CF"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egould@holtzmanvogel.com</w:t>
      </w:r>
    </w:p>
    <w:p w14:paraId="4203DDB1"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minuteentries@holtzmanvogel.com</w:t>
      </w:r>
    </w:p>
    <w:p w14:paraId="295C9583"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kern w:val="0"/>
          <w:sz w:val="28"/>
          <w:szCs w:val="28"/>
          <w14:ligatures w14:val="none"/>
        </w:rPr>
      </w:pPr>
    </w:p>
    <w:p w14:paraId="5FE07DA2" w14:textId="77777777" w:rsidR="005B1ED4" w:rsidRPr="005B1ED4" w:rsidRDefault="005B1ED4" w:rsidP="005B1ED4">
      <w:pPr>
        <w:widowControl w:val="0"/>
        <w:spacing w:beforeLines="20" w:before="48" w:after="0" w:line="260" w:lineRule="exact"/>
        <w:ind w:right="144"/>
        <w:rPr>
          <w:rFonts w:ascii="Book Antiqua" w:eastAsia="Calibri" w:hAnsi="Book Antiqua" w:cs="Times New Roman"/>
          <w:i/>
          <w:iCs/>
          <w:kern w:val="0"/>
          <w:sz w:val="28"/>
          <w:szCs w:val="28"/>
          <w14:ligatures w14:val="none"/>
        </w:rPr>
      </w:pPr>
      <w:r w:rsidRPr="005B1ED4">
        <w:rPr>
          <w:rFonts w:ascii="Book Antiqua" w:eastAsia="Calibri" w:hAnsi="Book Antiqua" w:cs="Times New Roman"/>
          <w:i/>
          <w:iCs/>
          <w:kern w:val="0"/>
          <w:sz w:val="28"/>
          <w:szCs w:val="28"/>
          <w14:ligatures w14:val="none"/>
        </w:rPr>
        <w:t>Attorneys for Petitioners</w:t>
      </w:r>
    </w:p>
    <w:p w14:paraId="42408EC9" w14:textId="77777777" w:rsidR="005B1ED4" w:rsidRPr="005B1ED4" w:rsidRDefault="005B1ED4" w:rsidP="005B1ED4">
      <w:pPr>
        <w:widowControl w:val="0"/>
        <w:spacing w:after="0" w:line="280" w:lineRule="exact"/>
        <w:ind w:right="144"/>
        <w:rPr>
          <w:rFonts w:ascii="Book Antiqua" w:eastAsia="Calibri" w:hAnsi="Book Antiqua" w:cs="Times New Roman"/>
          <w:kern w:val="0"/>
          <w:sz w:val="28"/>
          <w:szCs w:val="28"/>
          <w14:ligatures w14:val="none"/>
        </w:rPr>
      </w:pPr>
    </w:p>
    <w:p w14:paraId="41B2942E" w14:textId="77777777" w:rsidR="005B1ED4" w:rsidRPr="005B1ED4" w:rsidRDefault="005B1ED4" w:rsidP="005B1ED4">
      <w:pPr>
        <w:spacing w:before="240" w:after="0" w:line="480" w:lineRule="exact"/>
        <w:jc w:val="center"/>
        <w:rPr>
          <w:rFonts w:ascii="Book Antiqua" w:eastAsia="Calibri" w:hAnsi="Book Antiqua" w:cs="Times New Roman"/>
          <w:caps/>
          <w:kern w:val="0"/>
          <w:sz w:val="28"/>
          <w:szCs w:val="28"/>
          <w:lang w:eastAsia="ja-JP"/>
          <w14:ligatures w14:val="none"/>
        </w:rPr>
      </w:pPr>
      <w:r w:rsidRPr="005B1ED4">
        <w:rPr>
          <w:rFonts w:ascii="Book Antiqua" w:eastAsia="Calibri" w:hAnsi="Book Antiqua" w:cs="Times New Roman"/>
          <w:b/>
          <w:bCs/>
          <w:caps/>
          <w:kern w:val="0"/>
          <w:sz w:val="28"/>
          <w:szCs w:val="28"/>
          <w:lang w:eastAsia="ja-JP"/>
          <w14:ligatures w14:val="none"/>
        </w:rPr>
        <w:t>SUPREME COURT of arizona</w:t>
      </w:r>
    </w:p>
    <w:tbl>
      <w:tblPr>
        <w:tblStyle w:val="TableGrid"/>
        <w:tblW w:w="0" w:type="auto"/>
        <w:tblLook w:val="04A0" w:firstRow="1" w:lastRow="0" w:firstColumn="1" w:lastColumn="0" w:noHBand="0" w:noVBand="1"/>
      </w:tblPr>
      <w:tblGrid>
        <w:gridCol w:w="4891"/>
        <w:gridCol w:w="4469"/>
      </w:tblGrid>
      <w:tr w:rsidR="005B1ED4" w:rsidRPr="005B1ED4" w14:paraId="7D8A6BD9" w14:textId="77777777" w:rsidTr="009A7491">
        <w:tc>
          <w:tcPr>
            <w:tcW w:w="4931" w:type="dxa"/>
            <w:tcBorders>
              <w:top w:val="nil"/>
              <w:left w:val="nil"/>
              <w:bottom w:val="single" w:sz="4" w:space="0" w:color="auto"/>
            </w:tcBorders>
          </w:tcPr>
          <w:p w14:paraId="7AEB7669" w14:textId="77777777" w:rsidR="005B1ED4" w:rsidRPr="005B1ED4" w:rsidRDefault="005B1ED4" w:rsidP="005B1ED4">
            <w:pPr>
              <w:widowControl w:val="0"/>
              <w:spacing w:before="120"/>
              <w:ind w:right="1339"/>
              <w:jc w:val="both"/>
              <w:rPr>
                <w:rFonts w:ascii="Book Antiqua" w:eastAsia="Calibri" w:hAnsi="Book Antiqua" w:cs="Times New Roman"/>
                <w:sz w:val="28"/>
                <w:szCs w:val="28"/>
              </w:rPr>
            </w:pPr>
            <w:r w:rsidRPr="005B1ED4">
              <w:rPr>
                <w:rFonts w:ascii="Book Antiqua" w:eastAsia="Calibri" w:hAnsi="Book Antiqua" w:cs="Times New Roman"/>
                <w:sz w:val="28"/>
                <w:szCs w:val="28"/>
              </w:rPr>
              <w:t>IN THE MATTER OF PETITION TO AME</w:t>
            </w:r>
            <w:sdt>
              <w:sdtPr>
                <w:rPr>
                  <w:rFonts w:ascii="Book Antiqua" w:eastAsia="Calibri" w:hAnsi="Book Antiqua" w:cs="Times New Roman"/>
                  <w:sz w:val="28"/>
                </w:rPr>
                <w:alias w:val="LTC_0"/>
                <w:tag w:val="LN-Hyperlink0"/>
                <w:id w:val="1"/>
              </w:sdtPr>
              <w:sdtContent>
                <w:r w:rsidRPr="005B1ED4">
                  <w:rPr>
                    <w:rFonts w:ascii="Book Antiqua" w:eastAsia="Calibri" w:hAnsi="Book Antiqua" w:cs="Times New Roman"/>
                    <w:sz w:val="28"/>
                    <w:szCs w:val="28"/>
                  </w:rPr>
                  <w:t>ND SUPREME COURT RULE 32(A)</w:t>
                </w:r>
              </w:sdtContent>
            </w:sdt>
            <w:r w:rsidRPr="005B1ED4">
              <w:rPr>
                <w:rFonts w:ascii="Book Antiqua" w:eastAsia="Calibri" w:hAnsi="Book Antiqua" w:cs="Times New Roman"/>
                <w:sz w:val="28"/>
                <w:szCs w:val="28"/>
              </w:rPr>
              <w:t>—(M)</w:t>
            </w:r>
          </w:p>
        </w:tc>
        <w:tc>
          <w:tcPr>
            <w:tcW w:w="4514" w:type="dxa"/>
            <w:tcBorders>
              <w:top w:val="nil"/>
              <w:bottom w:val="nil"/>
              <w:right w:val="nil"/>
            </w:tcBorders>
            <w:shd w:val="clear" w:color="auto" w:fill="auto"/>
          </w:tcPr>
          <w:p w14:paraId="362A81D9" w14:textId="77777777" w:rsidR="005B1ED4" w:rsidRPr="005B1ED4" w:rsidRDefault="005B1ED4" w:rsidP="005B1ED4">
            <w:pPr>
              <w:spacing w:before="120" w:line="240" w:lineRule="exact"/>
              <w:rPr>
                <w:rFonts w:ascii="Book Antiqua" w:eastAsia="Calibri" w:hAnsi="Book Antiqua" w:cs="Times New Roman"/>
                <w:b/>
                <w:bCs/>
                <w:sz w:val="28"/>
                <w:szCs w:val="28"/>
              </w:rPr>
            </w:pPr>
            <w:r w:rsidRPr="005B1ED4">
              <w:rPr>
                <w:rFonts w:ascii="Book Antiqua" w:eastAsia="Calibri" w:hAnsi="Book Antiqua" w:cs="Times New Roman"/>
                <w:b/>
                <w:bCs/>
                <w:sz w:val="28"/>
                <w:szCs w:val="28"/>
              </w:rPr>
              <w:t>Case No. __________</w:t>
            </w:r>
          </w:p>
          <w:p w14:paraId="17C4244C" w14:textId="77777777" w:rsidR="005B1ED4" w:rsidRPr="005B1ED4" w:rsidRDefault="005B1ED4" w:rsidP="005B1ED4">
            <w:pPr>
              <w:spacing w:before="120" w:line="240" w:lineRule="exact"/>
              <w:rPr>
                <w:rFonts w:ascii="Book Antiqua" w:eastAsia="Calibri" w:hAnsi="Book Antiqua" w:cs="Times New Roman"/>
                <w:b/>
                <w:bCs/>
                <w:sz w:val="28"/>
                <w:szCs w:val="28"/>
              </w:rPr>
            </w:pPr>
          </w:p>
          <w:p w14:paraId="5AB12F81" w14:textId="36950986" w:rsidR="005B1ED4" w:rsidRPr="005B1ED4" w:rsidRDefault="005B1ED4" w:rsidP="005B1ED4">
            <w:pPr>
              <w:spacing w:before="120" w:line="240" w:lineRule="exact"/>
              <w:jc w:val="center"/>
              <w:rPr>
                <w:rFonts w:ascii="Book Antiqua" w:eastAsia="Calibri" w:hAnsi="Book Antiqua" w:cs="Times New Roman"/>
                <w:b/>
                <w:bCs/>
                <w:sz w:val="28"/>
                <w:szCs w:val="28"/>
              </w:rPr>
            </w:pPr>
            <w:r w:rsidRPr="005B1ED4">
              <w:rPr>
                <w:rFonts w:ascii="Book Antiqua" w:eastAsia="Calibri" w:hAnsi="Book Antiqua" w:cs="Times New Roman"/>
                <w:b/>
                <w:bCs/>
                <w:sz w:val="28"/>
                <w:szCs w:val="28"/>
              </w:rPr>
              <w:t>PETITION</w:t>
            </w:r>
            <w:r>
              <w:rPr>
                <w:rFonts w:ascii="Book Antiqua" w:eastAsia="Calibri" w:hAnsi="Book Antiqua" w:cs="Times New Roman"/>
                <w:b/>
                <w:bCs/>
                <w:sz w:val="28"/>
                <w:szCs w:val="28"/>
              </w:rPr>
              <w:t xml:space="preserve">ERS’ REPLY TO COMMENTS RE: PETITION </w:t>
            </w:r>
            <w:r w:rsidRPr="005B1ED4">
              <w:rPr>
                <w:rFonts w:ascii="Book Antiqua" w:eastAsia="Calibri" w:hAnsi="Book Antiqua" w:cs="Times New Roman"/>
                <w:b/>
                <w:bCs/>
                <w:sz w:val="28"/>
                <w:szCs w:val="28"/>
              </w:rPr>
              <w:t xml:space="preserve">TO AMEND ARIZ. SUP. CT. </w:t>
            </w:r>
            <w:sdt>
              <w:sdtPr>
                <w:rPr>
                  <w:rFonts w:ascii="Book Antiqua" w:eastAsia="Calibri" w:hAnsi="Book Antiqua" w:cs="Times New Roman"/>
                  <w:sz w:val="28"/>
                </w:rPr>
                <w:alias w:val="LTC_1"/>
                <w:tag w:val="LN-Hyperlink1"/>
                <w:id w:val="2"/>
              </w:sdtPr>
              <w:sdtContent>
                <w:r w:rsidRPr="005B1ED4">
                  <w:rPr>
                    <w:rFonts w:ascii="Book Antiqua" w:eastAsia="Calibri" w:hAnsi="Book Antiqua" w:cs="Times New Roman"/>
                    <w:b/>
                    <w:bCs/>
                    <w:sz w:val="28"/>
                    <w:szCs w:val="28"/>
                  </w:rPr>
                  <w:t>R. 32(</w:t>
                </w:r>
                <w:proofErr w:type="gramStart"/>
                <w:r w:rsidRPr="005B1ED4">
                  <w:rPr>
                    <w:rFonts w:ascii="Book Antiqua" w:eastAsia="Calibri" w:hAnsi="Book Antiqua" w:cs="Times New Roman"/>
                    <w:b/>
                    <w:bCs/>
                    <w:sz w:val="28"/>
                    <w:szCs w:val="28"/>
                  </w:rPr>
                  <w:t>A)—</w:t>
                </w:r>
                <w:proofErr w:type="gramEnd"/>
                <w:r w:rsidRPr="005B1ED4">
                  <w:rPr>
                    <w:rFonts w:ascii="Book Antiqua" w:eastAsia="Calibri" w:hAnsi="Book Antiqua" w:cs="Times New Roman"/>
                    <w:b/>
                    <w:bCs/>
                    <w:sz w:val="28"/>
                    <w:szCs w:val="28"/>
                  </w:rPr>
                  <w:t>(M)</w:t>
                </w:r>
              </w:sdtContent>
            </w:sdt>
          </w:p>
          <w:p w14:paraId="5A785508" w14:textId="77777777" w:rsidR="005B1ED4" w:rsidRPr="005B1ED4" w:rsidRDefault="005B1ED4" w:rsidP="005B1ED4">
            <w:pPr>
              <w:spacing w:before="120" w:line="240" w:lineRule="exact"/>
              <w:rPr>
                <w:rFonts w:ascii="Book Antiqua" w:eastAsia="Calibri" w:hAnsi="Book Antiqua" w:cs="Times New Roman"/>
                <w:b/>
                <w:bCs/>
                <w:sz w:val="28"/>
                <w:szCs w:val="28"/>
              </w:rPr>
            </w:pPr>
          </w:p>
          <w:p w14:paraId="556306B2" w14:textId="77777777" w:rsidR="005B1ED4" w:rsidRPr="005B1ED4" w:rsidRDefault="005B1ED4" w:rsidP="005B1ED4">
            <w:pPr>
              <w:spacing w:before="120" w:line="240" w:lineRule="exact"/>
              <w:rPr>
                <w:rFonts w:ascii="Book Antiqua" w:eastAsia="Calibri" w:hAnsi="Book Antiqua" w:cs="Times New Roman"/>
                <w:b/>
                <w:bCs/>
                <w:sz w:val="28"/>
                <w:szCs w:val="28"/>
              </w:rPr>
            </w:pPr>
          </w:p>
          <w:p w14:paraId="5304BEFE" w14:textId="77777777" w:rsidR="005B1ED4" w:rsidRPr="005B1ED4" w:rsidRDefault="005B1ED4" w:rsidP="005B1ED4">
            <w:pPr>
              <w:spacing w:before="120" w:line="240" w:lineRule="exact"/>
              <w:rPr>
                <w:rFonts w:ascii="Book Antiqua" w:eastAsia="Calibri" w:hAnsi="Book Antiqua" w:cs="Times New Roman"/>
                <w:b/>
                <w:bCs/>
                <w:sz w:val="28"/>
                <w:szCs w:val="28"/>
              </w:rPr>
            </w:pPr>
          </w:p>
          <w:p w14:paraId="781FF86D" w14:textId="77777777" w:rsidR="005B1ED4" w:rsidRPr="005B1ED4" w:rsidRDefault="005B1ED4" w:rsidP="005B1ED4">
            <w:pPr>
              <w:spacing w:before="120" w:line="240" w:lineRule="exact"/>
              <w:rPr>
                <w:rFonts w:ascii="Book Antiqua" w:eastAsia="Calibri" w:hAnsi="Book Antiqua" w:cs="Times New Roman"/>
                <w:b/>
                <w:bCs/>
                <w:sz w:val="28"/>
                <w:szCs w:val="28"/>
              </w:rPr>
            </w:pPr>
          </w:p>
        </w:tc>
      </w:tr>
    </w:tbl>
    <w:p w14:paraId="42586695" w14:textId="77777777" w:rsidR="005B1ED4" w:rsidRPr="005B1ED4" w:rsidRDefault="005B1ED4" w:rsidP="005B1ED4">
      <w:pPr>
        <w:spacing w:after="0" w:line="480" w:lineRule="exact"/>
        <w:ind w:firstLine="540"/>
        <w:jc w:val="both"/>
        <w:rPr>
          <w:rFonts w:ascii="Book Antiqua" w:eastAsia="Calibri" w:hAnsi="Book Antiqua" w:cs="Times New Roman"/>
          <w:kern w:val="0"/>
          <w:sz w:val="28"/>
          <w14:ligatures w14:val="none"/>
        </w:rPr>
      </w:pPr>
    </w:p>
    <w:p w14:paraId="3581F4DC" w14:textId="2BE2CD82" w:rsidR="006A422B" w:rsidRDefault="006A422B" w:rsidP="0022010E">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Petitioners, President Warren Petersen and Speaker Ben Toma, hereby respond to the comments made in opposition to their request that this Court eliminate the requirement that attorneys join, and pay dues to, the State Bar Association of Arizona (the “Arizona Bar”) as set out in Ariz. Sup. Ct. R. 32(</w:t>
      </w:r>
      <w:proofErr w:type="gramStart"/>
      <w:r w:rsidRPr="005B1ED4">
        <w:rPr>
          <w:rFonts w:ascii="Book Antiqua" w:hAnsi="Book Antiqua" w:cs="Times New Roman"/>
          <w:sz w:val="28"/>
          <w:szCs w:val="28"/>
        </w:rPr>
        <w:t>a)—</w:t>
      </w:r>
      <w:proofErr w:type="gramEnd"/>
      <w:r w:rsidRPr="005B1ED4">
        <w:rPr>
          <w:rFonts w:ascii="Book Antiqua" w:hAnsi="Book Antiqua" w:cs="Times New Roman"/>
          <w:sz w:val="28"/>
          <w:szCs w:val="28"/>
        </w:rPr>
        <w:t>(m).</w:t>
      </w:r>
    </w:p>
    <w:p w14:paraId="71091E86" w14:textId="77777777" w:rsidR="005B1ED4" w:rsidRDefault="005B1ED4" w:rsidP="0022010E">
      <w:pPr>
        <w:spacing w:after="0" w:line="480" w:lineRule="auto"/>
        <w:ind w:firstLine="720"/>
        <w:jc w:val="both"/>
        <w:rPr>
          <w:rFonts w:ascii="Book Antiqua" w:hAnsi="Book Antiqua" w:cs="Times New Roman"/>
          <w:sz w:val="28"/>
          <w:szCs w:val="28"/>
        </w:rPr>
      </w:pPr>
    </w:p>
    <w:p w14:paraId="39D3205F" w14:textId="77777777" w:rsidR="005B1ED4" w:rsidRPr="005B1ED4" w:rsidRDefault="005B1ED4" w:rsidP="0022010E">
      <w:pPr>
        <w:spacing w:after="0" w:line="480" w:lineRule="auto"/>
        <w:ind w:firstLine="720"/>
        <w:jc w:val="both"/>
        <w:rPr>
          <w:rFonts w:ascii="Book Antiqua" w:hAnsi="Book Antiqua" w:cs="Times New Roman"/>
          <w:sz w:val="28"/>
          <w:szCs w:val="28"/>
        </w:rPr>
      </w:pPr>
    </w:p>
    <w:p w14:paraId="5EFD0573" w14:textId="77777777" w:rsidR="006A422B" w:rsidRPr="005B1ED4" w:rsidRDefault="006A422B" w:rsidP="006A422B">
      <w:pPr>
        <w:spacing w:after="0" w:line="480" w:lineRule="auto"/>
        <w:jc w:val="center"/>
        <w:rPr>
          <w:rFonts w:ascii="Book Antiqua" w:hAnsi="Book Antiqua" w:cs="Times New Roman"/>
          <w:b/>
          <w:bCs/>
          <w:smallCaps/>
          <w:sz w:val="28"/>
          <w:szCs w:val="28"/>
        </w:rPr>
      </w:pPr>
      <w:r w:rsidRPr="005B1ED4">
        <w:rPr>
          <w:rFonts w:ascii="Book Antiqua" w:hAnsi="Book Antiqua" w:cs="Times New Roman"/>
          <w:b/>
          <w:bCs/>
          <w:smallCaps/>
          <w:sz w:val="28"/>
          <w:szCs w:val="28"/>
        </w:rPr>
        <w:lastRenderedPageBreak/>
        <w:t>Introduction</w:t>
      </w:r>
    </w:p>
    <w:p w14:paraId="08F165AE" w14:textId="311CB614" w:rsidR="00F04AB1" w:rsidRPr="005B1ED4" w:rsidRDefault="001B6217" w:rsidP="0022010E">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The Arizona</w:t>
      </w:r>
      <w:r w:rsidR="00425B1F" w:rsidRPr="005B1ED4">
        <w:rPr>
          <w:rFonts w:ascii="Book Antiqua" w:hAnsi="Book Antiqua" w:cs="Times New Roman"/>
          <w:sz w:val="28"/>
          <w:szCs w:val="28"/>
        </w:rPr>
        <w:t xml:space="preserve"> </w:t>
      </w:r>
      <w:r w:rsidRPr="005B1ED4">
        <w:rPr>
          <w:rFonts w:ascii="Book Antiqua" w:hAnsi="Book Antiqua" w:cs="Times New Roman"/>
          <w:sz w:val="28"/>
          <w:szCs w:val="28"/>
        </w:rPr>
        <w:t>Bar compels</w:t>
      </w:r>
      <w:r w:rsidR="00754018" w:rsidRPr="005B1ED4">
        <w:rPr>
          <w:rFonts w:ascii="Book Antiqua" w:hAnsi="Book Antiqua" w:cs="Times New Roman"/>
          <w:sz w:val="28"/>
          <w:szCs w:val="28"/>
        </w:rPr>
        <w:t xml:space="preserve"> lawyers to</w:t>
      </w:r>
      <w:r w:rsidRPr="005B1ED4">
        <w:rPr>
          <w:rFonts w:ascii="Book Antiqua" w:hAnsi="Book Antiqua" w:cs="Times New Roman"/>
          <w:sz w:val="28"/>
          <w:szCs w:val="28"/>
        </w:rPr>
        <w:t xml:space="preserve"> </w:t>
      </w:r>
      <w:r w:rsidR="008F057A" w:rsidRPr="005B1ED4">
        <w:rPr>
          <w:rFonts w:ascii="Book Antiqua" w:hAnsi="Book Antiqua" w:cs="Times New Roman"/>
          <w:sz w:val="28"/>
          <w:szCs w:val="28"/>
        </w:rPr>
        <w:t>pay dues that</w:t>
      </w:r>
      <w:r w:rsidR="00F96A81" w:rsidRPr="005B1ED4">
        <w:rPr>
          <w:rFonts w:ascii="Book Antiqua" w:hAnsi="Book Antiqua" w:cs="Times New Roman"/>
          <w:sz w:val="28"/>
          <w:szCs w:val="28"/>
        </w:rPr>
        <w:t>, at times,</w:t>
      </w:r>
      <w:r w:rsidR="008F057A" w:rsidRPr="005B1ED4">
        <w:rPr>
          <w:rFonts w:ascii="Book Antiqua" w:hAnsi="Book Antiqua" w:cs="Times New Roman"/>
          <w:sz w:val="28"/>
          <w:szCs w:val="28"/>
        </w:rPr>
        <w:t xml:space="preserve"> </w:t>
      </w:r>
      <w:r w:rsidRPr="005B1ED4">
        <w:rPr>
          <w:rFonts w:ascii="Book Antiqua" w:hAnsi="Book Antiqua" w:cs="Times New Roman"/>
          <w:sz w:val="28"/>
          <w:szCs w:val="28"/>
        </w:rPr>
        <w:t>support</w:t>
      </w:r>
      <w:r w:rsidR="00CA63E8" w:rsidRPr="005B1ED4">
        <w:rPr>
          <w:rFonts w:ascii="Book Antiqua" w:hAnsi="Book Antiqua" w:cs="Times New Roman"/>
          <w:sz w:val="28"/>
          <w:szCs w:val="28"/>
        </w:rPr>
        <w:t xml:space="preserve"> </w:t>
      </w:r>
      <w:r w:rsidRPr="005B1ED4">
        <w:rPr>
          <w:rFonts w:ascii="Book Antiqua" w:hAnsi="Book Antiqua" w:cs="Times New Roman"/>
          <w:sz w:val="28"/>
          <w:szCs w:val="28"/>
        </w:rPr>
        <w:t>political and ideological</w:t>
      </w:r>
      <w:r w:rsidR="000F6010" w:rsidRPr="005B1ED4">
        <w:rPr>
          <w:rFonts w:ascii="Book Antiqua" w:hAnsi="Book Antiqua" w:cs="Times New Roman"/>
          <w:sz w:val="28"/>
          <w:szCs w:val="28"/>
        </w:rPr>
        <w:t xml:space="preserve"> messages</w:t>
      </w:r>
      <w:r w:rsidRPr="005B1ED4">
        <w:rPr>
          <w:rFonts w:ascii="Book Antiqua" w:hAnsi="Book Antiqua" w:cs="Times New Roman"/>
          <w:sz w:val="28"/>
          <w:szCs w:val="28"/>
        </w:rPr>
        <w:t>.</w:t>
      </w:r>
      <w:r w:rsidR="00297A97" w:rsidRPr="005B1ED4">
        <w:rPr>
          <w:rFonts w:ascii="Book Antiqua" w:hAnsi="Book Antiqua" w:cs="Times New Roman"/>
          <w:sz w:val="28"/>
          <w:szCs w:val="28"/>
        </w:rPr>
        <w:t xml:space="preserve"> </w:t>
      </w:r>
      <w:r w:rsidR="00CA63E8" w:rsidRPr="005B1ED4">
        <w:rPr>
          <w:rFonts w:ascii="Book Antiqua" w:hAnsi="Book Antiqua" w:cs="Times New Roman"/>
          <w:sz w:val="28"/>
          <w:szCs w:val="28"/>
        </w:rPr>
        <w:t>But t</w:t>
      </w:r>
      <w:r w:rsidR="00297A97" w:rsidRPr="005B1ED4">
        <w:rPr>
          <w:rFonts w:ascii="Book Antiqua" w:hAnsi="Book Antiqua" w:cs="Times New Roman"/>
          <w:sz w:val="28"/>
          <w:szCs w:val="28"/>
        </w:rPr>
        <w:t xml:space="preserve">he Supreme Court has “held time and again that freedom of speech includes both the right to speak freely and the right to refrain from speaking at all.” </w:t>
      </w:r>
      <w:r w:rsidR="00297A97" w:rsidRPr="005B1ED4">
        <w:rPr>
          <w:rFonts w:ascii="Book Antiqua" w:hAnsi="Book Antiqua" w:cs="Times New Roman"/>
          <w:i/>
          <w:iCs/>
          <w:sz w:val="28"/>
          <w:szCs w:val="28"/>
        </w:rPr>
        <w:t>Janus v. AFSCME</w:t>
      </w:r>
      <w:r w:rsidR="00297A97" w:rsidRPr="005B1ED4">
        <w:rPr>
          <w:rFonts w:ascii="Book Antiqua" w:hAnsi="Book Antiqua" w:cs="Times New Roman"/>
          <w:sz w:val="28"/>
          <w:szCs w:val="28"/>
        </w:rPr>
        <w:t>, 585 U.S. 878, 892 (2018).</w:t>
      </w:r>
      <w:r w:rsidRPr="005B1ED4">
        <w:rPr>
          <w:rFonts w:ascii="Book Antiqua" w:hAnsi="Book Antiqua" w:cs="Times New Roman"/>
          <w:sz w:val="28"/>
          <w:szCs w:val="28"/>
        </w:rPr>
        <w:t xml:space="preserve"> </w:t>
      </w:r>
      <w:r w:rsidR="005F1855" w:rsidRPr="005B1ED4">
        <w:rPr>
          <w:rFonts w:ascii="Book Antiqua" w:hAnsi="Book Antiqua" w:cs="Times New Roman"/>
          <w:sz w:val="28"/>
          <w:szCs w:val="28"/>
        </w:rPr>
        <w:t>L</w:t>
      </w:r>
      <w:r w:rsidR="00F17505" w:rsidRPr="005B1ED4">
        <w:rPr>
          <w:rFonts w:ascii="Book Antiqua" w:hAnsi="Book Antiqua" w:cs="Times New Roman"/>
          <w:sz w:val="28"/>
          <w:szCs w:val="28"/>
        </w:rPr>
        <w:t>awyers</w:t>
      </w:r>
      <w:r w:rsidRPr="005B1ED4">
        <w:rPr>
          <w:rFonts w:ascii="Book Antiqua" w:hAnsi="Book Antiqua" w:cs="Times New Roman"/>
          <w:sz w:val="28"/>
          <w:szCs w:val="28"/>
        </w:rPr>
        <w:t xml:space="preserve"> </w:t>
      </w:r>
      <w:r w:rsidR="00864F3A" w:rsidRPr="005B1ED4">
        <w:rPr>
          <w:rFonts w:ascii="Book Antiqua" w:hAnsi="Book Antiqua" w:cs="Times New Roman"/>
          <w:sz w:val="28"/>
          <w:szCs w:val="28"/>
        </w:rPr>
        <w:t xml:space="preserve">who </w:t>
      </w:r>
      <w:r w:rsidRPr="005B1ED4">
        <w:rPr>
          <w:rFonts w:ascii="Book Antiqua" w:hAnsi="Book Antiqua" w:cs="Times New Roman"/>
          <w:sz w:val="28"/>
          <w:szCs w:val="28"/>
        </w:rPr>
        <w:t xml:space="preserve">object to </w:t>
      </w:r>
      <w:r w:rsidR="008F057A" w:rsidRPr="005B1ED4">
        <w:rPr>
          <w:rFonts w:ascii="Book Antiqua" w:hAnsi="Book Antiqua" w:cs="Times New Roman"/>
          <w:sz w:val="28"/>
          <w:szCs w:val="28"/>
        </w:rPr>
        <w:t xml:space="preserve">some of </w:t>
      </w:r>
      <w:r w:rsidR="006F4373" w:rsidRPr="005B1ED4">
        <w:rPr>
          <w:rFonts w:ascii="Book Antiqua" w:hAnsi="Book Antiqua" w:cs="Times New Roman"/>
          <w:sz w:val="28"/>
          <w:szCs w:val="28"/>
        </w:rPr>
        <w:t>the Bar’s</w:t>
      </w:r>
      <w:r w:rsidR="00906490" w:rsidRPr="005B1ED4">
        <w:rPr>
          <w:rFonts w:ascii="Book Antiqua" w:hAnsi="Book Antiqua" w:cs="Times New Roman"/>
          <w:sz w:val="28"/>
          <w:szCs w:val="28"/>
        </w:rPr>
        <w:t xml:space="preserve"> </w:t>
      </w:r>
      <w:r w:rsidRPr="005B1ED4">
        <w:rPr>
          <w:rFonts w:ascii="Book Antiqua" w:hAnsi="Book Antiqua" w:cs="Times New Roman"/>
          <w:sz w:val="28"/>
          <w:szCs w:val="28"/>
        </w:rPr>
        <w:t>message</w:t>
      </w:r>
      <w:r w:rsidR="00864F3A" w:rsidRPr="005B1ED4">
        <w:rPr>
          <w:rFonts w:ascii="Book Antiqua" w:hAnsi="Book Antiqua" w:cs="Times New Roman"/>
          <w:sz w:val="28"/>
          <w:szCs w:val="28"/>
        </w:rPr>
        <w:t>s</w:t>
      </w:r>
      <w:r w:rsidRPr="005B1ED4">
        <w:rPr>
          <w:rFonts w:ascii="Book Antiqua" w:hAnsi="Book Antiqua" w:cs="Times New Roman"/>
          <w:sz w:val="28"/>
          <w:szCs w:val="28"/>
        </w:rPr>
        <w:t xml:space="preserve"> </w:t>
      </w:r>
      <w:r w:rsidR="004C34DA" w:rsidRPr="005B1ED4">
        <w:rPr>
          <w:rFonts w:ascii="Book Antiqua" w:hAnsi="Book Antiqua" w:cs="Times New Roman"/>
          <w:sz w:val="28"/>
          <w:szCs w:val="28"/>
        </w:rPr>
        <w:t xml:space="preserve">therefore </w:t>
      </w:r>
      <w:r w:rsidR="00F17505" w:rsidRPr="005B1ED4">
        <w:rPr>
          <w:rFonts w:ascii="Book Antiqua" w:hAnsi="Book Antiqua" w:cs="Times New Roman"/>
          <w:sz w:val="28"/>
          <w:szCs w:val="28"/>
        </w:rPr>
        <w:t>have</w:t>
      </w:r>
      <w:r w:rsidR="00864F3A" w:rsidRPr="005B1ED4">
        <w:rPr>
          <w:rFonts w:ascii="Book Antiqua" w:hAnsi="Book Antiqua" w:cs="Times New Roman"/>
          <w:sz w:val="28"/>
          <w:szCs w:val="28"/>
        </w:rPr>
        <w:t xml:space="preserve"> </w:t>
      </w:r>
      <w:r w:rsidR="003F6A64" w:rsidRPr="005B1ED4">
        <w:rPr>
          <w:rFonts w:ascii="Book Antiqua" w:hAnsi="Book Antiqua" w:cs="Times New Roman"/>
          <w:sz w:val="28"/>
          <w:szCs w:val="28"/>
        </w:rPr>
        <w:t>a</w:t>
      </w:r>
      <w:r w:rsidR="00E3652D" w:rsidRPr="005B1ED4">
        <w:rPr>
          <w:rFonts w:ascii="Book Antiqua" w:hAnsi="Book Antiqua" w:cs="Times New Roman"/>
          <w:sz w:val="28"/>
          <w:szCs w:val="28"/>
        </w:rPr>
        <w:t>n absolute</w:t>
      </w:r>
      <w:r w:rsidR="008C413E" w:rsidRPr="005B1ED4">
        <w:rPr>
          <w:rFonts w:ascii="Book Antiqua" w:hAnsi="Book Antiqua" w:cs="Times New Roman"/>
          <w:sz w:val="28"/>
          <w:szCs w:val="28"/>
        </w:rPr>
        <w:t xml:space="preserve"> </w:t>
      </w:r>
      <w:r w:rsidRPr="005B1ED4">
        <w:rPr>
          <w:rFonts w:ascii="Book Antiqua" w:hAnsi="Book Antiqua" w:cs="Times New Roman"/>
          <w:sz w:val="28"/>
          <w:szCs w:val="28"/>
        </w:rPr>
        <w:t xml:space="preserve">right to </w:t>
      </w:r>
      <w:r w:rsidR="00FA7964" w:rsidRPr="005B1ED4">
        <w:rPr>
          <w:rFonts w:ascii="Book Antiqua" w:hAnsi="Book Antiqua" w:cs="Times New Roman"/>
          <w:sz w:val="28"/>
          <w:szCs w:val="28"/>
        </w:rPr>
        <w:t xml:space="preserve">refrain from </w:t>
      </w:r>
      <w:r w:rsidR="00017D61" w:rsidRPr="005B1ED4">
        <w:rPr>
          <w:rFonts w:ascii="Book Antiqua" w:hAnsi="Book Antiqua" w:cs="Times New Roman"/>
          <w:sz w:val="28"/>
          <w:szCs w:val="28"/>
        </w:rPr>
        <w:t xml:space="preserve">funding </w:t>
      </w:r>
      <w:r w:rsidR="00E3652D" w:rsidRPr="005B1ED4">
        <w:rPr>
          <w:rFonts w:ascii="Book Antiqua" w:hAnsi="Book Antiqua" w:cs="Times New Roman"/>
          <w:sz w:val="28"/>
          <w:szCs w:val="28"/>
        </w:rPr>
        <w:t>that</w:t>
      </w:r>
      <w:r w:rsidR="00017D61" w:rsidRPr="005B1ED4">
        <w:rPr>
          <w:rFonts w:ascii="Book Antiqua" w:hAnsi="Book Antiqua" w:cs="Times New Roman"/>
          <w:sz w:val="28"/>
          <w:szCs w:val="28"/>
        </w:rPr>
        <w:t xml:space="preserve"> </w:t>
      </w:r>
      <w:r w:rsidR="00FA7964" w:rsidRPr="005B1ED4">
        <w:rPr>
          <w:rFonts w:ascii="Book Antiqua" w:hAnsi="Book Antiqua" w:cs="Times New Roman"/>
          <w:sz w:val="28"/>
          <w:szCs w:val="28"/>
        </w:rPr>
        <w:t xml:space="preserve">speech and to </w:t>
      </w:r>
      <w:r w:rsidRPr="005B1ED4">
        <w:rPr>
          <w:rFonts w:ascii="Book Antiqua" w:hAnsi="Book Antiqua" w:cs="Times New Roman"/>
          <w:sz w:val="28"/>
          <w:szCs w:val="28"/>
        </w:rPr>
        <w:t>“eschew association for expressive purposes</w:t>
      </w:r>
      <w:r w:rsidR="00F17505" w:rsidRPr="005B1ED4">
        <w:rPr>
          <w:rFonts w:ascii="Book Antiqua" w:hAnsi="Book Antiqua" w:cs="Times New Roman"/>
          <w:sz w:val="28"/>
          <w:szCs w:val="28"/>
        </w:rPr>
        <w:t>,</w:t>
      </w:r>
      <w:r w:rsidR="006C366A" w:rsidRPr="005B1ED4">
        <w:rPr>
          <w:rFonts w:ascii="Book Antiqua" w:hAnsi="Book Antiqua" w:cs="Times New Roman"/>
          <w:sz w:val="28"/>
          <w:szCs w:val="28"/>
        </w:rPr>
        <w:t>”</w:t>
      </w:r>
      <w:r w:rsidR="00F17505" w:rsidRPr="005B1ED4">
        <w:rPr>
          <w:rFonts w:ascii="Book Antiqua" w:hAnsi="Book Antiqua" w:cs="Times New Roman"/>
          <w:sz w:val="28"/>
          <w:szCs w:val="28"/>
        </w:rPr>
        <w:t xml:space="preserve"> and </w:t>
      </w:r>
      <w:r w:rsidR="00017D61" w:rsidRPr="005B1ED4">
        <w:rPr>
          <w:rFonts w:ascii="Book Antiqua" w:hAnsi="Book Antiqua" w:cs="Times New Roman"/>
          <w:sz w:val="28"/>
          <w:szCs w:val="28"/>
        </w:rPr>
        <w:t>lawyers</w:t>
      </w:r>
      <w:r w:rsidR="00F17505" w:rsidRPr="005B1ED4">
        <w:rPr>
          <w:rFonts w:ascii="Book Antiqua" w:hAnsi="Book Antiqua" w:cs="Times New Roman"/>
          <w:sz w:val="28"/>
          <w:szCs w:val="28"/>
        </w:rPr>
        <w:t xml:space="preserve"> must “clearly and affirmatively consent </w:t>
      </w:r>
      <w:r w:rsidR="00F17505" w:rsidRPr="005B1ED4">
        <w:rPr>
          <w:rFonts w:ascii="Book Antiqua" w:hAnsi="Book Antiqua" w:cs="Times New Roman"/>
          <w:i/>
          <w:iCs/>
          <w:sz w:val="28"/>
          <w:szCs w:val="28"/>
        </w:rPr>
        <w:t>before</w:t>
      </w:r>
      <w:r w:rsidR="00F17505" w:rsidRPr="005B1ED4">
        <w:rPr>
          <w:rFonts w:ascii="Book Antiqua" w:hAnsi="Book Antiqua" w:cs="Times New Roman"/>
          <w:sz w:val="28"/>
          <w:szCs w:val="28"/>
        </w:rPr>
        <w:t xml:space="preserve"> any money is taken from them.” </w:t>
      </w:r>
      <w:r w:rsidR="00297A97" w:rsidRPr="005B1ED4">
        <w:rPr>
          <w:rFonts w:ascii="Book Antiqua" w:hAnsi="Book Antiqua" w:cs="Times New Roman"/>
          <w:i/>
          <w:iCs/>
          <w:sz w:val="28"/>
          <w:szCs w:val="28"/>
        </w:rPr>
        <w:t>Id</w:t>
      </w:r>
      <w:r w:rsidRPr="005B1ED4">
        <w:rPr>
          <w:rFonts w:ascii="Book Antiqua" w:hAnsi="Book Antiqua" w:cs="Times New Roman"/>
          <w:sz w:val="28"/>
          <w:szCs w:val="28"/>
        </w:rPr>
        <w:t xml:space="preserve">. </w:t>
      </w:r>
      <w:r w:rsidR="00C93BBF" w:rsidRPr="005B1ED4">
        <w:rPr>
          <w:rFonts w:ascii="Book Antiqua" w:hAnsi="Book Antiqua" w:cs="Times New Roman"/>
          <w:sz w:val="28"/>
          <w:szCs w:val="28"/>
        </w:rPr>
        <w:t xml:space="preserve">at </w:t>
      </w:r>
      <w:r w:rsidR="00F17505" w:rsidRPr="005B1ED4">
        <w:rPr>
          <w:rFonts w:ascii="Book Antiqua" w:hAnsi="Book Antiqua" w:cs="Times New Roman"/>
          <w:sz w:val="28"/>
          <w:szCs w:val="28"/>
        </w:rPr>
        <w:t xml:space="preserve">892, </w:t>
      </w:r>
      <w:r w:rsidR="006C366A" w:rsidRPr="005B1ED4">
        <w:rPr>
          <w:rFonts w:ascii="Book Antiqua" w:hAnsi="Book Antiqua" w:cs="Times New Roman"/>
          <w:sz w:val="28"/>
          <w:szCs w:val="28"/>
        </w:rPr>
        <w:t>930</w:t>
      </w:r>
      <w:r w:rsidR="00F40CBA" w:rsidRPr="005B1ED4">
        <w:rPr>
          <w:rFonts w:ascii="Book Antiqua" w:hAnsi="Book Antiqua" w:cs="Times New Roman"/>
          <w:sz w:val="28"/>
          <w:szCs w:val="28"/>
        </w:rPr>
        <w:t xml:space="preserve"> (emphasis added)</w:t>
      </w:r>
      <w:r w:rsidR="00BF4EAE" w:rsidRPr="005B1ED4">
        <w:rPr>
          <w:rFonts w:ascii="Book Antiqua" w:hAnsi="Book Antiqua" w:cs="Times New Roman"/>
          <w:sz w:val="28"/>
          <w:szCs w:val="28"/>
        </w:rPr>
        <w:t>.</w:t>
      </w:r>
      <w:r w:rsidR="006C366A" w:rsidRPr="005B1ED4">
        <w:rPr>
          <w:rFonts w:ascii="Book Antiqua" w:hAnsi="Book Antiqua" w:cs="Times New Roman"/>
          <w:sz w:val="28"/>
          <w:szCs w:val="28"/>
        </w:rPr>
        <w:t xml:space="preserve"> </w:t>
      </w:r>
      <w:r w:rsidR="002A0FAF" w:rsidRPr="005B1ED4">
        <w:rPr>
          <w:rFonts w:ascii="Book Antiqua" w:hAnsi="Book Antiqua" w:cs="Times New Roman"/>
          <w:sz w:val="28"/>
          <w:szCs w:val="28"/>
        </w:rPr>
        <w:t xml:space="preserve">The </w:t>
      </w:r>
      <w:r w:rsidR="00782D94" w:rsidRPr="005B1ED4">
        <w:rPr>
          <w:rFonts w:ascii="Book Antiqua" w:hAnsi="Book Antiqua" w:cs="Times New Roman"/>
          <w:sz w:val="28"/>
          <w:szCs w:val="28"/>
        </w:rPr>
        <w:t xml:space="preserve">mandatory </w:t>
      </w:r>
      <w:r w:rsidR="002A0FAF" w:rsidRPr="005B1ED4">
        <w:rPr>
          <w:rFonts w:ascii="Book Antiqua" w:hAnsi="Book Antiqua" w:cs="Times New Roman"/>
          <w:sz w:val="28"/>
          <w:szCs w:val="28"/>
        </w:rPr>
        <w:t xml:space="preserve">Arizona Bar does not adhere to those </w:t>
      </w:r>
      <w:r w:rsidR="005F1855" w:rsidRPr="005B1ED4">
        <w:rPr>
          <w:rFonts w:ascii="Book Antiqua" w:hAnsi="Book Antiqua" w:cs="Times New Roman"/>
          <w:sz w:val="28"/>
          <w:szCs w:val="28"/>
        </w:rPr>
        <w:t>principles</w:t>
      </w:r>
      <w:r w:rsidR="004A5CB6" w:rsidRPr="005B1ED4">
        <w:rPr>
          <w:rFonts w:ascii="Book Antiqua" w:hAnsi="Book Antiqua" w:cs="Times New Roman"/>
          <w:sz w:val="28"/>
          <w:szCs w:val="28"/>
        </w:rPr>
        <w:t>, and</w:t>
      </w:r>
      <w:r w:rsidR="00E3652D" w:rsidRPr="005B1ED4">
        <w:rPr>
          <w:rFonts w:ascii="Book Antiqua" w:hAnsi="Book Antiqua" w:cs="Times New Roman"/>
          <w:sz w:val="28"/>
          <w:szCs w:val="28"/>
        </w:rPr>
        <w:t xml:space="preserve"> modified</w:t>
      </w:r>
      <w:r w:rsidR="004A5CB6" w:rsidRPr="005B1ED4">
        <w:rPr>
          <w:rFonts w:ascii="Book Antiqua" w:hAnsi="Book Antiqua" w:cs="Times New Roman"/>
          <w:sz w:val="28"/>
          <w:szCs w:val="28"/>
        </w:rPr>
        <w:t xml:space="preserve"> Rule 32(c)(9)</w:t>
      </w:r>
      <w:r w:rsidR="00D81A95" w:rsidRPr="005B1ED4">
        <w:rPr>
          <w:rFonts w:ascii="Book Antiqua" w:hAnsi="Book Antiqua" w:cs="Times New Roman"/>
          <w:sz w:val="28"/>
          <w:szCs w:val="28"/>
        </w:rPr>
        <w:t>,</w:t>
      </w:r>
      <w:r w:rsidR="00CA63E8" w:rsidRPr="005B1ED4">
        <w:rPr>
          <w:rFonts w:ascii="Book Antiqua" w:hAnsi="Book Antiqua" w:cs="Times New Roman"/>
          <w:sz w:val="28"/>
          <w:szCs w:val="28"/>
        </w:rPr>
        <w:t xml:space="preserve"> allowing for an opt-out</w:t>
      </w:r>
      <w:r w:rsidR="00D81A95" w:rsidRPr="005B1ED4">
        <w:rPr>
          <w:rFonts w:ascii="Book Antiqua" w:hAnsi="Book Antiqua" w:cs="Times New Roman"/>
          <w:sz w:val="28"/>
          <w:szCs w:val="28"/>
        </w:rPr>
        <w:t>,</w:t>
      </w:r>
      <w:r w:rsidR="004A5CB6" w:rsidRPr="005B1ED4">
        <w:rPr>
          <w:rFonts w:ascii="Book Antiqua" w:hAnsi="Book Antiqua" w:cs="Times New Roman"/>
          <w:sz w:val="28"/>
          <w:szCs w:val="28"/>
        </w:rPr>
        <w:t xml:space="preserve"> does not rectify </w:t>
      </w:r>
      <w:r w:rsidR="000B0D87" w:rsidRPr="005B1ED4">
        <w:rPr>
          <w:rFonts w:ascii="Book Antiqua" w:hAnsi="Book Antiqua" w:cs="Times New Roman"/>
          <w:sz w:val="28"/>
          <w:szCs w:val="28"/>
        </w:rPr>
        <w:t>its</w:t>
      </w:r>
      <w:r w:rsidR="00E3652D" w:rsidRPr="005B1ED4">
        <w:rPr>
          <w:rFonts w:ascii="Book Antiqua" w:hAnsi="Book Antiqua" w:cs="Times New Roman"/>
          <w:sz w:val="28"/>
          <w:szCs w:val="28"/>
        </w:rPr>
        <w:t xml:space="preserve"> </w:t>
      </w:r>
      <w:r w:rsidR="004A5CB6" w:rsidRPr="005B1ED4">
        <w:rPr>
          <w:rFonts w:ascii="Book Antiqua" w:hAnsi="Book Antiqua" w:cs="Times New Roman"/>
          <w:sz w:val="28"/>
          <w:szCs w:val="28"/>
        </w:rPr>
        <w:t>constitutional deficiencies.</w:t>
      </w:r>
    </w:p>
    <w:p w14:paraId="19437467" w14:textId="3B773630" w:rsidR="006A329F" w:rsidRPr="005B1ED4" w:rsidRDefault="006C366A" w:rsidP="00F04AB1">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 xml:space="preserve">Petitioners’ </w:t>
      </w:r>
      <w:r w:rsidR="001B6217" w:rsidRPr="005B1ED4">
        <w:rPr>
          <w:rFonts w:ascii="Book Antiqua" w:hAnsi="Book Antiqua" w:cs="Times New Roman"/>
          <w:sz w:val="28"/>
          <w:szCs w:val="28"/>
        </w:rPr>
        <w:t xml:space="preserve">amendments to </w:t>
      </w:r>
      <w:r w:rsidRPr="005B1ED4">
        <w:rPr>
          <w:rFonts w:ascii="Book Antiqua" w:hAnsi="Book Antiqua" w:cs="Times New Roman"/>
          <w:sz w:val="28"/>
          <w:szCs w:val="28"/>
        </w:rPr>
        <w:t>Ariz. Sup. Ct. R. 32</w:t>
      </w:r>
      <w:r w:rsidR="00906490" w:rsidRPr="005B1ED4">
        <w:rPr>
          <w:rFonts w:ascii="Book Antiqua" w:hAnsi="Book Antiqua" w:cs="Times New Roman"/>
          <w:sz w:val="28"/>
          <w:szCs w:val="28"/>
        </w:rPr>
        <w:t xml:space="preserve"> </w:t>
      </w:r>
      <w:r w:rsidR="000E3E25" w:rsidRPr="005B1ED4">
        <w:rPr>
          <w:rFonts w:ascii="Book Antiqua" w:hAnsi="Book Antiqua" w:cs="Times New Roman"/>
          <w:sz w:val="28"/>
          <w:szCs w:val="28"/>
        </w:rPr>
        <w:t>to make</w:t>
      </w:r>
      <w:r w:rsidR="00213A9D" w:rsidRPr="005B1ED4">
        <w:rPr>
          <w:rFonts w:ascii="Book Antiqua" w:hAnsi="Book Antiqua" w:cs="Times New Roman"/>
          <w:sz w:val="28"/>
          <w:szCs w:val="28"/>
        </w:rPr>
        <w:t xml:space="preserve"> the Bar voluntary</w:t>
      </w:r>
      <w:r w:rsidR="001B6217" w:rsidRPr="005B1ED4">
        <w:rPr>
          <w:rFonts w:ascii="Book Antiqua" w:hAnsi="Book Antiqua" w:cs="Times New Roman"/>
          <w:sz w:val="28"/>
          <w:szCs w:val="28"/>
        </w:rPr>
        <w:t xml:space="preserve"> </w:t>
      </w:r>
      <w:r w:rsidR="000E3E25" w:rsidRPr="005B1ED4">
        <w:rPr>
          <w:rFonts w:ascii="Book Antiqua" w:hAnsi="Book Antiqua" w:cs="Times New Roman"/>
          <w:sz w:val="28"/>
          <w:szCs w:val="28"/>
        </w:rPr>
        <w:t xml:space="preserve">would </w:t>
      </w:r>
      <w:r w:rsidR="001B6217" w:rsidRPr="005B1ED4">
        <w:rPr>
          <w:rFonts w:ascii="Book Antiqua" w:hAnsi="Book Antiqua" w:cs="Times New Roman"/>
          <w:sz w:val="28"/>
          <w:szCs w:val="28"/>
        </w:rPr>
        <w:t xml:space="preserve">avoid </w:t>
      </w:r>
      <w:r w:rsidR="00850DCE" w:rsidRPr="005B1ED4">
        <w:rPr>
          <w:rFonts w:ascii="Book Antiqua" w:hAnsi="Book Antiqua" w:cs="Times New Roman"/>
          <w:sz w:val="28"/>
          <w:szCs w:val="28"/>
        </w:rPr>
        <w:t xml:space="preserve">these </w:t>
      </w:r>
      <w:r w:rsidR="00EE4DE2" w:rsidRPr="005B1ED4">
        <w:rPr>
          <w:rFonts w:ascii="Book Antiqua" w:hAnsi="Book Antiqua" w:cs="Times New Roman"/>
          <w:sz w:val="28"/>
          <w:szCs w:val="28"/>
        </w:rPr>
        <w:t>compelled</w:t>
      </w:r>
      <w:r w:rsidR="006973CE" w:rsidRPr="005B1ED4">
        <w:rPr>
          <w:rFonts w:ascii="Book Antiqua" w:hAnsi="Book Antiqua" w:cs="Times New Roman"/>
          <w:sz w:val="28"/>
          <w:szCs w:val="28"/>
        </w:rPr>
        <w:t xml:space="preserve"> </w:t>
      </w:r>
      <w:r w:rsidR="00EE4DE2" w:rsidRPr="005B1ED4">
        <w:rPr>
          <w:rFonts w:ascii="Book Antiqua" w:hAnsi="Book Antiqua" w:cs="Times New Roman"/>
          <w:sz w:val="28"/>
          <w:szCs w:val="28"/>
        </w:rPr>
        <w:t>speech</w:t>
      </w:r>
      <w:r w:rsidR="001B6217" w:rsidRPr="005B1ED4">
        <w:rPr>
          <w:rFonts w:ascii="Book Antiqua" w:hAnsi="Book Antiqua" w:cs="Times New Roman"/>
          <w:sz w:val="28"/>
          <w:szCs w:val="28"/>
        </w:rPr>
        <w:t xml:space="preserve"> </w:t>
      </w:r>
      <w:r w:rsidR="006973CE" w:rsidRPr="005B1ED4">
        <w:rPr>
          <w:rFonts w:ascii="Book Antiqua" w:hAnsi="Book Antiqua" w:cs="Times New Roman"/>
          <w:sz w:val="28"/>
          <w:szCs w:val="28"/>
        </w:rPr>
        <w:t xml:space="preserve">and association </w:t>
      </w:r>
      <w:r w:rsidR="009A154E" w:rsidRPr="005B1ED4">
        <w:rPr>
          <w:rFonts w:ascii="Book Antiqua" w:hAnsi="Book Antiqua" w:cs="Times New Roman"/>
          <w:sz w:val="28"/>
          <w:szCs w:val="28"/>
        </w:rPr>
        <w:t>problems</w:t>
      </w:r>
      <w:r w:rsidR="0090328C" w:rsidRPr="005B1ED4">
        <w:rPr>
          <w:rFonts w:ascii="Book Antiqua" w:hAnsi="Book Antiqua" w:cs="Times New Roman"/>
          <w:sz w:val="28"/>
          <w:szCs w:val="28"/>
        </w:rPr>
        <w:t>,</w:t>
      </w:r>
      <w:r w:rsidR="00961969" w:rsidRPr="005B1ED4">
        <w:rPr>
          <w:rFonts w:ascii="Book Antiqua" w:hAnsi="Book Antiqua" w:cs="Times New Roman"/>
          <w:sz w:val="28"/>
          <w:szCs w:val="28"/>
        </w:rPr>
        <w:t xml:space="preserve"> </w:t>
      </w:r>
      <w:r w:rsidR="001B6217" w:rsidRPr="005B1ED4">
        <w:rPr>
          <w:rFonts w:ascii="Book Antiqua" w:hAnsi="Book Antiqua" w:cs="Times New Roman"/>
          <w:sz w:val="28"/>
          <w:szCs w:val="28"/>
        </w:rPr>
        <w:t>and</w:t>
      </w:r>
      <w:r w:rsidR="0090328C" w:rsidRPr="005B1ED4">
        <w:rPr>
          <w:rFonts w:ascii="Book Antiqua" w:hAnsi="Book Antiqua" w:cs="Times New Roman"/>
          <w:sz w:val="28"/>
          <w:szCs w:val="28"/>
        </w:rPr>
        <w:t xml:space="preserve"> they</w:t>
      </w:r>
      <w:r w:rsidR="00584CEF" w:rsidRPr="005B1ED4">
        <w:rPr>
          <w:rFonts w:ascii="Book Antiqua" w:hAnsi="Book Antiqua" w:cs="Times New Roman"/>
          <w:sz w:val="28"/>
          <w:szCs w:val="28"/>
        </w:rPr>
        <w:t xml:space="preserve"> would</w:t>
      </w:r>
      <w:r w:rsidR="00213A9D" w:rsidRPr="005B1ED4">
        <w:rPr>
          <w:rFonts w:ascii="Book Antiqua" w:hAnsi="Book Antiqua" w:cs="Times New Roman"/>
          <w:sz w:val="28"/>
          <w:szCs w:val="28"/>
        </w:rPr>
        <w:t xml:space="preserve"> </w:t>
      </w:r>
      <w:r w:rsidR="001B6217" w:rsidRPr="005B1ED4">
        <w:rPr>
          <w:rFonts w:ascii="Book Antiqua" w:hAnsi="Book Antiqua" w:cs="Times New Roman"/>
          <w:sz w:val="28"/>
          <w:szCs w:val="28"/>
        </w:rPr>
        <w:t>better serve the Arizona public and lawyers.</w:t>
      </w:r>
      <w:r w:rsidR="00450A6F" w:rsidRPr="005B1ED4">
        <w:rPr>
          <w:rFonts w:ascii="Book Antiqua" w:hAnsi="Book Antiqua" w:cs="Times New Roman"/>
          <w:sz w:val="28"/>
          <w:szCs w:val="28"/>
        </w:rPr>
        <w:t xml:space="preserve"> </w:t>
      </w:r>
      <w:r w:rsidR="00A636DD" w:rsidRPr="005B1ED4">
        <w:rPr>
          <w:rFonts w:ascii="Book Antiqua" w:hAnsi="Book Antiqua" w:cs="Times New Roman"/>
          <w:sz w:val="28"/>
          <w:szCs w:val="28"/>
        </w:rPr>
        <w:t>For</w:t>
      </w:r>
      <w:r w:rsidR="00927C87" w:rsidRPr="005B1ED4">
        <w:rPr>
          <w:rFonts w:ascii="Book Antiqua" w:hAnsi="Book Antiqua" w:cs="Times New Roman"/>
          <w:sz w:val="28"/>
          <w:szCs w:val="28"/>
        </w:rPr>
        <w:t xml:space="preserve"> </w:t>
      </w:r>
      <w:r w:rsidR="00A636DD" w:rsidRPr="005B1ED4">
        <w:rPr>
          <w:rFonts w:ascii="Book Antiqua" w:hAnsi="Book Antiqua" w:cs="Times New Roman"/>
          <w:sz w:val="28"/>
          <w:szCs w:val="28"/>
        </w:rPr>
        <w:t xml:space="preserve">the </w:t>
      </w:r>
      <w:r w:rsidR="00F96A81" w:rsidRPr="005B1ED4">
        <w:rPr>
          <w:rFonts w:ascii="Book Antiqua" w:hAnsi="Book Antiqua" w:cs="Times New Roman"/>
          <w:sz w:val="28"/>
          <w:szCs w:val="28"/>
        </w:rPr>
        <w:t>reasons discussed</w:t>
      </w:r>
      <w:r w:rsidR="00A636DD" w:rsidRPr="005B1ED4">
        <w:rPr>
          <w:rFonts w:ascii="Book Antiqua" w:hAnsi="Book Antiqua" w:cs="Times New Roman"/>
          <w:sz w:val="28"/>
          <w:szCs w:val="28"/>
        </w:rPr>
        <w:t xml:space="preserve"> in the Petition, this Court should adopt those proposed amendments. </w:t>
      </w:r>
      <w:r w:rsidR="00E60367" w:rsidRPr="005B1ED4">
        <w:rPr>
          <w:rFonts w:ascii="Book Antiqua" w:hAnsi="Book Antiqua" w:cs="Times New Roman"/>
          <w:sz w:val="28"/>
          <w:szCs w:val="28"/>
        </w:rPr>
        <w:t>T</w:t>
      </w:r>
      <w:r w:rsidR="00073F3F" w:rsidRPr="005B1ED4">
        <w:rPr>
          <w:rFonts w:ascii="Book Antiqua" w:hAnsi="Book Antiqua" w:cs="Times New Roman"/>
          <w:sz w:val="28"/>
          <w:szCs w:val="28"/>
        </w:rPr>
        <w:t>he</w:t>
      </w:r>
      <w:r w:rsidR="001B6217" w:rsidRPr="005B1ED4">
        <w:rPr>
          <w:rFonts w:ascii="Book Antiqua" w:hAnsi="Book Antiqua" w:cs="Times New Roman"/>
          <w:sz w:val="28"/>
          <w:szCs w:val="28"/>
        </w:rPr>
        <w:t xml:space="preserve"> comments </w:t>
      </w:r>
      <w:r w:rsidR="00F96A81" w:rsidRPr="005B1ED4">
        <w:rPr>
          <w:rFonts w:ascii="Book Antiqua" w:hAnsi="Book Antiqua" w:cs="Times New Roman"/>
          <w:sz w:val="28"/>
          <w:szCs w:val="28"/>
        </w:rPr>
        <w:t xml:space="preserve">made </w:t>
      </w:r>
      <w:r w:rsidR="00DA5238" w:rsidRPr="005B1ED4">
        <w:rPr>
          <w:rFonts w:ascii="Book Antiqua" w:hAnsi="Book Antiqua" w:cs="Times New Roman"/>
          <w:sz w:val="28"/>
          <w:szCs w:val="28"/>
        </w:rPr>
        <w:t>in opposition</w:t>
      </w:r>
      <w:r w:rsidR="00954478" w:rsidRPr="005B1ED4">
        <w:rPr>
          <w:rFonts w:ascii="Book Antiqua" w:hAnsi="Book Antiqua" w:cs="Times New Roman"/>
          <w:sz w:val="28"/>
          <w:szCs w:val="28"/>
        </w:rPr>
        <w:t xml:space="preserve"> </w:t>
      </w:r>
      <w:r w:rsidR="002D24BA" w:rsidRPr="005B1ED4">
        <w:rPr>
          <w:rFonts w:ascii="Book Antiqua" w:hAnsi="Book Antiqua" w:cs="Times New Roman"/>
          <w:sz w:val="28"/>
          <w:szCs w:val="28"/>
        </w:rPr>
        <w:t xml:space="preserve">to the Petition </w:t>
      </w:r>
      <w:r w:rsidR="00782D94" w:rsidRPr="005B1ED4">
        <w:rPr>
          <w:rFonts w:ascii="Book Antiqua" w:hAnsi="Book Antiqua" w:cs="Times New Roman"/>
          <w:sz w:val="28"/>
          <w:szCs w:val="28"/>
        </w:rPr>
        <w:t>(</w:t>
      </w:r>
      <w:r w:rsidR="000F6010" w:rsidRPr="005B1ED4">
        <w:rPr>
          <w:rFonts w:ascii="Book Antiqua" w:hAnsi="Book Antiqua" w:cs="Times New Roman"/>
          <w:sz w:val="28"/>
          <w:szCs w:val="28"/>
        </w:rPr>
        <w:t>“</w:t>
      </w:r>
      <w:r w:rsidR="008F057A" w:rsidRPr="005B1ED4">
        <w:rPr>
          <w:rFonts w:ascii="Book Antiqua" w:hAnsi="Book Antiqua" w:cs="Times New Roman"/>
          <w:sz w:val="28"/>
          <w:szCs w:val="28"/>
        </w:rPr>
        <w:t xml:space="preserve">Petition Opponents”) </w:t>
      </w:r>
      <w:r w:rsidR="009F0B8A" w:rsidRPr="005B1ED4">
        <w:rPr>
          <w:rFonts w:ascii="Book Antiqua" w:hAnsi="Book Antiqua" w:cs="Times New Roman"/>
          <w:sz w:val="28"/>
          <w:szCs w:val="28"/>
        </w:rPr>
        <w:t>are not persuasive</w:t>
      </w:r>
      <w:r w:rsidR="00A404A4" w:rsidRPr="005B1ED4">
        <w:rPr>
          <w:rFonts w:ascii="Book Antiqua" w:hAnsi="Book Antiqua" w:cs="Times New Roman"/>
          <w:sz w:val="28"/>
          <w:szCs w:val="28"/>
        </w:rPr>
        <w:t>:</w:t>
      </w:r>
    </w:p>
    <w:p w14:paraId="0B83D6E9" w14:textId="67A5B9A9" w:rsidR="006A329F" w:rsidRPr="005B1ED4" w:rsidRDefault="006A329F" w:rsidP="00072670">
      <w:pPr>
        <w:spacing w:after="0" w:line="480" w:lineRule="auto"/>
        <w:ind w:firstLine="720"/>
        <w:jc w:val="both"/>
        <w:rPr>
          <w:rFonts w:ascii="Book Antiqua" w:hAnsi="Book Antiqua" w:cs="Times New Roman"/>
          <w:sz w:val="28"/>
          <w:szCs w:val="28"/>
        </w:rPr>
      </w:pPr>
      <w:r w:rsidRPr="005B1ED4">
        <w:rPr>
          <w:rFonts w:ascii="Book Antiqua" w:hAnsi="Book Antiqua" w:cs="Times New Roman"/>
          <w:b/>
          <w:bCs/>
          <w:i/>
          <w:iCs/>
          <w:sz w:val="28"/>
          <w:szCs w:val="28"/>
        </w:rPr>
        <w:lastRenderedPageBreak/>
        <w:t>First</w:t>
      </w:r>
      <w:r w:rsidRPr="005B1ED4">
        <w:rPr>
          <w:rFonts w:ascii="Book Antiqua" w:hAnsi="Book Antiqua" w:cs="Times New Roman"/>
          <w:sz w:val="28"/>
          <w:szCs w:val="28"/>
        </w:rPr>
        <w:t xml:space="preserve">, </w:t>
      </w:r>
      <w:r w:rsidR="008F057A" w:rsidRPr="005B1ED4">
        <w:rPr>
          <w:rFonts w:ascii="Book Antiqua" w:hAnsi="Book Antiqua" w:cs="Times New Roman"/>
          <w:sz w:val="28"/>
          <w:szCs w:val="28"/>
        </w:rPr>
        <w:t xml:space="preserve">the Petition </w:t>
      </w:r>
      <w:proofErr w:type="gramStart"/>
      <w:r w:rsidR="008F057A" w:rsidRPr="005B1ED4">
        <w:rPr>
          <w:rFonts w:ascii="Book Antiqua" w:hAnsi="Book Antiqua" w:cs="Times New Roman"/>
          <w:sz w:val="28"/>
          <w:szCs w:val="28"/>
        </w:rPr>
        <w:t xml:space="preserve">Opponents </w:t>
      </w:r>
      <w:r w:rsidRPr="005B1ED4">
        <w:rPr>
          <w:rFonts w:ascii="Book Antiqua" w:hAnsi="Book Antiqua" w:cs="Times New Roman"/>
          <w:sz w:val="28"/>
          <w:szCs w:val="28"/>
        </w:rPr>
        <w:t xml:space="preserve"> do</w:t>
      </w:r>
      <w:proofErr w:type="gramEnd"/>
      <w:r w:rsidRPr="005B1ED4">
        <w:rPr>
          <w:rFonts w:ascii="Book Antiqua" w:hAnsi="Book Antiqua" w:cs="Times New Roman"/>
          <w:sz w:val="28"/>
          <w:szCs w:val="28"/>
        </w:rPr>
        <w:t xml:space="preserve"> not </w:t>
      </w:r>
      <w:r w:rsidR="008D491A" w:rsidRPr="005B1ED4">
        <w:rPr>
          <w:rFonts w:ascii="Book Antiqua" w:hAnsi="Book Antiqua" w:cs="Times New Roman"/>
          <w:sz w:val="28"/>
          <w:szCs w:val="28"/>
        </w:rPr>
        <w:t xml:space="preserve">show </w:t>
      </w:r>
      <w:r w:rsidR="00514A92" w:rsidRPr="005B1ED4">
        <w:rPr>
          <w:rFonts w:ascii="Book Antiqua" w:hAnsi="Book Antiqua" w:cs="Times New Roman"/>
          <w:sz w:val="28"/>
          <w:szCs w:val="28"/>
        </w:rPr>
        <w:t>why</w:t>
      </w:r>
      <w:r w:rsidR="00FE289A" w:rsidRPr="005B1ED4">
        <w:rPr>
          <w:rFonts w:ascii="Book Antiqua" w:hAnsi="Book Antiqua" w:cs="Times New Roman"/>
          <w:sz w:val="28"/>
          <w:szCs w:val="28"/>
        </w:rPr>
        <w:t xml:space="preserve"> it is advisable for</w:t>
      </w:r>
      <w:r w:rsidRPr="005B1ED4">
        <w:rPr>
          <w:rFonts w:ascii="Book Antiqua" w:hAnsi="Book Antiqua" w:cs="Times New Roman"/>
          <w:sz w:val="28"/>
          <w:szCs w:val="28"/>
        </w:rPr>
        <w:t xml:space="preserve"> this Court </w:t>
      </w:r>
      <w:r w:rsidR="00FE289A" w:rsidRPr="005B1ED4">
        <w:rPr>
          <w:rFonts w:ascii="Book Antiqua" w:hAnsi="Book Antiqua" w:cs="Times New Roman"/>
          <w:sz w:val="28"/>
          <w:szCs w:val="28"/>
        </w:rPr>
        <w:t>to</w:t>
      </w:r>
      <w:r w:rsidRPr="005B1ED4">
        <w:rPr>
          <w:rFonts w:ascii="Book Antiqua" w:hAnsi="Book Antiqua" w:cs="Times New Roman"/>
          <w:sz w:val="28"/>
          <w:szCs w:val="28"/>
        </w:rPr>
        <w:t xml:space="preserve"> ignore the</w:t>
      </w:r>
      <w:r w:rsidR="001415C6" w:rsidRPr="005B1ED4">
        <w:rPr>
          <w:rFonts w:ascii="Book Antiqua" w:hAnsi="Book Antiqua" w:cs="Times New Roman"/>
          <w:sz w:val="28"/>
          <w:szCs w:val="28"/>
        </w:rPr>
        <w:t xml:space="preserve"> </w:t>
      </w:r>
      <w:r w:rsidR="00FE289A" w:rsidRPr="005B1ED4">
        <w:rPr>
          <w:rFonts w:ascii="Book Antiqua" w:hAnsi="Book Antiqua" w:cs="Times New Roman"/>
          <w:sz w:val="28"/>
          <w:szCs w:val="28"/>
        </w:rPr>
        <w:t xml:space="preserve">broad </w:t>
      </w:r>
      <w:r w:rsidR="001A5127" w:rsidRPr="005B1ED4">
        <w:rPr>
          <w:rFonts w:ascii="Book Antiqua" w:hAnsi="Book Antiqua" w:cs="Times New Roman"/>
          <w:sz w:val="28"/>
          <w:szCs w:val="28"/>
        </w:rPr>
        <w:t>holding</w:t>
      </w:r>
      <w:r w:rsidRPr="005B1ED4">
        <w:rPr>
          <w:rFonts w:ascii="Book Antiqua" w:hAnsi="Book Antiqua" w:cs="Times New Roman"/>
          <w:sz w:val="28"/>
          <w:szCs w:val="28"/>
        </w:rPr>
        <w:t xml:space="preserve"> of </w:t>
      </w:r>
      <w:r w:rsidRPr="005B1ED4">
        <w:rPr>
          <w:rFonts w:ascii="Book Antiqua" w:hAnsi="Book Antiqua" w:cs="Times New Roman"/>
          <w:i/>
          <w:iCs/>
          <w:sz w:val="28"/>
          <w:szCs w:val="28"/>
        </w:rPr>
        <w:t xml:space="preserve">Janus </w:t>
      </w:r>
      <w:r w:rsidRPr="005B1ED4">
        <w:rPr>
          <w:rFonts w:ascii="Book Antiqua" w:hAnsi="Book Antiqua" w:cs="Times New Roman"/>
          <w:sz w:val="28"/>
          <w:szCs w:val="28"/>
        </w:rPr>
        <w:t>and</w:t>
      </w:r>
      <w:r w:rsidR="00CA63E8" w:rsidRPr="005B1ED4">
        <w:rPr>
          <w:rFonts w:ascii="Book Antiqua" w:hAnsi="Book Antiqua" w:cs="Times New Roman"/>
          <w:sz w:val="28"/>
          <w:szCs w:val="28"/>
        </w:rPr>
        <w:t xml:space="preserve"> </w:t>
      </w:r>
      <w:r w:rsidR="00D81A95" w:rsidRPr="005B1ED4">
        <w:rPr>
          <w:rFonts w:ascii="Book Antiqua" w:hAnsi="Book Antiqua" w:cs="Times New Roman"/>
          <w:sz w:val="28"/>
          <w:szCs w:val="28"/>
        </w:rPr>
        <w:t xml:space="preserve">instead </w:t>
      </w:r>
      <w:r w:rsidRPr="005B1ED4">
        <w:rPr>
          <w:rFonts w:ascii="Book Antiqua" w:hAnsi="Book Antiqua" w:cs="Times New Roman"/>
          <w:sz w:val="28"/>
          <w:szCs w:val="28"/>
        </w:rPr>
        <w:t xml:space="preserve">abide by </w:t>
      </w:r>
      <w:r w:rsidR="002D24BA" w:rsidRPr="005B1ED4">
        <w:rPr>
          <w:rFonts w:ascii="Book Antiqua" w:hAnsi="Book Antiqua" w:cs="Times New Roman"/>
          <w:sz w:val="28"/>
          <w:szCs w:val="28"/>
        </w:rPr>
        <w:t>the widely criticized and unworkable</w:t>
      </w:r>
      <w:r w:rsidR="00497BAE" w:rsidRPr="005B1ED4">
        <w:rPr>
          <w:rFonts w:ascii="Book Antiqua" w:hAnsi="Book Antiqua" w:cs="Times New Roman"/>
          <w:sz w:val="28"/>
          <w:szCs w:val="28"/>
        </w:rPr>
        <w:t xml:space="preserve"> </w:t>
      </w:r>
      <w:r w:rsidRPr="005B1ED4">
        <w:rPr>
          <w:rFonts w:ascii="Book Antiqua" w:hAnsi="Book Antiqua" w:cs="Times New Roman"/>
          <w:sz w:val="28"/>
          <w:szCs w:val="28"/>
        </w:rPr>
        <w:t xml:space="preserve">precedent in </w:t>
      </w:r>
      <w:r w:rsidR="00EC3C76" w:rsidRPr="005B1ED4">
        <w:rPr>
          <w:rFonts w:ascii="Book Antiqua" w:hAnsi="Book Antiqua" w:cs="Times New Roman"/>
          <w:i/>
          <w:iCs/>
          <w:sz w:val="28"/>
          <w:szCs w:val="28"/>
        </w:rPr>
        <w:t>Keller v. State Bar of California</w:t>
      </w:r>
      <w:r w:rsidR="00EC3C76" w:rsidRPr="005B1ED4">
        <w:rPr>
          <w:rFonts w:ascii="Book Antiqua" w:hAnsi="Book Antiqua" w:cs="Times New Roman"/>
          <w:sz w:val="28"/>
          <w:szCs w:val="28"/>
        </w:rPr>
        <w:t>, 496 U.S. 1 (1990)</w:t>
      </w:r>
      <w:r w:rsidR="006A422B" w:rsidRPr="005B1ED4">
        <w:rPr>
          <w:rFonts w:ascii="Book Antiqua" w:hAnsi="Book Antiqua" w:cs="Times New Roman"/>
          <w:sz w:val="28"/>
          <w:szCs w:val="28"/>
        </w:rPr>
        <w:t xml:space="preserve"> </w:t>
      </w:r>
      <w:r w:rsidR="000F6010" w:rsidRPr="005B1ED4">
        <w:rPr>
          <w:rFonts w:ascii="Book Antiqua" w:hAnsi="Book Antiqua" w:cs="Times New Roman"/>
          <w:sz w:val="28"/>
          <w:szCs w:val="28"/>
        </w:rPr>
        <w:t xml:space="preserve">the logic of which was severely undercut in </w:t>
      </w:r>
      <w:r w:rsidR="000F6010" w:rsidRPr="005B1ED4">
        <w:rPr>
          <w:rFonts w:ascii="Book Antiqua" w:hAnsi="Book Antiqua" w:cs="Times New Roman"/>
          <w:i/>
          <w:iCs/>
          <w:sz w:val="28"/>
          <w:szCs w:val="28"/>
        </w:rPr>
        <w:t>Janus</w:t>
      </w:r>
      <w:r w:rsidRPr="005B1ED4">
        <w:rPr>
          <w:rFonts w:ascii="Book Antiqua" w:hAnsi="Book Antiqua" w:cs="Times New Roman"/>
          <w:sz w:val="28"/>
          <w:szCs w:val="28"/>
        </w:rPr>
        <w:t xml:space="preserve">. </w:t>
      </w:r>
      <w:r w:rsidR="00514A92" w:rsidRPr="005B1ED4">
        <w:rPr>
          <w:rFonts w:ascii="Book Antiqua" w:hAnsi="Book Antiqua" w:cs="Times New Roman"/>
          <w:sz w:val="28"/>
          <w:szCs w:val="28"/>
        </w:rPr>
        <w:t>For one</w:t>
      </w:r>
      <w:r w:rsidR="00F175C5" w:rsidRPr="005B1ED4">
        <w:rPr>
          <w:rFonts w:ascii="Book Antiqua" w:hAnsi="Book Antiqua" w:cs="Times New Roman"/>
          <w:sz w:val="28"/>
          <w:szCs w:val="28"/>
        </w:rPr>
        <w:t xml:space="preserve">, </w:t>
      </w:r>
      <w:r w:rsidR="00BF4B74" w:rsidRPr="005B1ED4">
        <w:rPr>
          <w:rFonts w:ascii="Book Antiqua" w:hAnsi="Book Antiqua" w:cs="Times New Roman"/>
          <w:i/>
          <w:iCs/>
          <w:sz w:val="28"/>
          <w:szCs w:val="28"/>
        </w:rPr>
        <w:t>Keller</w:t>
      </w:r>
      <w:r w:rsidR="00F175C5" w:rsidRPr="005B1ED4">
        <w:rPr>
          <w:rFonts w:ascii="Book Antiqua" w:hAnsi="Book Antiqua" w:cs="Times New Roman"/>
          <w:sz w:val="28"/>
          <w:szCs w:val="28"/>
        </w:rPr>
        <w:t xml:space="preserve"> is</w:t>
      </w:r>
      <w:r w:rsidR="001C1216" w:rsidRPr="005B1ED4">
        <w:rPr>
          <w:rFonts w:ascii="Book Antiqua" w:hAnsi="Book Antiqua" w:cs="Times New Roman"/>
          <w:sz w:val="28"/>
          <w:szCs w:val="28"/>
        </w:rPr>
        <w:t xml:space="preserve"> not</w:t>
      </w:r>
      <w:r w:rsidR="00CD7B19" w:rsidRPr="005B1ED4">
        <w:rPr>
          <w:rFonts w:ascii="Book Antiqua" w:hAnsi="Book Antiqua" w:cs="Times New Roman"/>
          <w:sz w:val="28"/>
          <w:szCs w:val="28"/>
        </w:rPr>
        <w:t xml:space="preserve"> and never was</w:t>
      </w:r>
      <w:r w:rsidR="001C1216" w:rsidRPr="005B1ED4">
        <w:rPr>
          <w:rFonts w:ascii="Book Antiqua" w:hAnsi="Book Antiqua" w:cs="Times New Roman"/>
          <w:sz w:val="28"/>
          <w:szCs w:val="28"/>
        </w:rPr>
        <w:t xml:space="preserve"> “controlling”</w:t>
      </w:r>
      <w:r w:rsidR="007D4AF3" w:rsidRPr="005B1ED4">
        <w:rPr>
          <w:rFonts w:ascii="Book Antiqua" w:hAnsi="Book Antiqua" w:cs="Times New Roman"/>
          <w:sz w:val="28"/>
          <w:szCs w:val="28"/>
        </w:rPr>
        <w:t xml:space="preserve"> </w:t>
      </w:r>
      <w:r w:rsidR="003F651F" w:rsidRPr="005B1ED4">
        <w:rPr>
          <w:rFonts w:ascii="Book Antiqua" w:hAnsi="Book Antiqua" w:cs="Times New Roman"/>
          <w:sz w:val="28"/>
          <w:szCs w:val="28"/>
        </w:rPr>
        <w:t>over this Court’s rulemaking</w:t>
      </w:r>
      <w:r w:rsidR="005F138E" w:rsidRPr="005B1ED4">
        <w:rPr>
          <w:rFonts w:ascii="Book Antiqua" w:hAnsi="Book Antiqua" w:cs="Times New Roman"/>
          <w:sz w:val="28"/>
          <w:szCs w:val="28"/>
        </w:rPr>
        <w:t xml:space="preserve">, </w:t>
      </w:r>
      <w:r w:rsidR="00E60367" w:rsidRPr="005B1ED4">
        <w:rPr>
          <w:rFonts w:ascii="Book Antiqua" w:hAnsi="Book Antiqua" w:cs="Times New Roman"/>
          <w:sz w:val="28"/>
          <w:szCs w:val="28"/>
        </w:rPr>
        <w:t xml:space="preserve">in that </w:t>
      </w:r>
      <w:r w:rsidR="00BC58EA" w:rsidRPr="005B1ED4">
        <w:rPr>
          <w:rFonts w:ascii="Book Antiqua" w:hAnsi="Book Antiqua" w:cs="Times New Roman"/>
          <w:i/>
          <w:iCs/>
          <w:sz w:val="28"/>
          <w:szCs w:val="28"/>
        </w:rPr>
        <w:t>Keller</w:t>
      </w:r>
      <w:r w:rsidR="00E60367" w:rsidRPr="005B1ED4">
        <w:rPr>
          <w:rFonts w:ascii="Book Antiqua" w:hAnsi="Book Antiqua" w:cs="Times New Roman"/>
          <w:sz w:val="28"/>
          <w:szCs w:val="28"/>
        </w:rPr>
        <w:t xml:space="preserve"> </w:t>
      </w:r>
      <w:r w:rsidR="00927C87" w:rsidRPr="005B1ED4">
        <w:rPr>
          <w:rFonts w:ascii="Book Antiqua" w:hAnsi="Book Antiqua" w:cs="Times New Roman"/>
          <w:sz w:val="28"/>
          <w:szCs w:val="28"/>
        </w:rPr>
        <w:t>does not</w:t>
      </w:r>
      <w:r w:rsidR="001C1216" w:rsidRPr="005B1ED4">
        <w:rPr>
          <w:rFonts w:ascii="Book Antiqua" w:hAnsi="Book Antiqua" w:cs="Times New Roman"/>
          <w:sz w:val="28"/>
          <w:szCs w:val="28"/>
        </w:rPr>
        <w:t xml:space="preserve"> </w:t>
      </w:r>
      <w:r w:rsidR="001C1216" w:rsidRPr="005B1ED4">
        <w:rPr>
          <w:rFonts w:ascii="Book Antiqua" w:hAnsi="Book Antiqua" w:cs="Times New Roman"/>
          <w:i/>
          <w:iCs/>
          <w:sz w:val="28"/>
          <w:szCs w:val="28"/>
        </w:rPr>
        <w:t>require</w:t>
      </w:r>
      <w:r w:rsidR="001C1216" w:rsidRPr="005B1ED4">
        <w:rPr>
          <w:rFonts w:ascii="Book Antiqua" w:hAnsi="Book Antiqua" w:cs="Times New Roman"/>
          <w:sz w:val="28"/>
          <w:szCs w:val="28"/>
        </w:rPr>
        <w:t xml:space="preserve"> a mandatory bar. </w:t>
      </w:r>
      <w:r w:rsidR="000523BC" w:rsidRPr="005B1ED4">
        <w:rPr>
          <w:rFonts w:ascii="Book Antiqua" w:hAnsi="Book Antiqua" w:cs="Times New Roman"/>
          <w:sz w:val="28"/>
          <w:szCs w:val="28"/>
        </w:rPr>
        <w:t>E</w:t>
      </w:r>
      <w:r w:rsidR="00D23C2C" w:rsidRPr="005B1ED4">
        <w:rPr>
          <w:rFonts w:ascii="Book Antiqua" w:hAnsi="Book Antiqua" w:cs="Times New Roman"/>
          <w:sz w:val="28"/>
          <w:szCs w:val="28"/>
        </w:rPr>
        <w:t>ven</w:t>
      </w:r>
      <w:r w:rsidR="001C1216" w:rsidRPr="005B1ED4">
        <w:rPr>
          <w:rFonts w:ascii="Book Antiqua" w:hAnsi="Book Antiqua" w:cs="Times New Roman"/>
          <w:sz w:val="28"/>
          <w:szCs w:val="28"/>
        </w:rPr>
        <w:t xml:space="preserve"> before </w:t>
      </w:r>
      <w:r w:rsidR="001C1216" w:rsidRPr="005B1ED4">
        <w:rPr>
          <w:rFonts w:ascii="Book Antiqua" w:hAnsi="Book Antiqua" w:cs="Times New Roman"/>
          <w:i/>
          <w:iCs/>
          <w:sz w:val="28"/>
          <w:szCs w:val="28"/>
        </w:rPr>
        <w:t>Janus</w:t>
      </w:r>
      <w:r w:rsidR="001C1216" w:rsidRPr="005B1ED4">
        <w:rPr>
          <w:rFonts w:ascii="Book Antiqua" w:hAnsi="Book Antiqua" w:cs="Times New Roman"/>
          <w:sz w:val="28"/>
          <w:szCs w:val="28"/>
        </w:rPr>
        <w:t xml:space="preserve">, </w:t>
      </w:r>
      <w:r w:rsidR="00CA63E8" w:rsidRPr="005B1ED4">
        <w:rPr>
          <w:rFonts w:ascii="Book Antiqua" w:hAnsi="Book Antiqua" w:cs="Times New Roman"/>
          <w:sz w:val="28"/>
          <w:szCs w:val="28"/>
        </w:rPr>
        <w:t xml:space="preserve">Arizona </w:t>
      </w:r>
      <w:r w:rsidR="001A5127" w:rsidRPr="005B1ED4">
        <w:rPr>
          <w:rFonts w:ascii="Book Antiqua" w:hAnsi="Book Antiqua" w:cs="Times New Roman"/>
          <w:sz w:val="28"/>
          <w:szCs w:val="28"/>
        </w:rPr>
        <w:t>was free</w:t>
      </w:r>
      <w:r w:rsidR="001C1216" w:rsidRPr="005B1ED4">
        <w:rPr>
          <w:rFonts w:ascii="Book Antiqua" w:hAnsi="Book Antiqua" w:cs="Times New Roman"/>
          <w:sz w:val="28"/>
          <w:szCs w:val="28"/>
        </w:rPr>
        <w:t xml:space="preserve"> </w:t>
      </w:r>
      <w:r w:rsidR="001A5127" w:rsidRPr="005B1ED4">
        <w:rPr>
          <w:rFonts w:ascii="Book Antiqua" w:hAnsi="Book Antiqua" w:cs="Times New Roman"/>
          <w:sz w:val="28"/>
          <w:szCs w:val="28"/>
        </w:rPr>
        <w:t>to</w:t>
      </w:r>
      <w:r w:rsidR="00CA63E8" w:rsidRPr="005B1ED4">
        <w:rPr>
          <w:rFonts w:ascii="Book Antiqua" w:hAnsi="Book Antiqua" w:cs="Times New Roman"/>
          <w:sz w:val="28"/>
          <w:szCs w:val="28"/>
        </w:rPr>
        <w:t xml:space="preserve"> </w:t>
      </w:r>
      <w:r w:rsidR="00D44A92" w:rsidRPr="005B1ED4">
        <w:rPr>
          <w:rFonts w:ascii="Book Antiqua" w:hAnsi="Book Antiqua" w:cs="Times New Roman"/>
          <w:sz w:val="28"/>
          <w:szCs w:val="28"/>
        </w:rPr>
        <w:t>raise</w:t>
      </w:r>
      <w:r w:rsidR="001C1216" w:rsidRPr="005B1ED4">
        <w:rPr>
          <w:rFonts w:ascii="Book Antiqua" w:hAnsi="Book Antiqua" w:cs="Times New Roman"/>
          <w:sz w:val="28"/>
          <w:szCs w:val="28"/>
        </w:rPr>
        <w:t xml:space="preserve"> speech protections above </w:t>
      </w:r>
      <w:r w:rsidR="00963050" w:rsidRPr="005B1ED4">
        <w:rPr>
          <w:rFonts w:ascii="Book Antiqua" w:hAnsi="Book Antiqua" w:cs="Times New Roman"/>
          <w:sz w:val="28"/>
          <w:szCs w:val="28"/>
        </w:rPr>
        <w:t xml:space="preserve">what </w:t>
      </w:r>
      <w:r w:rsidR="001C1216" w:rsidRPr="005B1ED4">
        <w:rPr>
          <w:rFonts w:ascii="Book Antiqua" w:hAnsi="Book Antiqua" w:cs="Times New Roman"/>
          <w:i/>
          <w:iCs/>
          <w:sz w:val="28"/>
          <w:szCs w:val="28"/>
        </w:rPr>
        <w:t>Keller</w:t>
      </w:r>
      <w:r w:rsidR="00963050" w:rsidRPr="005B1ED4">
        <w:rPr>
          <w:rFonts w:ascii="Book Antiqua" w:hAnsi="Book Antiqua" w:cs="Times New Roman"/>
          <w:i/>
          <w:iCs/>
          <w:sz w:val="28"/>
          <w:szCs w:val="28"/>
        </w:rPr>
        <w:t xml:space="preserve"> </w:t>
      </w:r>
      <w:r w:rsidR="00963050" w:rsidRPr="005B1ED4">
        <w:rPr>
          <w:rFonts w:ascii="Book Antiqua" w:hAnsi="Book Antiqua" w:cs="Times New Roman"/>
          <w:sz w:val="28"/>
          <w:szCs w:val="28"/>
        </w:rPr>
        <w:t>permit</w:t>
      </w:r>
      <w:r w:rsidR="003F6A64" w:rsidRPr="005B1ED4">
        <w:rPr>
          <w:rFonts w:ascii="Book Antiqua" w:hAnsi="Book Antiqua" w:cs="Times New Roman"/>
          <w:sz w:val="28"/>
          <w:szCs w:val="28"/>
        </w:rPr>
        <w:t>ted</w:t>
      </w:r>
      <w:r w:rsidR="007D4AF3" w:rsidRPr="005B1ED4">
        <w:rPr>
          <w:rFonts w:ascii="Book Antiqua" w:hAnsi="Book Antiqua" w:cs="Times New Roman"/>
          <w:sz w:val="28"/>
          <w:szCs w:val="28"/>
        </w:rPr>
        <w:t>,</w:t>
      </w:r>
      <w:r w:rsidR="00B27D06" w:rsidRPr="005B1ED4">
        <w:rPr>
          <w:rFonts w:ascii="Book Antiqua" w:hAnsi="Book Antiqua" w:cs="Times New Roman"/>
          <w:sz w:val="28"/>
          <w:szCs w:val="28"/>
        </w:rPr>
        <w:t xml:space="preserve"> </w:t>
      </w:r>
      <w:r w:rsidR="00194988" w:rsidRPr="005B1ED4">
        <w:rPr>
          <w:rFonts w:ascii="Book Antiqua" w:hAnsi="Book Antiqua" w:cs="Times New Roman"/>
          <w:sz w:val="28"/>
          <w:szCs w:val="28"/>
        </w:rPr>
        <w:t xml:space="preserve">as </w:t>
      </w:r>
      <w:r w:rsidR="00CA63E8" w:rsidRPr="005B1ED4">
        <w:rPr>
          <w:rFonts w:ascii="Book Antiqua" w:hAnsi="Book Antiqua" w:cs="Times New Roman"/>
          <w:sz w:val="28"/>
          <w:szCs w:val="28"/>
        </w:rPr>
        <w:t xml:space="preserve">several states </w:t>
      </w:r>
      <w:r w:rsidR="00194988" w:rsidRPr="005B1ED4">
        <w:rPr>
          <w:rFonts w:ascii="Book Antiqua" w:hAnsi="Book Antiqua" w:cs="Times New Roman"/>
          <w:sz w:val="28"/>
          <w:szCs w:val="28"/>
        </w:rPr>
        <w:t>have</w:t>
      </w:r>
      <w:r w:rsidR="00347E91" w:rsidRPr="005B1ED4">
        <w:rPr>
          <w:rFonts w:ascii="Book Antiqua" w:hAnsi="Book Antiqua" w:cs="Times New Roman"/>
          <w:sz w:val="28"/>
          <w:szCs w:val="28"/>
        </w:rPr>
        <w:t xml:space="preserve"> done</w:t>
      </w:r>
      <w:r w:rsidR="003F6A64" w:rsidRPr="005B1ED4">
        <w:rPr>
          <w:rFonts w:ascii="Book Antiqua" w:hAnsi="Book Antiqua" w:cs="Times New Roman"/>
          <w:sz w:val="28"/>
          <w:szCs w:val="28"/>
        </w:rPr>
        <w:t xml:space="preserve">. That </w:t>
      </w:r>
      <w:r w:rsidR="00CA63E8" w:rsidRPr="005B1ED4">
        <w:rPr>
          <w:rFonts w:ascii="Book Antiqua" w:hAnsi="Book Antiqua" w:cs="Times New Roman"/>
          <w:sz w:val="28"/>
          <w:szCs w:val="28"/>
        </w:rPr>
        <w:t xml:space="preserve">would </w:t>
      </w:r>
      <w:r w:rsidR="00C35203" w:rsidRPr="005B1ED4">
        <w:rPr>
          <w:rFonts w:ascii="Book Antiqua" w:hAnsi="Book Antiqua" w:cs="Times New Roman"/>
          <w:sz w:val="28"/>
          <w:szCs w:val="28"/>
        </w:rPr>
        <w:t xml:space="preserve">also </w:t>
      </w:r>
      <w:r w:rsidR="00CA63E8" w:rsidRPr="005B1ED4">
        <w:rPr>
          <w:rFonts w:ascii="Book Antiqua" w:hAnsi="Book Antiqua" w:cs="Times New Roman"/>
          <w:sz w:val="28"/>
          <w:szCs w:val="28"/>
        </w:rPr>
        <w:t xml:space="preserve">be </w:t>
      </w:r>
      <w:r w:rsidR="003F6A64" w:rsidRPr="005B1ED4">
        <w:rPr>
          <w:rFonts w:ascii="Book Antiqua" w:hAnsi="Book Antiqua" w:cs="Times New Roman"/>
          <w:sz w:val="28"/>
          <w:szCs w:val="28"/>
        </w:rPr>
        <w:t xml:space="preserve">more aligned </w:t>
      </w:r>
      <w:r w:rsidR="00CA63E8" w:rsidRPr="005B1ED4">
        <w:rPr>
          <w:rFonts w:ascii="Book Antiqua" w:hAnsi="Book Antiqua" w:cs="Times New Roman"/>
          <w:sz w:val="28"/>
          <w:szCs w:val="28"/>
        </w:rPr>
        <w:t>with the Arizona Constitution’s broad</w:t>
      </w:r>
      <w:r w:rsidR="00963050" w:rsidRPr="005B1ED4">
        <w:rPr>
          <w:rFonts w:ascii="Book Antiqua" w:hAnsi="Book Antiqua" w:cs="Times New Roman"/>
          <w:sz w:val="28"/>
          <w:szCs w:val="28"/>
        </w:rPr>
        <w:t xml:space="preserve"> protections for free </w:t>
      </w:r>
      <w:r w:rsidR="00CA63E8" w:rsidRPr="005B1ED4">
        <w:rPr>
          <w:rFonts w:ascii="Book Antiqua" w:hAnsi="Book Antiqua" w:cs="Times New Roman"/>
          <w:sz w:val="28"/>
          <w:szCs w:val="28"/>
        </w:rPr>
        <w:t>speech</w:t>
      </w:r>
      <w:r w:rsidR="00E610A8" w:rsidRPr="005B1ED4">
        <w:rPr>
          <w:rFonts w:ascii="Book Antiqua" w:hAnsi="Book Antiqua" w:cs="Times New Roman"/>
          <w:sz w:val="28"/>
          <w:szCs w:val="28"/>
        </w:rPr>
        <w:t xml:space="preserve"> and association</w:t>
      </w:r>
      <w:r w:rsidR="001C1216" w:rsidRPr="005B1ED4">
        <w:rPr>
          <w:rFonts w:ascii="Book Antiqua" w:hAnsi="Book Antiqua" w:cs="Times New Roman"/>
          <w:i/>
          <w:iCs/>
          <w:sz w:val="28"/>
          <w:szCs w:val="28"/>
        </w:rPr>
        <w:t xml:space="preserve">. </w:t>
      </w:r>
      <w:r w:rsidR="007D4AF3" w:rsidRPr="005B1ED4">
        <w:rPr>
          <w:rFonts w:ascii="Book Antiqua" w:hAnsi="Book Antiqua" w:cs="Times New Roman"/>
          <w:sz w:val="28"/>
          <w:szCs w:val="28"/>
        </w:rPr>
        <w:t>This Court</w:t>
      </w:r>
      <w:r w:rsidR="00A50A39" w:rsidRPr="005B1ED4">
        <w:rPr>
          <w:rFonts w:ascii="Book Antiqua" w:hAnsi="Book Antiqua" w:cs="Times New Roman"/>
          <w:sz w:val="28"/>
          <w:szCs w:val="28"/>
        </w:rPr>
        <w:t xml:space="preserve"> </w:t>
      </w:r>
      <w:r w:rsidR="007D4AF3" w:rsidRPr="005B1ED4">
        <w:rPr>
          <w:rFonts w:ascii="Book Antiqua" w:hAnsi="Book Antiqua" w:cs="Times New Roman"/>
          <w:sz w:val="28"/>
          <w:szCs w:val="28"/>
        </w:rPr>
        <w:t xml:space="preserve">does need </w:t>
      </w:r>
      <w:r w:rsidR="002D24BA" w:rsidRPr="005B1ED4">
        <w:rPr>
          <w:rFonts w:ascii="Book Antiqua" w:hAnsi="Book Antiqua" w:cs="Times New Roman"/>
          <w:sz w:val="28"/>
          <w:szCs w:val="28"/>
        </w:rPr>
        <w:t>not</w:t>
      </w:r>
      <w:r w:rsidR="007D4AF3" w:rsidRPr="005B1ED4">
        <w:rPr>
          <w:rFonts w:ascii="Book Antiqua" w:hAnsi="Book Antiqua" w:cs="Times New Roman"/>
          <w:sz w:val="28"/>
          <w:szCs w:val="28"/>
        </w:rPr>
        <w:t xml:space="preserve"> wait for </w:t>
      </w:r>
      <w:r w:rsidR="007D4AF3" w:rsidRPr="005B1ED4">
        <w:rPr>
          <w:rFonts w:ascii="Book Antiqua" w:hAnsi="Book Antiqua" w:cs="Times New Roman"/>
          <w:i/>
          <w:iCs/>
          <w:sz w:val="28"/>
          <w:szCs w:val="28"/>
        </w:rPr>
        <w:t xml:space="preserve">Keller </w:t>
      </w:r>
      <w:r w:rsidR="007D4AF3" w:rsidRPr="005B1ED4">
        <w:rPr>
          <w:rFonts w:ascii="Book Antiqua" w:hAnsi="Book Antiqua" w:cs="Times New Roman"/>
          <w:sz w:val="28"/>
          <w:szCs w:val="28"/>
        </w:rPr>
        <w:t xml:space="preserve">to be </w:t>
      </w:r>
      <w:r w:rsidR="00441D90" w:rsidRPr="005B1ED4">
        <w:rPr>
          <w:rFonts w:ascii="Book Antiqua" w:hAnsi="Book Antiqua" w:cs="Times New Roman"/>
          <w:sz w:val="28"/>
          <w:szCs w:val="28"/>
        </w:rPr>
        <w:t xml:space="preserve">“explicitly” </w:t>
      </w:r>
      <w:r w:rsidR="007D4AF3" w:rsidRPr="005B1ED4">
        <w:rPr>
          <w:rFonts w:ascii="Book Antiqua" w:hAnsi="Book Antiqua" w:cs="Times New Roman"/>
          <w:sz w:val="28"/>
          <w:szCs w:val="28"/>
        </w:rPr>
        <w:t>overruled before it can adhere to</w:t>
      </w:r>
      <w:r w:rsidR="00C00A05" w:rsidRPr="005B1ED4">
        <w:rPr>
          <w:rFonts w:ascii="Book Antiqua" w:hAnsi="Book Antiqua" w:cs="Times New Roman"/>
          <w:sz w:val="28"/>
          <w:szCs w:val="28"/>
        </w:rPr>
        <w:t xml:space="preserve"> </w:t>
      </w:r>
      <w:r w:rsidR="00C00A05" w:rsidRPr="005B1ED4">
        <w:rPr>
          <w:rFonts w:ascii="Book Antiqua" w:hAnsi="Book Antiqua" w:cs="Times New Roman"/>
          <w:i/>
          <w:iCs/>
          <w:sz w:val="28"/>
          <w:szCs w:val="28"/>
        </w:rPr>
        <w:t>Janus</w:t>
      </w:r>
      <w:r w:rsidR="00347E91" w:rsidRPr="005B1ED4">
        <w:rPr>
          <w:rFonts w:ascii="Book Antiqua" w:hAnsi="Book Antiqua" w:cs="Times New Roman"/>
          <w:sz w:val="28"/>
          <w:szCs w:val="28"/>
        </w:rPr>
        <w:t xml:space="preserve">, as some suggest. </w:t>
      </w:r>
      <w:r w:rsidR="00FE289A" w:rsidRPr="005B1ED4">
        <w:rPr>
          <w:rFonts w:ascii="Book Antiqua" w:hAnsi="Book Antiqua" w:cs="Times New Roman"/>
          <w:sz w:val="28"/>
          <w:szCs w:val="28"/>
        </w:rPr>
        <w:t>In short, t</w:t>
      </w:r>
      <w:r w:rsidR="004D7F12" w:rsidRPr="005B1ED4">
        <w:rPr>
          <w:rFonts w:ascii="Book Antiqua" w:hAnsi="Book Antiqua" w:cs="Times New Roman"/>
          <w:sz w:val="28"/>
          <w:szCs w:val="28"/>
        </w:rPr>
        <w:t xml:space="preserve">here is no constitutional risk under </w:t>
      </w:r>
      <w:r w:rsidR="004D7F12" w:rsidRPr="005B1ED4">
        <w:rPr>
          <w:rFonts w:ascii="Book Antiqua" w:hAnsi="Book Antiqua" w:cs="Times New Roman"/>
          <w:i/>
          <w:iCs/>
          <w:sz w:val="28"/>
          <w:szCs w:val="28"/>
        </w:rPr>
        <w:t xml:space="preserve">Keller </w:t>
      </w:r>
      <w:r w:rsidR="004D7F12" w:rsidRPr="005B1ED4">
        <w:rPr>
          <w:rFonts w:ascii="Book Antiqua" w:hAnsi="Book Antiqua" w:cs="Times New Roman"/>
          <w:sz w:val="28"/>
          <w:szCs w:val="28"/>
        </w:rPr>
        <w:t xml:space="preserve">by </w:t>
      </w:r>
      <w:r w:rsidR="00C47B7B" w:rsidRPr="005B1ED4">
        <w:rPr>
          <w:rFonts w:ascii="Book Antiqua" w:hAnsi="Book Antiqua" w:cs="Times New Roman"/>
          <w:sz w:val="28"/>
          <w:szCs w:val="28"/>
        </w:rPr>
        <w:t>making the bar voluntary</w:t>
      </w:r>
      <w:r w:rsidR="004D7F12" w:rsidRPr="005B1ED4">
        <w:rPr>
          <w:rFonts w:ascii="Book Antiqua" w:hAnsi="Book Antiqua" w:cs="Times New Roman"/>
          <w:sz w:val="28"/>
          <w:szCs w:val="28"/>
        </w:rPr>
        <w:t xml:space="preserve">, </w:t>
      </w:r>
      <w:r w:rsidR="007815EC" w:rsidRPr="005B1ED4">
        <w:rPr>
          <w:rFonts w:ascii="Book Antiqua" w:hAnsi="Book Antiqua" w:cs="Times New Roman"/>
          <w:sz w:val="28"/>
          <w:szCs w:val="28"/>
        </w:rPr>
        <w:t xml:space="preserve">but </w:t>
      </w:r>
      <w:r w:rsidR="004D7F12" w:rsidRPr="005B1ED4">
        <w:rPr>
          <w:rFonts w:ascii="Book Antiqua" w:hAnsi="Book Antiqua" w:cs="Times New Roman"/>
          <w:sz w:val="28"/>
          <w:szCs w:val="28"/>
        </w:rPr>
        <w:t xml:space="preserve">there is </w:t>
      </w:r>
      <w:r w:rsidR="00F96A81" w:rsidRPr="005B1ED4">
        <w:rPr>
          <w:rFonts w:ascii="Book Antiqua" w:hAnsi="Book Antiqua" w:cs="Times New Roman"/>
          <w:sz w:val="28"/>
          <w:szCs w:val="28"/>
        </w:rPr>
        <w:t xml:space="preserve">such </w:t>
      </w:r>
      <w:r w:rsidR="004D7F12" w:rsidRPr="005B1ED4">
        <w:rPr>
          <w:rFonts w:ascii="Book Antiqua" w:hAnsi="Book Antiqua" w:cs="Times New Roman"/>
          <w:sz w:val="28"/>
          <w:szCs w:val="28"/>
        </w:rPr>
        <w:t xml:space="preserve">a </w:t>
      </w:r>
      <w:r w:rsidR="002D24BA" w:rsidRPr="005B1ED4">
        <w:rPr>
          <w:rFonts w:ascii="Book Antiqua" w:hAnsi="Book Antiqua" w:cs="Times New Roman"/>
          <w:sz w:val="28"/>
          <w:szCs w:val="28"/>
        </w:rPr>
        <w:t xml:space="preserve">risk </w:t>
      </w:r>
      <w:r w:rsidR="004D7F12" w:rsidRPr="005B1ED4">
        <w:rPr>
          <w:rFonts w:ascii="Book Antiqua" w:hAnsi="Book Antiqua" w:cs="Times New Roman"/>
          <w:sz w:val="28"/>
          <w:szCs w:val="28"/>
        </w:rPr>
        <w:t xml:space="preserve">under </w:t>
      </w:r>
      <w:r w:rsidR="004D7F12" w:rsidRPr="005B1ED4">
        <w:rPr>
          <w:rFonts w:ascii="Book Antiqua" w:hAnsi="Book Antiqua" w:cs="Times New Roman"/>
          <w:i/>
          <w:iCs/>
          <w:sz w:val="28"/>
          <w:szCs w:val="28"/>
        </w:rPr>
        <w:t xml:space="preserve">Janus </w:t>
      </w:r>
      <w:r w:rsidR="004D7F12" w:rsidRPr="005B1ED4">
        <w:rPr>
          <w:rFonts w:ascii="Book Antiqua" w:hAnsi="Book Antiqua" w:cs="Times New Roman"/>
          <w:sz w:val="28"/>
          <w:szCs w:val="28"/>
        </w:rPr>
        <w:t xml:space="preserve">by </w:t>
      </w:r>
      <w:r w:rsidR="00C47B7B" w:rsidRPr="005B1ED4">
        <w:rPr>
          <w:rFonts w:ascii="Book Antiqua" w:hAnsi="Book Antiqua" w:cs="Times New Roman"/>
          <w:sz w:val="28"/>
          <w:szCs w:val="28"/>
        </w:rPr>
        <w:t>keeping it mandatory</w:t>
      </w:r>
      <w:r w:rsidR="004D7F12" w:rsidRPr="005B1ED4">
        <w:rPr>
          <w:rFonts w:ascii="Book Antiqua" w:hAnsi="Book Antiqua" w:cs="Times New Roman"/>
          <w:sz w:val="28"/>
          <w:szCs w:val="28"/>
        </w:rPr>
        <w:t>.</w:t>
      </w:r>
      <w:r w:rsidR="00CA63E8" w:rsidRPr="005B1ED4">
        <w:rPr>
          <w:rFonts w:ascii="Book Antiqua" w:hAnsi="Book Antiqua" w:cs="Times New Roman"/>
          <w:sz w:val="28"/>
          <w:szCs w:val="28"/>
        </w:rPr>
        <w:t xml:space="preserve"> </w:t>
      </w:r>
    </w:p>
    <w:p w14:paraId="20511928" w14:textId="40EF4FA5" w:rsidR="00A636DD" w:rsidRPr="005B1ED4" w:rsidRDefault="006A329F" w:rsidP="00072670">
      <w:pPr>
        <w:spacing w:after="0" w:line="480" w:lineRule="auto"/>
        <w:ind w:firstLine="720"/>
        <w:jc w:val="both"/>
        <w:rPr>
          <w:rFonts w:ascii="Book Antiqua" w:hAnsi="Book Antiqua" w:cs="Times New Roman"/>
          <w:sz w:val="28"/>
          <w:szCs w:val="28"/>
        </w:rPr>
      </w:pPr>
      <w:r w:rsidRPr="005B1ED4">
        <w:rPr>
          <w:rFonts w:ascii="Book Antiqua" w:hAnsi="Book Antiqua" w:cs="Times New Roman"/>
          <w:b/>
          <w:bCs/>
          <w:i/>
          <w:iCs/>
          <w:sz w:val="28"/>
          <w:szCs w:val="28"/>
        </w:rPr>
        <w:t>Secon</w:t>
      </w:r>
      <w:r w:rsidR="00A636DD" w:rsidRPr="005B1ED4">
        <w:rPr>
          <w:rFonts w:ascii="Book Antiqua" w:hAnsi="Book Antiqua" w:cs="Times New Roman"/>
          <w:b/>
          <w:bCs/>
          <w:i/>
          <w:iCs/>
          <w:sz w:val="28"/>
          <w:szCs w:val="28"/>
        </w:rPr>
        <w:t>d</w:t>
      </w:r>
      <w:r w:rsidR="00A636DD" w:rsidRPr="005B1ED4">
        <w:rPr>
          <w:rFonts w:ascii="Book Antiqua" w:hAnsi="Book Antiqua" w:cs="Times New Roman"/>
          <w:sz w:val="28"/>
          <w:szCs w:val="28"/>
        </w:rPr>
        <w:t xml:space="preserve">, even if </w:t>
      </w:r>
      <w:r w:rsidR="00A636DD" w:rsidRPr="005B1ED4">
        <w:rPr>
          <w:rFonts w:ascii="Book Antiqua" w:hAnsi="Book Antiqua" w:cs="Times New Roman"/>
          <w:i/>
          <w:iCs/>
          <w:sz w:val="28"/>
          <w:szCs w:val="28"/>
        </w:rPr>
        <w:t xml:space="preserve">Keller </w:t>
      </w:r>
      <w:r w:rsidR="00A636DD" w:rsidRPr="005B1ED4">
        <w:rPr>
          <w:rFonts w:ascii="Book Antiqua" w:hAnsi="Book Antiqua" w:cs="Times New Roman"/>
          <w:sz w:val="28"/>
          <w:szCs w:val="28"/>
        </w:rPr>
        <w:t>were “controlling,”</w:t>
      </w:r>
      <w:r w:rsidR="00963050" w:rsidRPr="005B1ED4">
        <w:rPr>
          <w:rFonts w:ascii="Book Antiqua" w:hAnsi="Book Antiqua" w:cs="Times New Roman"/>
          <w:i/>
          <w:iCs/>
          <w:sz w:val="28"/>
          <w:szCs w:val="28"/>
        </w:rPr>
        <w:t xml:space="preserve"> </w:t>
      </w:r>
      <w:r w:rsidR="00C35203" w:rsidRPr="005B1ED4">
        <w:rPr>
          <w:rFonts w:ascii="Book Antiqua" w:hAnsi="Book Antiqua" w:cs="Times New Roman"/>
          <w:sz w:val="28"/>
          <w:szCs w:val="28"/>
        </w:rPr>
        <w:t xml:space="preserve">the </w:t>
      </w:r>
      <w:r w:rsidR="008F057A" w:rsidRPr="005B1ED4">
        <w:rPr>
          <w:rFonts w:ascii="Book Antiqua" w:hAnsi="Book Antiqua" w:cs="Times New Roman"/>
          <w:sz w:val="28"/>
          <w:szCs w:val="28"/>
        </w:rPr>
        <w:t>Petition O</w:t>
      </w:r>
      <w:r w:rsidR="00C35203" w:rsidRPr="005B1ED4">
        <w:rPr>
          <w:rFonts w:ascii="Book Antiqua" w:hAnsi="Book Antiqua" w:cs="Times New Roman"/>
          <w:sz w:val="28"/>
          <w:szCs w:val="28"/>
        </w:rPr>
        <w:t xml:space="preserve">pponents </w:t>
      </w:r>
      <w:r w:rsidR="00333F8B" w:rsidRPr="005B1ED4">
        <w:rPr>
          <w:rFonts w:ascii="Book Antiqua" w:hAnsi="Book Antiqua" w:cs="Times New Roman"/>
          <w:sz w:val="28"/>
          <w:szCs w:val="28"/>
        </w:rPr>
        <w:t>cannot</w:t>
      </w:r>
      <w:r w:rsidR="00A636DD" w:rsidRPr="005B1ED4">
        <w:rPr>
          <w:rFonts w:ascii="Book Antiqua" w:hAnsi="Book Antiqua" w:cs="Times New Roman"/>
          <w:sz w:val="28"/>
          <w:szCs w:val="28"/>
        </w:rPr>
        <w:t xml:space="preserve"> </w:t>
      </w:r>
      <w:r w:rsidR="00C35203" w:rsidRPr="005B1ED4">
        <w:rPr>
          <w:rFonts w:ascii="Book Antiqua" w:hAnsi="Book Antiqua" w:cs="Times New Roman"/>
          <w:sz w:val="28"/>
          <w:szCs w:val="28"/>
        </w:rPr>
        <w:t>deny</w:t>
      </w:r>
      <w:r w:rsidR="00A636DD" w:rsidRPr="005B1ED4">
        <w:rPr>
          <w:rFonts w:ascii="Book Antiqua" w:hAnsi="Book Antiqua" w:cs="Times New Roman"/>
          <w:sz w:val="28"/>
          <w:szCs w:val="28"/>
        </w:rPr>
        <w:t xml:space="preserve"> that the </w:t>
      </w:r>
      <w:r w:rsidR="00F96A81" w:rsidRPr="005B1ED4">
        <w:rPr>
          <w:rFonts w:ascii="Book Antiqua" w:hAnsi="Book Antiqua" w:cs="Times New Roman"/>
          <w:sz w:val="28"/>
          <w:szCs w:val="28"/>
        </w:rPr>
        <w:t xml:space="preserve">Arizona’s mandatory </w:t>
      </w:r>
      <w:r w:rsidR="00A636DD" w:rsidRPr="005B1ED4">
        <w:rPr>
          <w:rFonts w:ascii="Book Antiqua" w:hAnsi="Book Antiqua" w:cs="Times New Roman"/>
          <w:sz w:val="28"/>
          <w:szCs w:val="28"/>
        </w:rPr>
        <w:t xml:space="preserve">Bar violates </w:t>
      </w:r>
      <w:r w:rsidR="00E60367" w:rsidRPr="005B1ED4">
        <w:rPr>
          <w:rFonts w:ascii="Book Antiqua" w:hAnsi="Book Antiqua" w:cs="Times New Roman"/>
          <w:i/>
          <w:iCs/>
          <w:sz w:val="28"/>
          <w:szCs w:val="28"/>
        </w:rPr>
        <w:t>Keller</w:t>
      </w:r>
      <w:r w:rsidR="00E60367" w:rsidRPr="005B1ED4">
        <w:rPr>
          <w:rFonts w:ascii="Book Antiqua" w:hAnsi="Book Antiqua" w:cs="Times New Roman"/>
          <w:sz w:val="28"/>
          <w:szCs w:val="28"/>
        </w:rPr>
        <w:t>’s</w:t>
      </w:r>
      <w:r w:rsidR="00963050" w:rsidRPr="005B1ED4">
        <w:rPr>
          <w:rFonts w:ascii="Book Antiqua" w:hAnsi="Book Antiqua" w:cs="Times New Roman"/>
          <w:sz w:val="28"/>
          <w:szCs w:val="28"/>
        </w:rPr>
        <w:t xml:space="preserve"> </w:t>
      </w:r>
      <w:r w:rsidR="004D7F12" w:rsidRPr="005B1ED4">
        <w:rPr>
          <w:rFonts w:ascii="Book Antiqua" w:hAnsi="Book Antiqua" w:cs="Times New Roman"/>
          <w:sz w:val="28"/>
          <w:szCs w:val="28"/>
        </w:rPr>
        <w:t>limitation</w:t>
      </w:r>
      <w:r w:rsidR="00795BD5" w:rsidRPr="005B1ED4">
        <w:rPr>
          <w:rFonts w:ascii="Book Antiqua" w:hAnsi="Book Antiqua" w:cs="Times New Roman"/>
          <w:sz w:val="28"/>
          <w:szCs w:val="28"/>
        </w:rPr>
        <w:t xml:space="preserve"> </w:t>
      </w:r>
      <w:r w:rsidR="006F4373" w:rsidRPr="005B1ED4">
        <w:rPr>
          <w:rFonts w:ascii="Book Antiqua" w:hAnsi="Book Antiqua" w:cs="Times New Roman"/>
          <w:sz w:val="28"/>
          <w:szCs w:val="28"/>
        </w:rPr>
        <w:t xml:space="preserve">that </w:t>
      </w:r>
      <w:r w:rsidR="00E60367" w:rsidRPr="005B1ED4">
        <w:rPr>
          <w:rFonts w:ascii="Book Antiqua" w:hAnsi="Book Antiqua" w:cs="Times New Roman"/>
          <w:sz w:val="28"/>
          <w:szCs w:val="28"/>
        </w:rPr>
        <w:t>compelled</w:t>
      </w:r>
      <w:r w:rsidR="004D7F12" w:rsidRPr="005B1ED4">
        <w:rPr>
          <w:rFonts w:ascii="Book Antiqua" w:hAnsi="Book Antiqua" w:cs="Times New Roman"/>
          <w:sz w:val="28"/>
          <w:szCs w:val="28"/>
        </w:rPr>
        <w:t xml:space="preserve"> speech be “germane” to </w:t>
      </w:r>
      <w:r w:rsidR="00F96A81" w:rsidRPr="005B1ED4">
        <w:rPr>
          <w:rFonts w:ascii="Book Antiqua" w:hAnsi="Book Antiqua" w:cs="Times New Roman"/>
          <w:sz w:val="28"/>
          <w:szCs w:val="28"/>
        </w:rPr>
        <w:t xml:space="preserve">regulating </w:t>
      </w:r>
      <w:r w:rsidR="004D7F12" w:rsidRPr="005B1ED4">
        <w:rPr>
          <w:rFonts w:ascii="Book Antiqua" w:hAnsi="Book Antiqua" w:cs="Times New Roman"/>
          <w:sz w:val="28"/>
          <w:szCs w:val="28"/>
        </w:rPr>
        <w:t xml:space="preserve">the </w:t>
      </w:r>
      <w:r w:rsidR="00E60367" w:rsidRPr="005B1ED4">
        <w:rPr>
          <w:rFonts w:ascii="Book Antiqua" w:hAnsi="Book Antiqua" w:cs="Times New Roman"/>
          <w:sz w:val="28"/>
          <w:szCs w:val="28"/>
        </w:rPr>
        <w:t xml:space="preserve">practice of law. Putting aside that </w:t>
      </w:r>
      <w:r w:rsidR="00F96A81" w:rsidRPr="005B1ED4">
        <w:rPr>
          <w:rFonts w:ascii="Book Antiqua" w:hAnsi="Book Antiqua" w:cs="Times New Roman"/>
          <w:sz w:val="28"/>
          <w:szCs w:val="28"/>
        </w:rPr>
        <w:t xml:space="preserve">fact that </w:t>
      </w:r>
      <w:r w:rsidR="00E60367" w:rsidRPr="005B1ED4">
        <w:rPr>
          <w:rFonts w:ascii="Book Antiqua" w:hAnsi="Book Antiqua" w:cs="Times New Roman"/>
          <w:sz w:val="28"/>
          <w:szCs w:val="28"/>
        </w:rPr>
        <w:t>t</w:t>
      </w:r>
      <w:r w:rsidR="00795BD5" w:rsidRPr="005B1ED4">
        <w:rPr>
          <w:rFonts w:ascii="Book Antiqua" w:hAnsi="Book Antiqua" w:cs="Times New Roman"/>
          <w:sz w:val="28"/>
          <w:szCs w:val="28"/>
        </w:rPr>
        <w:t>he germaneness</w:t>
      </w:r>
      <w:r w:rsidR="00E60367" w:rsidRPr="005B1ED4">
        <w:rPr>
          <w:rFonts w:ascii="Book Antiqua" w:hAnsi="Book Antiqua" w:cs="Times New Roman"/>
          <w:sz w:val="28"/>
          <w:szCs w:val="28"/>
        </w:rPr>
        <w:t xml:space="preserve"> standard is unworkable—</w:t>
      </w:r>
      <w:r w:rsidR="00D44A92" w:rsidRPr="005B1ED4">
        <w:rPr>
          <w:rFonts w:ascii="Book Antiqua" w:hAnsi="Book Antiqua" w:cs="Times New Roman"/>
          <w:sz w:val="28"/>
          <w:szCs w:val="28"/>
        </w:rPr>
        <w:t xml:space="preserve">further </w:t>
      </w:r>
      <w:r w:rsidR="00774A6C" w:rsidRPr="005B1ED4">
        <w:rPr>
          <w:rFonts w:ascii="Book Antiqua" w:hAnsi="Book Antiqua" w:cs="Times New Roman"/>
          <w:sz w:val="28"/>
          <w:szCs w:val="28"/>
        </w:rPr>
        <w:t>weighing</w:t>
      </w:r>
      <w:r w:rsidR="00E60367" w:rsidRPr="005B1ED4">
        <w:rPr>
          <w:rFonts w:ascii="Book Antiqua" w:hAnsi="Book Antiqua" w:cs="Times New Roman"/>
          <w:sz w:val="28"/>
          <w:szCs w:val="28"/>
        </w:rPr>
        <w:t xml:space="preserve"> in favor of</w:t>
      </w:r>
      <w:r w:rsidR="008907D5" w:rsidRPr="005B1ED4">
        <w:rPr>
          <w:rFonts w:ascii="Book Antiqua" w:hAnsi="Book Antiqua" w:cs="Times New Roman"/>
          <w:sz w:val="28"/>
          <w:szCs w:val="28"/>
        </w:rPr>
        <w:t xml:space="preserve"> following</w:t>
      </w:r>
      <w:r w:rsidR="00E60367" w:rsidRPr="005B1ED4">
        <w:rPr>
          <w:rFonts w:ascii="Book Antiqua" w:hAnsi="Book Antiqua" w:cs="Times New Roman"/>
          <w:sz w:val="28"/>
          <w:szCs w:val="28"/>
        </w:rPr>
        <w:t xml:space="preserve"> </w:t>
      </w:r>
      <w:r w:rsidR="00E60367" w:rsidRPr="005B1ED4">
        <w:rPr>
          <w:rFonts w:ascii="Book Antiqua" w:hAnsi="Book Antiqua" w:cs="Times New Roman"/>
          <w:i/>
          <w:iCs/>
          <w:sz w:val="28"/>
          <w:szCs w:val="28"/>
        </w:rPr>
        <w:t>Janus—</w:t>
      </w:r>
      <w:r w:rsidR="00E60367" w:rsidRPr="005B1ED4">
        <w:rPr>
          <w:rFonts w:ascii="Book Antiqua" w:hAnsi="Book Antiqua" w:cs="Times New Roman"/>
          <w:sz w:val="28"/>
          <w:szCs w:val="28"/>
        </w:rPr>
        <w:t xml:space="preserve">the Bar </w:t>
      </w:r>
      <w:r w:rsidR="008F057A" w:rsidRPr="005B1ED4">
        <w:rPr>
          <w:rFonts w:ascii="Book Antiqua" w:hAnsi="Book Antiqua" w:cs="Times New Roman"/>
          <w:sz w:val="28"/>
          <w:szCs w:val="28"/>
        </w:rPr>
        <w:t>at times</w:t>
      </w:r>
      <w:r w:rsidR="00963050" w:rsidRPr="005B1ED4">
        <w:rPr>
          <w:rFonts w:ascii="Book Antiqua" w:hAnsi="Book Antiqua" w:cs="Times New Roman"/>
          <w:sz w:val="28"/>
          <w:szCs w:val="28"/>
        </w:rPr>
        <w:t xml:space="preserve"> crosses that </w:t>
      </w:r>
      <w:r w:rsidR="00D44A92" w:rsidRPr="005B1ED4">
        <w:rPr>
          <w:rFonts w:ascii="Book Antiqua" w:hAnsi="Book Antiqua" w:cs="Times New Roman"/>
          <w:sz w:val="28"/>
          <w:szCs w:val="28"/>
        </w:rPr>
        <w:t>line</w:t>
      </w:r>
      <w:r w:rsidR="00E60367" w:rsidRPr="005B1ED4">
        <w:rPr>
          <w:rFonts w:ascii="Book Antiqua" w:hAnsi="Book Antiqua" w:cs="Times New Roman"/>
          <w:sz w:val="28"/>
          <w:szCs w:val="28"/>
        </w:rPr>
        <w:t xml:space="preserve"> with </w:t>
      </w:r>
      <w:r w:rsidR="002D24BA" w:rsidRPr="005B1ED4">
        <w:rPr>
          <w:rFonts w:ascii="Book Antiqua" w:hAnsi="Book Antiqua" w:cs="Times New Roman"/>
          <w:sz w:val="28"/>
          <w:szCs w:val="28"/>
        </w:rPr>
        <w:t>its training</w:t>
      </w:r>
      <w:r w:rsidR="008F057A" w:rsidRPr="005B1ED4">
        <w:rPr>
          <w:rFonts w:ascii="Book Antiqua" w:hAnsi="Book Antiqua" w:cs="Times New Roman"/>
          <w:sz w:val="28"/>
          <w:szCs w:val="28"/>
        </w:rPr>
        <w:t>s</w:t>
      </w:r>
      <w:r w:rsidR="002D24BA" w:rsidRPr="005B1ED4">
        <w:rPr>
          <w:rFonts w:ascii="Book Antiqua" w:hAnsi="Book Antiqua" w:cs="Times New Roman"/>
          <w:sz w:val="28"/>
          <w:szCs w:val="28"/>
        </w:rPr>
        <w:t xml:space="preserve"> on gender and sexuality, DEI task forces, and lobbying </w:t>
      </w:r>
      <w:r w:rsidR="002D24BA" w:rsidRPr="005B1ED4">
        <w:rPr>
          <w:rFonts w:ascii="Book Antiqua" w:hAnsi="Book Antiqua" w:cs="Times New Roman"/>
          <w:sz w:val="28"/>
          <w:szCs w:val="28"/>
        </w:rPr>
        <w:lastRenderedPageBreak/>
        <w:t>activities</w:t>
      </w:r>
      <w:r w:rsidR="00E60367" w:rsidRPr="005B1ED4">
        <w:rPr>
          <w:rFonts w:ascii="Book Antiqua" w:hAnsi="Book Antiqua" w:cs="Times New Roman"/>
          <w:sz w:val="28"/>
          <w:szCs w:val="28"/>
        </w:rPr>
        <w:t>.</w:t>
      </w:r>
      <w:r w:rsidR="00113EED" w:rsidRPr="005B1ED4">
        <w:rPr>
          <w:rFonts w:ascii="Book Antiqua" w:hAnsi="Book Antiqua" w:cs="Times New Roman"/>
          <w:sz w:val="28"/>
          <w:szCs w:val="28"/>
        </w:rPr>
        <w:t xml:space="preserve"> </w:t>
      </w:r>
      <w:r w:rsidR="00963050" w:rsidRPr="005B1ED4">
        <w:rPr>
          <w:rFonts w:ascii="Book Antiqua" w:hAnsi="Book Antiqua" w:cs="Times New Roman"/>
          <w:sz w:val="28"/>
          <w:szCs w:val="28"/>
        </w:rPr>
        <w:t xml:space="preserve">None of the </w:t>
      </w:r>
      <w:r w:rsidR="008F057A" w:rsidRPr="005B1ED4">
        <w:rPr>
          <w:rFonts w:ascii="Book Antiqua" w:hAnsi="Book Antiqua" w:cs="Times New Roman"/>
          <w:sz w:val="28"/>
          <w:szCs w:val="28"/>
        </w:rPr>
        <w:t>Petition Opponents</w:t>
      </w:r>
      <w:r w:rsidR="00963050" w:rsidRPr="005B1ED4">
        <w:rPr>
          <w:rFonts w:ascii="Book Antiqua" w:hAnsi="Book Antiqua" w:cs="Times New Roman"/>
          <w:sz w:val="28"/>
          <w:szCs w:val="28"/>
        </w:rPr>
        <w:t xml:space="preserve"> </w:t>
      </w:r>
      <w:r w:rsidR="007B0859" w:rsidRPr="005B1ED4">
        <w:rPr>
          <w:rFonts w:ascii="Book Antiqua" w:hAnsi="Book Antiqua" w:cs="Times New Roman"/>
          <w:sz w:val="28"/>
          <w:szCs w:val="28"/>
        </w:rPr>
        <w:t>try</w:t>
      </w:r>
      <w:r w:rsidR="00963050" w:rsidRPr="005B1ED4">
        <w:rPr>
          <w:rFonts w:ascii="Book Antiqua" w:hAnsi="Book Antiqua" w:cs="Times New Roman"/>
          <w:sz w:val="28"/>
          <w:szCs w:val="28"/>
        </w:rPr>
        <w:t xml:space="preserve"> to justify the</w:t>
      </w:r>
      <w:r w:rsidR="00774A6C" w:rsidRPr="005B1ED4">
        <w:rPr>
          <w:rFonts w:ascii="Book Antiqua" w:hAnsi="Book Antiqua" w:cs="Times New Roman"/>
          <w:sz w:val="28"/>
          <w:szCs w:val="28"/>
        </w:rPr>
        <w:t xml:space="preserve"> Bar’s </w:t>
      </w:r>
      <w:r w:rsidR="00F96A81" w:rsidRPr="005B1ED4">
        <w:rPr>
          <w:rFonts w:ascii="Book Antiqua" w:hAnsi="Book Antiqua" w:cs="Times New Roman"/>
          <w:sz w:val="28"/>
          <w:szCs w:val="28"/>
        </w:rPr>
        <w:t xml:space="preserve">support and </w:t>
      </w:r>
      <w:proofErr w:type="gramStart"/>
      <w:r w:rsidR="00F96A81" w:rsidRPr="005B1ED4">
        <w:rPr>
          <w:rFonts w:ascii="Book Antiqua" w:hAnsi="Book Antiqua" w:cs="Times New Roman"/>
          <w:sz w:val="28"/>
          <w:szCs w:val="28"/>
        </w:rPr>
        <w:t>trainings</w:t>
      </w:r>
      <w:proofErr w:type="gramEnd"/>
      <w:r w:rsidR="00F96A81" w:rsidRPr="005B1ED4">
        <w:rPr>
          <w:rFonts w:ascii="Book Antiqua" w:hAnsi="Book Antiqua" w:cs="Times New Roman"/>
          <w:sz w:val="28"/>
          <w:szCs w:val="28"/>
        </w:rPr>
        <w:t xml:space="preserve"> on these political and ideological issues</w:t>
      </w:r>
      <w:r w:rsidR="00774A6C" w:rsidRPr="005B1ED4">
        <w:rPr>
          <w:rFonts w:ascii="Book Antiqua" w:hAnsi="Book Antiqua" w:cs="Times New Roman"/>
          <w:sz w:val="28"/>
          <w:szCs w:val="28"/>
        </w:rPr>
        <w:t xml:space="preserve">. Nor do they successfully argue that an opt-out </w:t>
      </w:r>
      <w:r w:rsidR="007B0859" w:rsidRPr="005B1ED4">
        <w:rPr>
          <w:rFonts w:ascii="Book Antiqua" w:hAnsi="Book Antiqua" w:cs="Times New Roman"/>
          <w:sz w:val="28"/>
          <w:szCs w:val="28"/>
        </w:rPr>
        <w:t>system</w:t>
      </w:r>
      <w:r w:rsidR="00774A6C" w:rsidRPr="005B1ED4">
        <w:rPr>
          <w:rFonts w:ascii="Book Antiqua" w:hAnsi="Book Antiqua" w:cs="Times New Roman"/>
          <w:sz w:val="28"/>
          <w:szCs w:val="28"/>
        </w:rPr>
        <w:t xml:space="preserve"> </w:t>
      </w:r>
      <w:r w:rsidR="00D44A92" w:rsidRPr="005B1ED4">
        <w:rPr>
          <w:rFonts w:ascii="Book Antiqua" w:hAnsi="Book Antiqua" w:cs="Times New Roman"/>
          <w:sz w:val="28"/>
          <w:szCs w:val="28"/>
        </w:rPr>
        <w:t>protects against</w:t>
      </w:r>
      <w:r w:rsidR="00774A6C" w:rsidRPr="005B1ED4">
        <w:rPr>
          <w:rFonts w:ascii="Book Antiqua" w:hAnsi="Book Antiqua" w:cs="Times New Roman"/>
          <w:sz w:val="28"/>
          <w:szCs w:val="28"/>
        </w:rPr>
        <w:t xml:space="preserve"> unlawfully compelled speech. </w:t>
      </w:r>
      <w:r w:rsidR="00085696" w:rsidRPr="005B1ED4">
        <w:rPr>
          <w:rFonts w:ascii="Book Antiqua" w:hAnsi="Book Antiqua" w:cs="Times New Roman"/>
          <w:sz w:val="28"/>
          <w:szCs w:val="28"/>
        </w:rPr>
        <w:t xml:space="preserve">Opting out is burdensome, confusing, time-limited, not guaranteed, and lawyers are loath to </w:t>
      </w:r>
      <w:r w:rsidR="00D44A92" w:rsidRPr="005B1ED4">
        <w:rPr>
          <w:rFonts w:ascii="Book Antiqua" w:hAnsi="Book Antiqua" w:cs="Times New Roman"/>
          <w:sz w:val="28"/>
          <w:szCs w:val="28"/>
        </w:rPr>
        <w:t>anger</w:t>
      </w:r>
      <w:r w:rsidR="00085696" w:rsidRPr="005B1ED4">
        <w:rPr>
          <w:rFonts w:ascii="Book Antiqua" w:hAnsi="Book Antiqua" w:cs="Times New Roman"/>
          <w:sz w:val="28"/>
          <w:szCs w:val="28"/>
        </w:rPr>
        <w:t xml:space="preserve"> their </w:t>
      </w:r>
      <w:r w:rsidR="007B0859" w:rsidRPr="005B1ED4">
        <w:rPr>
          <w:rFonts w:ascii="Book Antiqua" w:hAnsi="Book Antiqua" w:cs="Times New Roman"/>
          <w:sz w:val="28"/>
          <w:szCs w:val="28"/>
        </w:rPr>
        <w:t xml:space="preserve">regulators, </w:t>
      </w:r>
      <w:r w:rsidR="00085696" w:rsidRPr="005B1ED4">
        <w:rPr>
          <w:rFonts w:ascii="Book Antiqua" w:hAnsi="Book Antiqua" w:cs="Times New Roman"/>
          <w:sz w:val="28"/>
          <w:szCs w:val="28"/>
        </w:rPr>
        <w:t>all o</w:t>
      </w:r>
      <w:r w:rsidR="0042426C" w:rsidRPr="005B1ED4">
        <w:rPr>
          <w:rFonts w:ascii="Book Antiqua" w:hAnsi="Book Antiqua" w:cs="Times New Roman"/>
          <w:sz w:val="28"/>
          <w:szCs w:val="28"/>
        </w:rPr>
        <w:t xml:space="preserve">f which makes a </w:t>
      </w:r>
      <w:r w:rsidR="00D44A92" w:rsidRPr="005B1ED4">
        <w:rPr>
          <w:rFonts w:ascii="Book Antiqua" w:hAnsi="Book Antiqua" w:cs="Times New Roman"/>
          <w:sz w:val="28"/>
          <w:szCs w:val="28"/>
        </w:rPr>
        <w:t>successful</w:t>
      </w:r>
      <w:r w:rsidR="0042426C" w:rsidRPr="005B1ED4">
        <w:rPr>
          <w:rFonts w:ascii="Book Antiqua" w:hAnsi="Book Antiqua" w:cs="Times New Roman"/>
          <w:sz w:val="28"/>
          <w:szCs w:val="28"/>
        </w:rPr>
        <w:t xml:space="preserve"> opt-out</w:t>
      </w:r>
      <w:r w:rsidR="00D44A92" w:rsidRPr="005B1ED4">
        <w:rPr>
          <w:rFonts w:ascii="Book Antiqua" w:hAnsi="Book Antiqua" w:cs="Times New Roman"/>
          <w:sz w:val="28"/>
          <w:szCs w:val="28"/>
        </w:rPr>
        <w:t xml:space="preserve"> program</w:t>
      </w:r>
      <w:r w:rsidR="0042426C" w:rsidRPr="005B1ED4">
        <w:rPr>
          <w:rFonts w:ascii="Book Antiqua" w:hAnsi="Book Antiqua" w:cs="Times New Roman"/>
          <w:sz w:val="28"/>
          <w:szCs w:val="28"/>
        </w:rPr>
        <w:t xml:space="preserve"> unrealistic. </w:t>
      </w:r>
      <w:r w:rsidR="00D44A92" w:rsidRPr="005B1ED4">
        <w:rPr>
          <w:rFonts w:ascii="Book Antiqua" w:hAnsi="Book Antiqua" w:cs="Times New Roman"/>
          <w:sz w:val="28"/>
          <w:szCs w:val="28"/>
        </w:rPr>
        <w:t xml:space="preserve">That is why </w:t>
      </w:r>
      <w:r w:rsidR="00D44A92" w:rsidRPr="005B1ED4">
        <w:rPr>
          <w:rFonts w:ascii="Book Antiqua" w:hAnsi="Book Antiqua" w:cs="Times New Roman"/>
          <w:i/>
          <w:iCs/>
          <w:sz w:val="28"/>
          <w:szCs w:val="28"/>
        </w:rPr>
        <w:t xml:space="preserve">Janus </w:t>
      </w:r>
      <w:r w:rsidR="00D44A92" w:rsidRPr="005B1ED4">
        <w:rPr>
          <w:rFonts w:ascii="Book Antiqua" w:hAnsi="Book Antiqua" w:cs="Times New Roman"/>
          <w:sz w:val="28"/>
          <w:szCs w:val="28"/>
        </w:rPr>
        <w:t>require</w:t>
      </w:r>
      <w:r w:rsidR="0090651F" w:rsidRPr="005B1ED4">
        <w:rPr>
          <w:rFonts w:ascii="Book Antiqua" w:hAnsi="Book Antiqua" w:cs="Times New Roman"/>
          <w:sz w:val="28"/>
          <w:szCs w:val="28"/>
        </w:rPr>
        <w:t xml:space="preserve">s </w:t>
      </w:r>
      <w:r w:rsidR="00600186" w:rsidRPr="005B1ED4">
        <w:rPr>
          <w:rFonts w:ascii="Book Antiqua" w:hAnsi="Book Antiqua" w:cs="Times New Roman"/>
          <w:sz w:val="28"/>
          <w:szCs w:val="28"/>
        </w:rPr>
        <w:t>an</w:t>
      </w:r>
      <w:r w:rsidR="00D44A92" w:rsidRPr="005B1ED4">
        <w:rPr>
          <w:rFonts w:ascii="Book Antiqua" w:hAnsi="Book Antiqua" w:cs="Times New Roman"/>
          <w:sz w:val="28"/>
          <w:szCs w:val="28"/>
        </w:rPr>
        <w:t xml:space="preserve"> </w:t>
      </w:r>
      <w:r w:rsidR="00D44A92" w:rsidRPr="005B1ED4">
        <w:rPr>
          <w:rFonts w:ascii="Book Antiqua" w:hAnsi="Book Antiqua" w:cs="Times New Roman"/>
          <w:i/>
          <w:iCs/>
          <w:sz w:val="28"/>
          <w:szCs w:val="28"/>
        </w:rPr>
        <w:t>opt-in</w:t>
      </w:r>
      <w:r w:rsidR="00D44A92" w:rsidRPr="005B1ED4">
        <w:rPr>
          <w:rFonts w:ascii="Book Antiqua" w:hAnsi="Book Antiqua" w:cs="Times New Roman"/>
          <w:sz w:val="28"/>
          <w:szCs w:val="28"/>
        </w:rPr>
        <w:t>—the presumption should</w:t>
      </w:r>
      <w:r w:rsidR="0067759D" w:rsidRPr="005B1ED4">
        <w:rPr>
          <w:rFonts w:ascii="Book Antiqua" w:hAnsi="Book Antiqua" w:cs="Times New Roman"/>
          <w:sz w:val="28"/>
          <w:szCs w:val="28"/>
        </w:rPr>
        <w:t xml:space="preserve"> </w:t>
      </w:r>
      <w:r w:rsidR="00D44A92" w:rsidRPr="005B1ED4">
        <w:rPr>
          <w:rFonts w:ascii="Book Antiqua" w:hAnsi="Book Antiqua" w:cs="Times New Roman"/>
          <w:sz w:val="28"/>
          <w:szCs w:val="28"/>
        </w:rPr>
        <w:t xml:space="preserve">be </w:t>
      </w:r>
      <w:r w:rsidR="00D44A92" w:rsidRPr="005B1ED4">
        <w:rPr>
          <w:rFonts w:ascii="Book Antiqua" w:hAnsi="Book Antiqua" w:cs="Times New Roman"/>
          <w:i/>
          <w:iCs/>
          <w:sz w:val="28"/>
          <w:szCs w:val="28"/>
        </w:rPr>
        <w:t>against</w:t>
      </w:r>
      <w:r w:rsidR="00D44A92" w:rsidRPr="005B1ED4">
        <w:rPr>
          <w:rFonts w:ascii="Book Antiqua" w:hAnsi="Book Antiqua" w:cs="Times New Roman"/>
          <w:sz w:val="28"/>
          <w:szCs w:val="28"/>
        </w:rPr>
        <w:t xml:space="preserve"> compelled speech, not tilted in its favor.</w:t>
      </w:r>
    </w:p>
    <w:p w14:paraId="0710D459" w14:textId="79C6419C" w:rsidR="001C3D8F" w:rsidRPr="005B1ED4" w:rsidRDefault="00A636DD" w:rsidP="00213754">
      <w:pPr>
        <w:spacing w:after="0" w:line="480" w:lineRule="auto"/>
        <w:ind w:firstLine="720"/>
        <w:jc w:val="both"/>
        <w:rPr>
          <w:rFonts w:ascii="Book Antiqua" w:hAnsi="Book Antiqua" w:cs="Times New Roman"/>
          <w:sz w:val="28"/>
          <w:szCs w:val="28"/>
        </w:rPr>
      </w:pPr>
      <w:r w:rsidRPr="005B1ED4">
        <w:rPr>
          <w:rFonts w:ascii="Book Antiqua" w:hAnsi="Book Antiqua" w:cs="Times New Roman"/>
          <w:b/>
          <w:bCs/>
          <w:i/>
          <w:iCs/>
          <w:sz w:val="28"/>
          <w:szCs w:val="28"/>
        </w:rPr>
        <w:t>Third</w:t>
      </w:r>
      <w:r w:rsidRPr="005B1ED4">
        <w:rPr>
          <w:rFonts w:ascii="Book Antiqua" w:hAnsi="Book Antiqua" w:cs="Times New Roman"/>
          <w:sz w:val="28"/>
          <w:szCs w:val="28"/>
        </w:rPr>
        <w:t xml:space="preserve">, </w:t>
      </w:r>
      <w:r w:rsidR="00E33A83" w:rsidRPr="005B1ED4">
        <w:rPr>
          <w:rFonts w:ascii="Book Antiqua" w:hAnsi="Book Antiqua" w:cs="Times New Roman"/>
          <w:sz w:val="28"/>
          <w:szCs w:val="28"/>
        </w:rPr>
        <w:t xml:space="preserve">the </w:t>
      </w:r>
      <w:r w:rsidR="00782D94" w:rsidRPr="005B1ED4">
        <w:rPr>
          <w:rFonts w:ascii="Book Antiqua" w:hAnsi="Book Antiqua" w:cs="Times New Roman"/>
          <w:sz w:val="28"/>
          <w:szCs w:val="28"/>
        </w:rPr>
        <w:t>Petition O</w:t>
      </w:r>
      <w:r w:rsidR="00415132" w:rsidRPr="005B1ED4">
        <w:rPr>
          <w:rFonts w:ascii="Book Antiqua" w:hAnsi="Book Antiqua" w:cs="Times New Roman"/>
          <w:sz w:val="28"/>
          <w:szCs w:val="28"/>
        </w:rPr>
        <w:t xml:space="preserve">pponents </w:t>
      </w:r>
      <w:r w:rsidR="000B48E4" w:rsidRPr="005B1ED4">
        <w:rPr>
          <w:rFonts w:ascii="Book Antiqua" w:hAnsi="Book Antiqua" w:cs="Times New Roman"/>
          <w:sz w:val="28"/>
          <w:szCs w:val="28"/>
        </w:rPr>
        <w:t>try but fail to</w:t>
      </w:r>
      <w:r w:rsidR="00415132" w:rsidRPr="005B1ED4">
        <w:rPr>
          <w:rFonts w:ascii="Book Antiqua" w:hAnsi="Book Antiqua" w:cs="Times New Roman"/>
          <w:sz w:val="28"/>
          <w:szCs w:val="28"/>
        </w:rPr>
        <w:t xml:space="preserve"> </w:t>
      </w:r>
      <w:r w:rsidR="008B2B54" w:rsidRPr="005B1ED4">
        <w:rPr>
          <w:rFonts w:ascii="Book Antiqua" w:hAnsi="Book Antiqua" w:cs="Times New Roman"/>
          <w:sz w:val="28"/>
          <w:szCs w:val="28"/>
        </w:rPr>
        <w:t>show</w:t>
      </w:r>
      <w:r w:rsidR="00415132" w:rsidRPr="005B1ED4">
        <w:rPr>
          <w:rFonts w:ascii="Book Antiqua" w:hAnsi="Book Antiqua" w:cs="Times New Roman"/>
          <w:sz w:val="28"/>
          <w:szCs w:val="28"/>
        </w:rPr>
        <w:t xml:space="preserve"> that a voluntary bar would be worse for </w:t>
      </w:r>
      <w:r w:rsidR="00DD7443" w:rsidRPr="005B1ED4">
        <w:rPr>
          <w:rFonts w:ascii="Book Antiqua" w:hAnsi="Book Antiqua" w:cs="Times New Roman"/>
          <w:sz w:val="28"/>
          <w:szCs w:val="28"/>
        </w:rPr>
        <w:t>Arizona</w:t>
      </w:r>
      <w:r w:rsidR="00415132" w:rsidRPr="005B1ED4">
        <w:rPr>
          <w:rFonts w:ascii="Book Antiqua" w:hAnsi="Book Antiqua" w:cs="Times New Roman"/>
          <w:sz w:val="28"/>
          <w:szCs w:val="28"/>
        </w:rPr>
        <w:t xml:space="preserve"> and its lawyers. Beyond platitudes and vague </w:t>
      </w:r>
      <w:r w:rsidR="00E33A83" w:rsidRPr="005B1ED4">
        <w:rPr>
          <w:rFonts w:ascii="Book Antiqua" w:hAnsi="Book Antiqua" w:cs="Times New Roman"/>
          <w:sz w:val="28"/>
          <w:szCs w:val="28"/>
        </w:rPr>
        <w:t>phrases</w:t>
      </w:r>
      <w:r w:rsidR="00DD7443" w:rsidRPr="005B1ED4">
        <w:rPr>
          <w:rFonts w:ascii="Book Antiqua" w:hAnsi="Book Antiqua" w:cs="Times New Roman"/>
          <w:sz w:val="28"/>
          <w:szCs w:val="28"/>
        </w:rPr>
        <w:t>, like</w:t>
      </w:r>
      <w:r w:rsidR="00415132" w:rsidRPr="005B1ED4">
        <w:rPr>
          <w:rFonts w:ascii="Book Antiqua" w:hAnsi="Book Antiqua" w:cs="Times New Roman"/>
          <w:sz w:val="28"/>
          <w:szCs w:val="28"/>
        </w:rPr>
        <w:t xml:space="preserve"> “access to justice,” the </w:t>
      </w:r>
      <w:r w:rsidR="00F96A81" w:rsidRPr="005B1ED4">
        <w:rPr>
          <w:rFonts w:ascii="Book Antiqua" w:hAnsi="Book Antiqua" w:cs="Times New Roman"/>
          <w:sz w:val="28"/>
          <w:szCs w:val="28"/>
        </w:rPr>
        <w:t>Petition O</w:t>
      </w:r>
      <w:r w:rsidR="00415132" w:rsidRPr="005B1ED4">
        <w:rPr>
          <w:rFonts w:ascii="Book Antiqua" w:hAnsi="Book Antiqua" w:cs="Times New Roman"/>
          <w:sz w:val="28"/>
          <w:szCs w:val="28"/>
        </w:rPr>
        <w:t xml:space="preserve">pponents do not rely on empirical evidence or </w:t>
      </w:r>
      <w:r w:rsidR="00157D56" w:rsidRPr="005B1ED4">
        <w:rPr>
          <w:rFonts w:ascii="Book Antiqua" w:hAnsi="Book Antiqua" w:cs="Times New Roman"/>
          <w:sz w:val="28"/>
          <w:szCs w:val="28"/>
        </w:rPr>
        <w:t>scholarship</w:t>
      </w:r>
      <w:r w:rsidR="00415132" w:rsidRPr="005B1ED4">
        <w:rPr>
          <w:rFonts w:ascii="Book Antiqua" w:hAnsi="Book Antiqua" w:cs="Times New Roman"/>
          <w:sz w:val="28"/>
          <w:szCs w:val="28"/>
        </w:rPr>
        <w:t xml:space="preserve">. </w:t>
      </w:r>
      <w:r w:rsidR="00E33A83" w:rsidRPr="005B1ED4">
        <w:rPr>
          <w:rFonts w:ascii="Book Antiqua" w:hAnsi="Book Antiqua" w:cs="Times New Roman"/>
          <w:sz w:val="28"/>
          <w:szCs w:val="28"/>
        </w:rPr>
        <w:t xml:space="preserve">And, fundamentally, they cannot explain why </w:t>
      </w:r>
      <w:r w:rsidR="00DD7443" w:rsidRPr="005B1ED4">
        <w:rPr>
          <w:rFonts w:ascii="Book Antiqua" w:hAnsi="Book Antiqua" w:cs="Times New Roman"/>
          <w:sz w:val="28"/>
          <w:szCs w:val="28"/>
        </w:rPr>
        <w:t>their</w:t>
      </w:r>
      <w:r w:rsidR="00E33A83" w:rsidRPr="005B1ED4">
        <w:rPr>
          <w:rFonts w:ascii="Book Antiqua" w:hAnsi="Book Antiqua" w:cs="Times New Roman"/>
          <w:sz w:val="28"/>
          <w:szCs w:val="28"/>
        </w:rPr>
        <w:t xml:space="preserve"> laudable—albeit vague—goals cannot be equally or better accomplished through voluntary association. </w:t>
      </w:r>
      <w:r w:rsidR="00DD7443" w:rsidRPr="005B1ED4">
        <w:rPr>
          <w:rFonts w:ascii="Book Antiqua" w:hAnsi="Book Antiqua" w:cs="Times New Roman"/>
          <w:sz w:val="28"/>
          <w:szCs w:val="28"/>
        </w:rPr>
        <w:t xml:space="preserve">By contrast, the </w:t>
      </w:r>
      <w:r w:rsidR="00F96A81" w:rsidRPr="005B1ED4">
        <w:rPr>
          <w:rFonts w:ascii="Book Antiqua" w:hAnsi="Book Antiqua" w:cs="Times New Roman"/>
          <w:sz w:val="28"/>
          <w:szCs w:val="28"/>
        </w:rPr>
        <w:t>Petition Opponents</w:t>
      </w:r>
      <w:r w:rsidR="00DD7443" w:rsidRPr="005B1ED4">
        <w:rPr>
          <w:rFonts w:ascii="Book Antiqua" w:hAnsi="Book Antiqua" w:cs="Times New Roman"/>
          <w:sz w:val="28"/>
          <w:szCs w:val="28"/>
        </w:rPr>
        <w:t xml:space="preserve"> do not dispute </w:t>
      </w:r>
      <w:proofErr w:type="gramStart"/>
      <w:r w:rsidR="00157D56" w:rsidRPr="005B1ED4">
        <w:rPr>
          <w:rFonts w:ascii="Book Antiqua" w:hAnsi="Book Antiqua" w:cs="Times New Roman"/>
          <w:sz w:val="28"/>
          <w:szCs w:val="28"/>
        </w:rPr>
        <w:t>that compelling lawyers</w:t>
      </w:r>
      <w:proofErr w:type="gramEnd"/>
      <w:r w:rsidR="00157D56" w:rsidRPr="005B1ED4">
        <w:rPr>
          <w:rFonts w:ascii="Book Antiqua" w:hAnsi="Book Antiqua" w:cs="Times New Roman"/>
          <w:sz w:val="28"/>
          <w:szCs w:val="28"/>
        </w:rPr>
        <w:t xml:space="preserve"> to pay Bar fees to support certain political and ideological speech is unconstitutional</w:t>
      </w:r>
      <w:r w:rsidR="008B2B54" w:rsidRPr="005B1ED4">
        <w:rPr>
          <w:rFonts w:ascii="Book Antiqua" w:hAnsi="Book Antiqua" w:cs="Times New Roman"/>
          <w:sz w:val="28"/>
          <w:szCs w:val="28"/>
        </w:rPr>
        <w:t xml:space="preserve">. </w:t>
      </w:r>
    </w:p>
    <w:p w14:paraId="7264BDE8" w14:textId="3EF9E2CC" w:rsidR="00516B1D" w:rsidRPr="005B1ED4" w:rsidRDefault="00516B1D" w:rsidP="00516B1D">
      <w:pPr>
        <w:spacing w:after="0" w:line="480" w:lineRule="auto"/>
        <w:jc w:val="center"/>
        <w:rPr>
          <w:rFonts w:ascii="Book Antiqua" w:hAnsi="Book Antiqua" w:cs="Times New Roman"/>
          <w:sz w:val="28"/>
          <w:szCs w:val="28"/>
        </w:rPr>
      </w:pPr>
      <w:r w:rsidRPr="005B1ED4">
        <w:rPr>
          <w:rFonts w:ascii="Book Antiqua" w:hAnsi="Book Antiqua" w:cs="Times New Roman"/>
          <w:sz w:val="28"/>
          <w:szCs w:val="28"/>
        </w:rPr>
        <w:t>***</w:t>
      </w:r>
    </w:p>
    <w:p w14:paraId="78C4AB02" w14:textId="4738614F" w:rsidR="00200A4D" w:rsidRPr="005B1ED4" w:rsidRDefault="008B2B54" w:rsidP="00213754">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 xml:space="preserve">When weighing the pros and cons of a </w:t>
      </w:r>
      <w:r w:rsidR="00735CAE" w:rsidRPr="005B1ED4">
        <w:rPr>
          <w:rFonts w:ascii="Book Antiqua" w:hAnsi="Book Antiqua" w:cs="Times New Roman"/>
          <w:sz w:val="28"/>
          <w:szCs w:val="28"/>
        </w:rPr>
        <w:t>voluntary</w:t>
      </w:r>
      <w:r w:rsidRPr="005B1ED4">
        <w:rPr>
          <w:rFonts w:ascii="Book Antiqua" w:hAnsi="Book Antiqua" w:cs="Times New Roman"/>
          <w:sz w:val="28"/>
          <w:szCs w:val="28"/>
        </w:rPr>
        <w:t xml:space="preserve"> bar, the </w:t>
      </w:r>
      <w:r w:rsidR="00735CAE" w:rsidRPr="005B1ED4">
        <w:rPr>
          <w:rFonts w:ascii="Book Antiqua" w:hAnsi="Book Antiqua" w:cs="Times New Roman"/>
          <w:sz w:val="28"/>
          <w:szCs w:val="28"/>
        </w:rPr>
        <w:t>pros</w:t>
      </w:r>
      <w:r w:rsidRPr="005B1ED4">
        <w:rPr>
          <w:rFonts w:ascii="Book Antiqua" w:hAnsi="Book Antiqua" w:cs="Times New Roman"/>
          <w:sz w:val="28"/>
          <w:szCs w:val="28"/>
        </w:rPr>
        <w:t xml:space="preserve"> carry the day. </w:t>
      </w:r>
      <w:r w:rsidR="001C3D8F" w:rsidRPr="005B1ED4">
        <w:rPr>
          <w:rFonts w:ascii="Book Antiqua" w:hAnsi="Book Antiqua" w:cs="Times New Roman"/>
          <w:sz w:val="28"/>
          <w:szCs w:val="28"/>
        </w:rPr>
        <w:t xml:space="preserve">The </w:t>
      </w:r>
      <w:r w:rsidR="00F96A81" w:rsidRPr="005B1ED4">
        <w:rPr>
          <w:rFonts w:ascii="Book Antiqua" w:hAnsi="Book Antiqua" w:cs="Times New Roman"/>
          <w:sz w:val="28"/>
          <w:szCs w:val="28"/>
        </w:rPr>
        <w:t>Petition Opponents’</w:t>
      </w:r>
      <w:r w:rsidR="001C3D8F" w:rsidRPr="005B1ED4">
        <w:rPr>
          <w:rFonts w:ascii="Book Antiqua" w:hAnsi="Book Antiqua" w:cs="Times New Roman"/>
          <w:sz w:val="28"/>
          <w:szCs w:val="28"/>
        </w:rPr>
        <w:t xml:space="preserve"> failure to establish the legality or benefits of a mandatory bar should inform this Court’s decision. </w:t>
      </w:r>
      <w:r w:rsidR="00782D94" w:rsidRPr="005B1ED4">
        <w:rPr>
          <w:rFonts w:ascii="Book Antiqua" w:hAnsi="Book Antiqua" w:cs="Times New Roman"/>
          <w:sz w:val="28"/>
          <w:szCs w:val="28"/>
        </w:rPr>
        <w:t>Petitioners urge this</w:t>
      </w:r>
      <w:r w:rsidR="001C3D8F" w:rsidRPr="005B1ED4">
        <w:rPr>
          <w:rFonts w:ascii="Book Antiqua" w:hAnsi="Book Antiqua" w:cs="Times New Roman"/>
          <w:sz w:val="28"/>
          <w:szCs w:val="28"/>
        </w:rPr>
        <w:t xml:space="preserve"> </w:t>
      </w:r>
      <w:r w:rsidR="001C3D8F" w:rsidRPr="005B1ED4">
        <w:rPr>
          <w:rFonts w:ascii="Book Antiqua" w:hAnsi="Book Antiqua" w:cs="Times New Roman"/>
          <w:sz w:val="28"/>
          <w:szCs w:val="28"/>
        </w:rPr>
        <w:lastRenderedPageBreak/>
        <w:t>Court to follow</w:t>
      </w:r>
      <w:r w:rsidR="00782D94" w:rsidRPr="005B1ED4">
        <w:rPr>
          <w:rFonts w:ascii="Book Antiqua" w:hAnsi="Book Antiqua" w:cs="Times New Roman"/>
          <w:sz w:val="28"/>
          <w:szCs w:val="28"/>
        </w:rPr>
        <w:t xml:space="preserve"> </w:t>
      </w:r>
      <w:r w:rsidR="001C3D8F" w:rsidRPr="005B1ED4">
        <w:rPr>
          <w:rFonts w:ascii="Book Antiqua" w:hAnsi="Book Antiqua" w:cs="Times New Roman"/>
          <w:sz w:val="28"/>
          <w:szCs w:val="28"/>
        </w:rPr>
        <w:t>other states</w:t>
      </w:r>
      <w:r w:rsidR="00F96A81" w:rsidRPr="005B1ED4">
        <w:rPr>
          <w:rFonts w:ascii="Book Antiqua" w:hAnsi="Book Antiqua" w:cs="Times New Roman"/>
          <w:sz w:val="28"/>
          <w:szCs w:val="28"/>
        </w:rPr>
        <w:t xml:space="preserve"> (</w:t>
      </w:r>
      <w:r w:rsidR="00782D94" w:rsidRPr="005B1ED4">
        <w:rPr>
          <w:rFonts w:ascii="Book Antiqua" w:hAnsi="Book Antiqua" w:cs="Times New Roman"/>
          <w:sz w:val="28"/>
          <w:szCs w:val="28"/>
        </w:rPr>
        <w:t>which regulate over 60% of the lawyers in America</w:t>
      </w:r>
      <w:r w:rsidR="00F96A81" w:rsidRPr="005B1ED4">
        <w:rPr>
          <w:rFonts w:ascii="Book Antiqua" w:hAnsi="Book Antiqua" w:cs="Times New Roman"/>
          <w:sz w:val="28"/>
          <w:szCs w:val="28"/>
        </w:rPr>
        <w:t>)</w:t>
      </w:r>
      <w:r w:rsidR="00782D94" w:rsidRPr="005B1ED4">
        <w:rPr>
          <w:rFonts w:ascii="Book Antiqua" w:hAnsi="Book Antiqua" w:cs="Times New Roman"/>
          <w:sz w:val="28"/>
          <w:szCs w:val="28"/>
        </w:rPr>
        <w:t xml:space="preserve"> that</w:t>
      </w:r>
      <w:r w:rsidR="001C3D8F" w:rsidRPr="005B1ED4">
        <w:rPr>
          <w:rFonts w:ascii="Book Antiqua" w:hAnsi="Book Antiqua" w:cs="Times New Roman"/>
          <w:sz w:val="28"/>
          <w:szCs w:val="28"/>
        </w:rPr>
        <w:t xml:space="preserve"> have successfully protected the First Amendment </w:t>
      </w:r>
      <w:r w:rsidR="001C3D8F" w:rsidRPr="005B1ED4">
        <w:rPr>
          <w:rFonts w:ascii="Book Antiqua" w:hAnsi="Book Antiqua" w:cs="Times New Roman"/>
          <w:i/>
          <w:iCs/>
          <w:sz w:val="28"/>
          <w:szCs w:val="28"/>
        </w:rPr>
        <w:t xml:space="preserve">and </w:t>
      </w:r>
      <w:r w:rsidR="001C3D8F" w:rsidRPr="005B1ED4">
        <w:rPr>
          <w:rFonts w:ascii="Book Antiqua" w:hAnsi="Book Antiqua" w:cs="Times New Roman"/>
          <w:sz w:val="28"/>
          <w:szCs w:val="28"/>
        </w:rPr>
        <w:t>their states’ legal profession</w:t>
      </w:r>
      <w:r w:rsidR="00F96A81" w:rsidRPr="005B1ED4">
        <w:rPr>
          <w:rFonts w:ascii="Book Antiqua" w:hAnsi="Book Antiqua" w:cs="Times New Roman"/>
          <w:sz w:val="28"/>
          <w:szCs w:val="28"/>
        </w:rPr>
        <w:t xml:space="preserve"> with a voluntary bar association</w:t>
      </w:r>
      <w:r w:rsidR="001C3D8F" w:rsidRPr="005B1ED4">
        <w:rPr>
          <w:rFonts w:ascii="Book Antiqua" w:hAnsi="Book Antiqua" w:cs="Times New Roman"/>
          <w:sz w:val="28"/>
          <w:szCs w:val="28"/>
        </w:rPr>
        <w:t>.</w:t>
      </w:r>
    </w:p>
    <w:p w14:paraId="025E45CA" w14:textId="0FFF8912" w:rsidR="005F421A" w:rsidRPr="005B1ED4" w:rsidRDefault="005F421A" w:rsidP="005F421A">
      <w:pPr>
        <w:keepNext/>
        <w:spacing w:after="240" w:line="240" w:lineRule="auto"/>
        <w:jc w:val="center"/>
        <w:rPr>
          <w:rFonts w:ascii="Book Antiqua" w:hAnsi="Book Antiqua" w:cs="Times New Roman"/>
          <w:b/>
          <w:bCs/>
          <w:smallCaps/>
          <w:sz w:val="28"/>
          <w:szCs w:val="28"/>
        </w:rPr>
      </w:pPr>
      <w:r w:rsidRPr="005B1ED4">
        <w:rPr>
          <w:rFonts w:ascii="Book Antiqua" w:hAnsi="Book Antiqua" w:cs="Times New Roman"/>
          <w:b/>
          <w:bCs/>
          <w:smallCaps/>
          <w:sz w:val="28"/>
          <w:szCs w:val="28"/>
        </w:rPr>
        <w:t>Argument</w:t>
      </w:r>
    </w:p>
    <w:p w14:paraId="330A43C1" w14:textId="58F9E05A" w:rsidR="0004743E" w:rsidRPr="005B1ED4" w:rsidRDefault="00782D94" w:rsidP="005F421A">
      <w:pPr>
        <w:pStyle w:val="ListParagraph"/>
        <w:keepNext/>
        <w:numPr>
          <w:ilvl w:val="0"/>
          <w:numId w:val="3"/>
        </w:numPr>
        <w:spacing w:after="240" w:line="240" w:lineRule="auto"/>
        <w:contextualSpacing w:val="0"/>
        <w:jc w:val="both"/>
        <w:rPr>
          <w:rFonts w:ascii="Book Antiqua" w:hAnsi="Book Antiqua" w:cs="Times New Roman"/>
          <w:b/>
          <w:bCs/>
          <w:sz w:val="28"/>
          <w:szCs w:val="28"/>
        </w:rPr>
      </w:pPr>
      <w:r w:rsidRPr="005B1ED4">
        <w:rPr>
          <w:rFonts w:ascii="Book Antiqua" w:hAnsi="Book Antiqua" w:cs="Times New Roman"/>
          <w:b/>
          <w:bCs/>
          <w:sz w:val="28"/>
          <w:szCs w:val="28"/>
        </w:rPr>
        <w:t>The Petition Opponents</w:t>
      </w:r>
      <w:r w:rsidR="00595D80" w:rsidRPr="005B1ED4">
        <w:rPr>
          <w:rFonts w:ascii="Book Antiqua" w:hAnsi="Book Antiqua" w:cs="Times New Roman"/>
          <w:b/>
          <w:bCs/>
          <w:sz w:val="28"/>
          <w:szCs w:val="28"/>
        </w:rPr>
        <w:t xml:space="preserve"> Do Not Provide </w:t>
      </w:r>
      <w:proofErr w:type="gramStart"/>
      <w:r w:rsidR="00F96A81" w:rsidRPr="005B1ED4">
        <w:rPr>
          <w:rFonts w:ascii="Book Antiqua" w:hAnsi="Book Antiqua" w:cs="Times New Roman"/>
          <w:b/>
          <w:bCs/>
          <w:sz w:val="28"/>
          <w:szCs w:val="28"/>
        </w:rPr>
        <w:t>A</w:t>
      </w:r>
      <w:proofErr w:type="gramEnd"/>
      <w:r w:rsidR="00F96A81" w:rsidRPr="005B1ED4">
        <w:rPr>
          <w:rFonts w:ascii="Book Antiqua" w:hAnsi="Book Antiqua" w:cs="Times New Roman"/>
          <w:b/>
          <w:bCs/>
          <w:sz w:val="28"/>
          <w:szCs w:val="28"/>
        </w:rPr>
        <w:t xml:space="preserve"> </w:t>
      </w:r>
      <w:r w:rsidR="00595D80" w:rsidRPr="005B1ED4">
        <w:rPr>
          <w:rFonts w:ascii="Book Antiqua" w:hAnsi="Book Antiqua" w:cs="Times New Roman"/>
          <w:b/>
          <w:bCs/>
          <w:sz w:val="28"/>
          <w:szCs w:val="28"/>
        </w:rPr>
        <w:t xml:space="preserve">Reason </w:t>
      </w:r>
      <w:proofErr w:type="gramStart"/>
      <w:r w:rsidR="00595D80" w:rsidRPr="005B1ED4">
        <w:rPr>
          <w:rFonts w:ascii="Book Antiqua" w:hAnsi="Book Antiqua" w:cs="Times New Roman"/>
          <w:b/>
          <w:bCs/>
          <w:sz w:val="28"/>
          <w:szCs w:val="28"/>
        </w:rPr>
        <w:t>For</w:t>
      </w:r>
      <w:proofErr w:type="gramEnd"/>
      <w:r w:rsidR="00595D80" w:rsidRPr="005B1ED4">
        <w:rPr>
          <w:rFonts w:ascii="Book Antiqua" w:hAnsi="Book Antiqua" w:cs="Times New Roman"/>
          <w:b/>
          <w:bCs/>
          <w:sz w:val="28"/>
          <w:szCs w:val="28"/>
        </w:rPr>
        <w:t xml:space="preserve"> This</w:t>
      </w:r>
      <w:r w:rsidR="007F7C05" w:rsidRPr="005B1ED4">
        <w:rPr>
          <w:rFonts w:ascii="Book Antiqua" w:hAnsi="Book Antiqua" w:cs="Times New Roman"/>
          <w:b/>
          <w:bCs/>
          <w:sz w:val="28"/>
          <w:szCs w:val="28"/>
        </w:rPr>
        <w:t xml:space="preserve"> Court </w:t>
      </w:r>
      <w:proofErr w:type="gramStart"/>
      <w:r w:rsidR="00595D80" w:rsidRPr="005B1ED4">
        <w:rPr>
          <w:rFonts w:ascii="Book Antiqua" w:hAnsi="Book Antiqua" w:cs="Times New Roman"/>
          <w:b/>
          <w:bCs/>
          <w:sz w:val="28"/>
          <w:szCs w:val="28"/>
        </w:rPr>
        <w:t>To</w:t>
      </w:r>
      <w:proofErr w:type="gramEnd"/>
      <w:r w:rsidR="00595D80" w:rsidRPr="005B1ED4">
        <w:rPr>
          <w:rFonts w:ascii="Book Antiqua" w:hAnsi="Book Antiqua" w:cs="Times New Roman"/>
          <w:b/>
          <w:bCs/>
          <w:sz w:val="28"/>
          <w:szCs w:val="28"/>
        </w:rPr>
        <w:t xml:space="preserve"> Ignore </w:t>
      </w:r>
      <w:proofErr w:type="gramStart"/>
      <w:r w:rsidR="007F7C05" w:rsidRPr="005B1ED4">
        <w:rPr>
          <w:rFonts w:ascii="Book Antiqua" w:hAnsi="Book Antiqua" w:cs="Times New Roman"/>
          <w:b/>
          <w:bCs/>
          <w:sz w:val="28"/>
          <w:szCs w:val="28"/>
        </w:rPr>
        <w:t>The</w:t>
      </w:r>
      <w:proofErr w:type="gramEnd"/>
      <w:r w:rsidR="007F7C05" w:rsidRPr="005B1ED4">
        <w:rPr>
          <w:rFonts w:ascii="Book Antiqua" w:hAnsi="Book Antiqua" w:cs="Times New Roman"/>
          <w:b/>
          <w:bCs/>
          <w:sz w:val="28"/>
          <w:szCs w:val="28"/>
        </w:rPr>
        <w:t xml:space="preserve"> Principles in </w:t>
      </w:r>
      <w:r w:rsidR="007F7C05" w:rsidRPr="005B1ED4">
        <w:rPr>
          <w:rFonts w:ascii="Book Antiqua" w:hAnsi="Book Antiqua" w:cs="Times New Roman"/>
          <w:b/>
          <w:bCs/>
          <w:i/>
          <w:iCs/>
          <w:sz w:val="28"/>
          <w:szCs w:val="28"/>
        </w:rPr>
        <w:t>Janus</w:t>
      </w:r>
      <w:r w:rsidR="007F7C05" w:rsidRPr="005B1ED4">
        <w:rPr>
          <w:rFonts w:ascii="Book Antiqua" w:hAnsi="Book Antiqua" w:cs="Times New Roman"/>
          <w:b/>
          <w:bCs/>
          <w:sz w:val="28"/>
          <w:szCs w:val="28"/>
        </w:rPr>
        <w:t xml:space="preserve"> </w:t>
      </w:r>
      <w:r w:rsidR="0093471C" w:rsidRPr="005B1ED4">
        <w:rPr>
          <w:rFonts w:ascii="Book Antiqua" w:hAnsi="Book Antiqua" w:cs="Times New Roman"/>
          <w:b/>
          <w:bCs/>
          <w:sz w:val="28"/>
          <w:szCs w:val="28"/>
        </w:rPr>
        <w:t xml:space="preserve">and </w:t>
      </w:r>
      <w:r w:rsidR="00B22AEE" w:rsidRPr="005B1ED4">
        <w:rPr>
          <w:rFonts w:ascii="Book Antiqua" w:hAnsi="Book Antiqua" w:cs="Times New Roman"/>
          <w:b/>
          <w:bCs/>
          <w:sz w:val="28"/>
          <w:szCs w:val="28"/>
        </w:rPr>
        <w:t xml:space="preserve">Disregard </w:t>
      </w:r>
      <w:r w:rsidR="0093471C" w:rsidRPr="005B1ED4">
        <w:rPr>
          <w:rFonts w:ascii="Book Antiqua" w:hAnsi="Book Antiqua" w:cs="Times New Roman"/>
          <w:b/>
          <w:bCs/>
          <w:sz w:val="28"/>
          <w:szCs w:val="28"/>
        </w:rPr>
        <w:t xml:space="preserve">Core First Amendment Protections </w:t>
      </w:r>
    </w:p>
    <w:p w14:paraId="72254554" w14:textId="50789374" w:rsidR="0074635B" w:rsidRPr="005B1ED4" w:rsidRDefault="0074635B" w:rsidP="005F421A">
      <w:pPr>
        <w:pStyle w:val="ListParagraph"/>
        <w:keepNext/>
        <w:numPr>
          <w:ilvl w:val="1"/>
          <w:numId w:val="3"/>
        </w:numPr>
        <w:spacing w:after="240" w:line="240" w:lineRule="auto"/>
        <w:contextualSpacing w:val="0"/>
        <w:jc w:val="both"/>
        <w:rPr>
          <w:rFonts w:ascii="Book Antiqua" w:hAnsi="Book Antiqua" w:cs="Times New Roman"/>
          <w:b/>
          <w:bCs/>
          <w:sz w:val="28"/>
          <w:szCs w:val="28"/>
        </w:rPr>
      </w:pPr>
      <w:r w:rsidRPr="005B1ED4">
        <w:rPr>
          <w:rFonts w:ascii="Book Antiqua" w:hAnsi="Book Antiqua" w:cs="Times New Roman"/>
          <w:b/>
          <w:bCs/>
          <w:i/>
          <w:iCs/>
          <w:sz w:val="28"/>
          <w:szCs w:val="28"/>
        </w:rPr>
        <w:t>Janus</w:t>
      </w:r>
      <w:r w:rsidR="007F7C05" w:rsidRPr="005B1ED4">
        <w:rPr>
          <w:rFonts w:ascii="Book Antiqua" w:hAnsi="Book Antiqua" w:cs="Times New Roman"/>
          <w:b/>
          <w:bCs/>
          <w:i/>
          <w:iCs/>
          <w:sz w:val="28"/>
          <w:szCs w:val="28"/>
        </w:rPr>
        <w:t xml:space="preserve"> </w:t>
      </w:r>
      <w:r w:rsidR="007F7C05" w:rsidRPr="005B1ED4">
        <w:rPr>
          <w:rFonts w:ascii="Book Antiqua" w:hAnsi="Book Antiqua" w:cs="Times New Roman"/>
          <w:b/>
          <w:bCs/>
          <w:sz w:val="28"/>
          <w:szCs w:val="28"/>
        </w:rPr>
        <w:t xml:space="preserve">Holds That </w:t>
      </w:r>
      <w:r w:rsidR="00BC5E62" w:rsidRPr="005B1ED4">
        <w:rPr>
          <w:rFonts w:ascii="Book Antiqua" w:hAnsi="Book Antiqua" w:cs="Times New Roman"/>
          <w:b/>
          <w:bCs/>
          <w:sz w:val="28"/>
          <w:szCs w:val="28"/>
        </w:rPr>
        <w:t xml:space="preserve">Compelling </w:t>
      </w:r>
      <w:proofErr w:type="gramStart"/>
      <w:r w:rsidR="00BC5E62" w:rsidRPr="005B1ED4">
        <w:rPr>
          <w:rFonts w:ascii="Book Antiqua" w:hAnsi="Book Antiqua" w:cs="Times New Roman"/>
          <w:b/>
          <w:bCs/>
          <w:sz w:val="28"/>
          <w:szCs w:val="28"/>
        </w:rPr>
        <w:t>The</w:t>
      </w:r>
      <w:proofErr w:type="gramEnd"/>
      <w:r w:rsidR="007F7C05" w:rsidRPr="005B1ED4">
        <w:rPr>
          <w:rFonts w:ascii="Book Antiqua" w:hAnsi="Book Antiqua" w:cs="Times New Roman"/>
          <w:b/>
          <w:bCs/>
          <w:sz w:val="28"/>
          <w:szCs w:val="28"/>
        </w:rPr>
        <w:t xml:space="preserve"> Subsidization of Political Speech Is Unlawful</w:t>
      </w:r>
      <w:r w:rsidR="0093471C" w:rsidRPr="005B1ED4">
        <w:rPr>
          <w:rFonts w:ascii="Book Antiqua" w:hAnsi="Book Antiqua" w:cs="Times New Roman"/>
          <w:b/>
          <w:bCs/>
          <w:sz w:val="28"/>
          <w:szCs w:val="28"/>
        </w:rPr>
        <w:t>—</w:t>
      </w:r>
      <w:r w:rsidR="00BC5E62" w:rsidRPr="005B1ED4">
        <w:rPr>
          <w:rFonts w:ascii="Book Antiqua" w:hAnsi="Book Antiqua" w:cs="Times New Roman"/>
          <w:b/>
          <w:bCs/>
          <w:sz w:val="28"/>
          <w:szCs w:val="28"/>
        </w:rPr>
        <w:t>That Is Precisely What the Arizona Bar Does</w:t>
      </w:r>
      <w:r w:rsidR="0093471C" w:rsidRPr="005B1ED4">
        <w:rPr>
          <w:rFonts w:ascii="Book Antiqua" w:hAnsi="Book Antiqua" w:cs="Times New Roman"/>
          <w:b/>
          <w:bCs/>
          <w:sz w:val="28"/>
          <w:szCs w:val="28"/>
        </w:rPr>
        <w:t xml:space="preserve"> </w:t>
      </w:r>
    </w:p>
    <w:p w14:paraId="00D42EFA" w14:textId="50E98B9C" w:rsidR="007F7C05" w:rsidRPr="005B1ED4" w:rsidRDefault="0052459D" w:rsidP="00072670">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 xml:space="preserve">As explained in the Petition, </w:t>
      </w:r>
      <w:r w:rsidR="00EB2E69" w:rsidRPr="005B1ED4">
        <w:rPr>
          <w:rFonts w:ascii="Book Antiqua" w:hAnsi="Book Antiqua" w:cs="Times New Roman"/>
          <w:i/>
          <w:iCs/>
          <w:sz w:val="28"/>
          <w:szCs w:val="28"/>
        </w:rPr>
        <w:t xml:space="preserve">Janus </w:t>
      </w:r>
      <w:r w:rsidR="00566A30" w:rsidRPr="005B1ED4">
        <w:rPr>
          <w:rFonts w:ascii="Book Antiqua" w:hAnsi="Book Antiqua" w:cs="Times New Roman"/>
          <w:sz w:val="28"/>
          <w:szCs w:val="28"/>
        </w:rPr>
        <w:t>renders mandatory bars unconstitutional when those bars—like Arizona’s—</w:t>
      </w:r>
      <w:r w:rsidR="00780DFD" w:rsidRPr="005B1ED4">
        <w:rPr>
          <w:rFonts w:ascii="Book Antiqua" w:hAnsi="Book Antiqua" w:cs="Times New Roman"/>
          <w:sz w:val="28"/>
          <w:szCs w:val="28"/>
        </w:rPr>
        <w:t>force</w:t>
      </w:r>
      <w:r w:rsidR="00566A30" w:rsidRPr="005B1ED4">
        <w:rPr>
          <w:rFonts w:ascii="Book Antiqua" w:hAnsi="Book Antiqua" w:cs="Times New Roman"/>
          <w:sz w:val="28"/>
          <w:szCs w:val="28"/>
        </w:rPr>
        <w:t xml:space="preserve"> </w:t>
      </w:r>
      <w:r w:rsidR="00AD6048" w:rsidRPr="005B1ED4">
        <w:rPr>
          <w:rFonts w:ascii="Book Antiqua" w:hAnsi="Book Antiqua" w:cs="Times New Roman"/>
          <w:sz w:val="28"/>
          <w:szCs w:val="28"/>
        </w:rPr>
        <w:t xml:space="preserve">its </w:t>
      </w:r>
      <w:r w:rsidR="00566A30" w:rsidRPr="005B1ED4">
        <w:rPr>
          <w:rFonts w:ascii="Book Antiqua" w:hAnsi="Book Antiqua" w:cs="Times New Roman"/>
          <w:sz w:val="28"/>
          <w:szCs w:val="28"/>
        </w:rPr>
        <w:t xml:space="preserve">members to </w:t>
      </w:r>
      <w:r w:rsidR="009D7512" w:rsidRPr="005B1ED4">
        <w:rPr>
          <w:rFonts w:ascii="Book Antiqua" w:hAnsi="Book Antiqua" w:cs="Times New Roman"/>
          <w:sz w:val="28"/>
          <w:szCs w:val="28"/>
        </w:rPr>
        <w:t>fund</w:t>
      </w:r>
      <w:r w:rsidR="00566A30" w:rsidRPr="005B1ED4">
        <w:rPr>
          <w:rFonts w:ascii="Book Antiqua" w:hAnsi="Book Antiqua" w:cs="Times New Roman"/>
          <w:sz w:val="28"/>
          <w:szCs w:val="28"/>
        </w:rPr>
        <w:t xml:space="preserve"> </w:t>
      </w:r>
      <w:r w:rsidR="002709A9" w:rsidRPr="005B1ED4">
        <w:rPr>
          <w:rFonts w:ascii="Book Antiqua" w:hAnsi="Book Antiqua" w:cs="Times New Roman"/>
          <w:sz w:val="28"/>
          <w:szCs w:val="28"/>
        </w:rPr>
        <w:t>political and ideological speech</w:t>
      </w:r>
      <w:r w:rsidR="00DE472E" w:rsidRPr="005B1ED4">
        <w:rPr>
          <w:rFonts w:ascii="Book Antiqua" w:hAnsi="Book Antiqua" w:cs="Times New Roman"/>
          <w:sz w:val="28"/>
          <w:szCs w:val="28"/>
        </w:rPr>
        <w:t xml:space="preserve"> as </w:t>
      </w:r>
      <w:r w:rsidR="00F77853" w:rsidRPr="005B1ED4">
        <w:rPr>
          <w:rFonts w:ascii="Book Antiqua" w:hAnsi="Book Antiqua" w:cs="Times New Roman"/>
          <w:sz w:val="28"/>
          <w:szCs w:val="28"/>
        </w:rPr>
        <w:t xml:space="preserve">a </w:t>
      </w:r>
      <w:r w:rsidR="00DE472E" w:rsidRPr="005B1ED4">
        <w:rPr>
          <w:rFonts w:ascii="Book Antiqua" w:hAnsi="Book Antiqua" w:cs="Times New Roman"/>
          <w:sz w:val="28"/>
          <w:szCs w:val="28"/>
        </w:rPr>
        <w:t xml:space="preserve">condition of practicing law in the </w:t>
      </w:r>
      <w:r w:rsidR="00780DFD" w:rsidRPr="005B1ED4">
        <w:rPr>
          <w:rFonts w:ascii="Book Antiqua" w:hAnsi="Book Antiqua" w:cs="Times New Roman"/>
          <w:sz w:val="28"/>
          <w:szCs w:val="28"/>
        </w:rPr>
        <w:t>S</w:t>
      </w:r>
      <w:r w:rsidR="00DE472E" w:rsidRPr="005B1ED4">
        <w:rPr>
          <w:rFonts w:ascii="Book Antiqua" w:hAnsi="Book Antiqua" w:cs="Times New Roman"/>
          <w:sz w:val="28"/>
          <w:szCs w:val="28"/>
        </w:rPr>
        <w:t>tate</w:t>
      </w:r>
      <w:r w:rsidR="002709A9" w:rsidRPr="005B1ED4">
        <w:rPr>
          <w:rFonts w:ascii="Book Antiqua" w:hAnsi="Book Antiqua" w:cs="Times New Roman"/>
          <w:sz w:val="28"/>
          <w:szCs w:val="28"/>
        </w:rPr>
        <w:t xml:space="preserve">. </w:t>
      </w:r>
      <w:r w:rsidR="005B6C5A" w:rsidRPr="005B1ED4">
        <w:rPr>
          <w:rFonts w:ascii="Book Antiqua" w:hAnsi="Book Antiqua" w:cs="Times New Roman"/>
          <w:sz w:val="28"/>
          <w:szCs w:val="28"/>
        </w:rPr>
        <w:t xml:space="preserve">In </w:t>
      </w:r>
      <w:r w:rsidR="00D46659" w:rsidRPr="005B1ED4">
        <w:rPr>
          <w:rFonts w:ascii="Book Antiqua" w:hAnsi="Book Antiqua" w:cs="Times New Roman"/>
          <w:i/>
          <w:iCs/>
          <w:sz w:val="28"/>
          <w:szCs w:val="28"/>
        </w:rPr>
        <w:t>Janus</w:t>
      </w:r>
      <w:r w:rsidR="007F7C05" w:rsidRPr="005B1ED4">
        <w:rPr>
          <w:rFonts w:ascii="Book Antiqua" w:hAnsi="Book Antiqua" w:cs="Times New Roman"/>
          <w:sz w:val="28"/>
          <w:szCs w:val="28"/>
        </w:rPr>
        <w:t>, the</w:t>
      </w:r>
      <w:r w:rsidR="001C22AC" w:rsidRPr="005B1ED4">
        <w:rPr>
          <w:rFonts w:ascii="Book Antiqua" w:hAnsi="Book Antiqua" w:cs="Times New Roman"/>
          <w:sz w:val="28"/>
          <w:szCs w:val="28"/>
        </w:rPr>
        <w:t xml:space="preserve"> Supreme</w:t>
      </w:r>
      <w:r w:rsidR="007F7C05" w:rsidRPr="005B1ED4">
        <w:rPr>
          <w:rFonts w:ascii="Book Antiqua" w:hAnsi="Book Antiqua" w:cs="Times New Roman"/>
          <w:sz w:val="28"/>
          <w:szCs w:val="28"/>
        </w:rPr>
        <w:t xml:space="preserve"> Court held that compelling individuals “to subsidize private speech on matters of substantial public concern” is categorically unlawful.</w:t>
      </w:r>
      <w:r w:rsidR="001C22AC" w:rsidRPr="005B1ED4">
        <w:rPr>
          <w:rFonts w:ascii="Book Antiqua" w:hAnsi="Book Antiqua" w:cs="Times New Roman"/>
          <w:sz w:val="28"/>
          <w:szCs w:val="28"/>
        </w:rPr>
        <w:t xml:space="preserve"> </w:t>
      </w:r>
      <w:r w:rsidR="001C22AC" w:rsidRPr="005B1ED4">
        <w:rPr>
          <w:rFonts w:ascii="Book Antiqua" w:hAnsi="Book Antiqua" w:cs="Times New Roman"/>
          <w:i/>
          <w:iCs/>
          <w:sz w:val="28"/>
          <w:szCs w:val="28"/>
        </w:rPr>
        <w:t>Janus</w:t>
      </w:r>
      <w:r w:rsidR="001C22AC" w:rsidRPr="005B1ED4">
        <w:rPr>
          <w:rFonts w:ascii="Book Antiqua" w:hAnsi="Book Antiqua" w:cs="Times New Roman"/>
          <w:sz w:val="28"/>
          <w:szCs w:val="28"/>
        </w:rPr>
        <w:t>,</w:t>
      </w:r>
      <w:r w:rsidR="001C22AC" w:rsidRPr="005B1ED4">
        <w:rPr>
          <w:rFonts w:ascii="Book Antiqua" w:hAnsi="Book Antiqua" w:cs="Times New Roman"/>
          <w:i/>
          <w:iCs/>
          <w:sz w:val="28"/>
          <w:szCs w:val="28"/>
        </w:rPr>
        <w:t xml:space="preserve"> </w:t>
      </w:r>
      <w:r w:rsidR="001C22AC" w:rsidRPr="005B1ED4">
        <w:rPr>
          <w:rFonts w:ascii="Book Antiqua" w:hAnsi="Book Antiqua" w:cs="Times New Roman"/>
          <w:sz w:val="28"/>
          <w:szCs w:val="28"/>
        </w:rPr>
        <w:t>585 U.S. at 886.</w:t>
      </w:r>
      <w:r w:rsidR="007F7C05" w:rsidRPr="005B1ED4">
        <w:rPr>
          <w:rFonts w:ascii="Book Antiqua" w:hAnsi="Book Antiqua" w:cs="Times New Roman"/>
          <w:sz w:val="28"/>
          <w:szCs w:val="28"/>
        </w:rPr>
        <w:t xml:space="preserve"> </w:t>
      </w:r>
      <w:r w:rsidR="00AD7F7C" w:rsidRPr="005B1ED4">
        <w:rPr>
          <w:rFonts w:ascii="Book Antiqua" w:hAnsi="Book Antiqua" w:cs="Times New Roman"/>
          <w:sz w:val="28"/>
          <w:szCs w:val="28"/>
        </w:rPr>
        <w:t>But the</w:t>
      </w:r>
      <w:r w:rsidR="00BC5E62" w:rsidRPr="005B1ED4">
        <w:rPr>
          <w:rFonts w:ascii="Book Antiqua" w:hAnsi="Book Antiqua" w:cs="Times New Roman"/>
          <w:sz w:val="28"/>
          <w:szCs w:val="28"/>
        </w:rPr>
        <w:t xml:space="preserve"> Arizona Bar </w:t>
      </w:r>
      <w:r w:rsidR="00157D56" w:rsidRPr="005B1ED4">
        <w:rPr>
          <w:rFonts w:ascii="Book Antiqua" w:hAnsi="Book Antiqua" w:cs="Times New Roman"/>
          <w:sz w:val="28"/>
          <w:szCs w:val="28"/>
        </w:rPr>
        <w:t>does, at times,</w:t>
      </w:r>
      <w:r w:rsidR="00BC5E62" w:rsidRPr="005B1ED4">
        <w:rPr>
          <w:rFonts w:ascii="Book Antiqua" w:hAnsi="Book Antiqua" w:cs="Times New Roman"/>
          <w:sz w:val="28"/>
          <w:szCs w:val="28"/>
        </w:rPr>
        <w:t xml:space="preserve"> speak on</w:t>
      </w:r>
      <w:r w:rsidR="001F0525" w:rsidRPr="005B1ED4">
        <w:rPr>
          <w:rFonts w:ascii="Book Antiqua" w:hAnsi="Book Antiqua" w:cs="Times New Roman"/>
          <w:sz w:val="28"/>
          <w:szCs w:val="28"/>
        </w:rPr>
        <w:t xml:space="preserve"> hotly debated</w:t>
      </w:r>
      <w:r w:rsidR="00F77853" w:rsidRPr="005B1ED4">
        <w:rPr>
          <w:rFonts w:ascii="Book Antiqua" w:hAnsi="Book Antiqua" w:cs="Times New Roman"/>
          <w:sz w:val="28"/>
          <w:szCs w:val="28"/>
        </w:rPr>
        <w:t xml:space="preserve"> political</w:t>
      </w:r>
      <w:r w:rsidR="00BC5E62" w:rsidRPr="005B1ED4">
        <w:rPr>
          <w:rFonts w:ascii="Book Antiqua" w:hAnsi="Book Antiqua" w:cs="Times New Roman"/>
          <w:sz w:val="28"/>
          <w:szCs w:val="28"/>
        </w:rPr>
        <w:t xml:space="preserve"> </w:t>
      </w:r>
      <w:r w:rsidR="00F77853" w:rsidRPr="005B1ED4">
        <w:rPr>
          <w:rFonts w:ascii="Book Antiqua" w:hAnsi="Book Antiqua" w:cs="Times New Roman"/>
          <w:sz w:val="28"/>
          <w:szCs w:val="28"/>
        </w:rPr>
        <w:t>issues</w:t>
      </w:r>
      <w:r w:rsidR="003D77CC" w:rsidRPr="005B1ED4">
        <w:rPr>
          <w:rFonts w:ascii="Book Antiqua" w:hAnsi="Book Antiqua" w:cs="Times New Roman"/>
          <w:sz w:val="28"/>
          <w:szCs w:val="28"/>
        </w:rPr>
        <w:t xml:space="preserve">. </w:t>
      </w:r>
      <w:r w:rsidR="003D77CC" w:rsidRPr="005B1ED4">
        <w:rPr>
          <w:rFonts w:ascii="Book Antiqua" w:hAnsi="Book Antiqua" w:cs="Times New Roman"/>
          <w:i/>
          <w:iCs/>
          <w:sz w:val="28"/>
          <w:szCs w:val="28"/>
        </w:rPr>
        <w:t xml:space="preserve">See </w:t>
      </w:r>
      <w:r w:rsidR="003D77CC" w:rsidRPr="005B1ED4">
        <w:rPr>
          <w:rFonts w:ascii="Book Antiqua" w:hAnsi="Book Antiqua" w:cs="Times New Roman"/>
          <w:sz w:val="28"/>
          <w:szCs w:val="28"/>
        </w:rPr>
        <w:t>Pet. 6–7</w:t>
      </w:r>
      <w:r w:rsidR="00FB5AF1" w:rsidRPr="005B1ED4">
        <w:rPr>
          <w:rFonts w:ascii="Book Antiqua" w:hAnsi="Book Antiqua" w:cs="Times New Roman"/>
          <w:sz w:val="28"/>
          <w:szCs w:val="28"/>
        </w:rPr>
        <w:t xml:space="preserve"> (collecting examples).</w:t>
      </w:r>
      <w:r w:rsidR="00BC5E62" w:rsidRPr="005B1ED4">
        <w:rPr>
          <w:rFonts w:ascii="Book Antiqua" w:hAnsi="Book Antiqua" w:cs="Times New Roman"/>
          <w:sz w:val="28"/>
          <w:szCs w:val="28"/>
        </w:rPr>
        <w:t xml:space="preserve"> </w:t>
      </w:r>
      <w:r w:rsidR="00FB5AF1" w:rsidRPr="005B1ED4">
        <w:rPr>
          <w:rFonts w:ascii="Book Antiqua" w:hAnsi="Book Antiqua" w:cs="Times New Roman"/>
          <w:sz w:val="28"/>
          <w:szCs w:val="28"/>
        </w:rPr>
        <w:t>Nonetheless</w:t>
      </w:r>
      <w:r w:rsidR="003D77CC" w:rsidRPr="005B1ED4">
        <w:rPr>
          <w:rFonts w:ascii="Book Antiqua" w:hAnsi="Book Antiqua" w:cs="Times New Roman"/>
          <w:sz w:val="28"/>
          <w:szCs w:val="28"/>
        </w:rPr>
        <w:t>,</w:t>
      </w:r>
      <w:r w:rsidR="00BC5E62" w:rsidRPr="005B1ED4">
        <w:rPr>
          <w:rFonts w:ascii="Book Antiqua" w:hAnsi="Book Antiqua" w:cs="Times New Roman"/>
          <w:sz w:val="28"/>
          <w:szCs w:val="28"/>
        </w:rPr>
        <w:t xml:space="preserve"> as a condition of practicing law, </w:t>
      </w:r>
      <w:r w:rsidR="00A646BB" w:rsidRPr="005B1ED4">
        <w:rPr>
          <w:rFonts w:ascii="Book Antiqua" w:hAnsi="Book Antiqua" w:cs="Times New Roman"/>
          <w:sz w:val="28"/>
          <w:szCs w:val="28"/>
        </w:rPr>
        <w:t>the Bar</w:t>
      </w:r>
      <w:r w:rsidR="003D77CC" w:rsidRPr="005B1ED4">
        <w:rPr>
          <w:rFonts w:ascii="Book Antiqua" w:hAnsi="Book Antiqua" w:cs="Times New Roman"/>
          <w:sz w:val="28"/>
          <w:szCs w:val="28"/>
        </w:rPr>
        <w:t xml:space="preserve"> </w:t>
      </w:r>
      <w:r w:rsidR="00BC5E62" w:rsidRPr="005B1ED4">
        <w:rPr>
          <w:rFonts w:ascii="Book Antiqua" w:hAnsi="Book Antiqua" w:cs="Times New Roman"/>
          <w:sz w:val="28"/>
          <w:szCs w:val="28"/>
        </w:rPr>
        <w:t xml:space="preserve">requires </w:t>
      </w:r>
      <w:r w:rsidR="007A6673" w:rsidRPr="005B1ED4">
        <w:rPr>
          <w:rFonts w:ascii="Book Antiqua" w:hAnsi="Book Antiqua" w:cs="Times New Roman"/>
          <w:sz w:val="28"/>
          <w:szCs w:val="28"/>
        </w:rPr>
        <w:t>members to pay dues subsidizing that speech</w:t>
      </w:r>
      <w:r w:rsidR="008861CD" w:rsidRPr="005B1ED4">
        <w:rPr>
          <w:rFonts w:ascii="Book Antiqua" w:hAnsi="Book Antiqua" w:cs="Times New Roman"/>
          <w:sz w:val="28"/>
          <w:szCs w:val="28"/>
        </w:rPr>
        <w:t>, without an opt-in system</w:t>
      </w:r>
      <w:r w:rsidR="007A6673" w:rsidRPr="005B1ED4">
        <w:rPr>
          <w:rFonts w:ascii="Book Antiqua" w:hAnsi="Book Antiqua" w:cs="Times New Roman"/>
          <w:sz w:val="28"/>
          <w:szCs w:val="28"/>
        </w:rPr>
        <w:t xml:space="preserve">. </w:t>
      </w:r>
      <w:r w:rsidR="00131B41" w:rsidRPr="005B1ED4">
        <w:rPr>
          <w:rFonts w:ascii="Book Antiqua" w:hAnsi="Book Antiqua" w:cs="Times New Roman"/>
          <w:i/>
          <w:iCs/>
          <w:sz w:val="28"/>
          <w:szCs w:val="28"/>
        </w:rPr>
        <w:t xml:space="preserve">Id. </w:t>
      </w:r>
      <w:r w:rsidR="003D77CC" w:rsidRPr="005B1ED4">
        <w:rPr>
          <w:rFonts w:ascii="Book Antiqua" w:hAnsi="Book Antiqua" w:cs="Times New Roman"/>
          <w:sz w:val="28"/>
          <w:szCs w:val="28"/>
        </w:rPr>
        <w:t>This is unlawful</w:t>
      </w:r>
      <w:r w:rsidR="00BB3B80" w:rsidRPr="005B1ED4">
        <w:rPr>
          <w:rFonts w:ascii="Book Antiqua" w:hAnsi="Book Antiqua" w:cs="Times New Roman"/>
          <w:i/>
          <w:iCs/>
          <w:sz w:val="28"/>
          <w:szCs w:val="28"/>
        </w:rPr>
        <w:t>.</w:t>
      </w:r>
      <w:r w:rsidR="007B0810" w:rsidRPr="005B1ED4">
        <w:rPr>
          <w:rFonts w:ascii="Book Antiqua" w:hAnsi="Book Antiqua" w:cs="Times New Roman"/>
          <w:i/>
          <w:iCs/>
          <w:sz w:val="28"/>
          <w:szCs w:val="28"/>
        </w:rPr>
        <w:t xml:space="preserve"> See</w:t>
      </w:r>
      <w:r w:rsidR="009A5C18" w:rsidRPr="005B1ED4">
        <w:rPr>
          <w:rFonts w:ascii="Book Antiqua" w:hAnsi="Book Antiqua" w:cs="Times New Roman"/>
          <w:i/>
          <w:iCs/>
          <w:sz w:val="28"/>
          <w:szCs w:val="28"/>
        </w:rPr>
        <w:t xml:space="preserve"> Janus</w:t>
      </w:r>
      <w:r w:rsidR="009A5C18" w:rsidRPr="005B1ED4">
        <w:rPr>
          <w:rFonts w:ascii="Book Antiqua" w:hAnsi="Book Antiqua" w:cs="Times New Roman"/>
          <w:sz w:val="28"/>
          <w:szCs w:val="28"/>
        </w:rPr>
        <w:t>, 585 U.S. at 93</w:t>
      </w:r>
      <w:r w:rsidR="000308F0" w:rsidRPr="005B1ED4">
        <w:rPr>
          <w:rFonts w:ascii="Book Antiqua" w:hAnsi="Book Antiqua" w:cs="Times New Roman"/>
          <w:sz w:val="28"/>
          <w:szCs w:val="28"/>
        </w:rPr>
        <w:t>.</w:t>
      </w:r>
    </w:p>
    <w:p w14:paraId="4AF2184E" w14:textId="3DECE940" w:rsidR="004238B9" w:rsidRPr="005B1ED4" w:rsidRDefault="007F7C05" w:rsidP="0003726B">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lastRenderedPageBreak/>
        <w:t xml:space="preserve">Some </w:t>
      </w:r>
      <w:r w:rsidR="00782D94" w:rsidRPr="005B1ED4">
        <w:rPr>
          <w:rFonts w:ascii="Book Antiqua" w:hAnsi="Book Antiqua" w:cs="Times New Roman"/>
          <w:sz w:val="28"/>
          <w:szCs w:val="28"/>
        </w:rPr>
        <w:t>Petition Opponents</w:t>
      </w:r>
      <w:r w:rsidRPr="005B1ED4">
        <w:rPr>
          <w:rFonts w:ascii="Book Antiqua" w:hAnsi="Book Antiqua" w:cs="Times New Roman"/>
          <w:sz w:val="28"/>
          <w:szCs w:val="28"/>
        </w:rPr>
        <w:t xml:space="preserve"> </w:t>
      </w:r>
      <w:r w:rsidR="00E037D6" w:rsidRPr="005B1ED4">
        <w:rPr>
          <w:rFonts w:ascii="Book Antiqua" w:hAnsi="Book Antiqua" w:cs="Times New Roman"/>
          <w:sz w:val="28"/>
          <w:szCs w:val="28"/>
        </w:rPr>
        <w:t xml:space="preserve">argue that </w:t>
      </w:r>
      <w:r w:rsidRPr="005B1ED4">
        <w:rPr>
          <w:rFonts w:ascii="Book Antiqua" w:hAnsi="Book Antiqua" w:cs="Times New Roman"/>
          <w:i/>
          <w:iCs/>
          <w:sz w:val="28"/>
          <w:szCs w:val="28"/>
        </w:rPr>
        <w:t xml:space="preserve">Janus </w:t>
      </w:r>
      <w:r w:rsidR="00E037D6" w:rsidRPr="005B1ED4">
        <w:rPr>
          <w:rFonts w:ascii="Book Antiqua" w:hAnsi="Book Antiqua" w:cs="Times New Roman"/>
          <w:sz w:val="28"/>
          <w:szCs w:val="28"/>
        </w:rPr>
        <w:t>is narrow</w:t>
      </w:r>
      <w:r w:rsidR="002816DC" w:rsidRPr="005B1ED4">
        <w:rPr>
          <w:rFonts w:ascii="Book Antiqua" w:hAnsi="Book Antiqua" w:cs="Times New Roman"/>
          <w:sz w:val="28"/>
          <w:szCs w:val="28"/>
        </w:rPr>
        <w:t xml:space="preserve"> and inapplicable</w:t>
      </w:r>
      <w:r w:rsidR="00E037D6" w:rsidRPr="005B1ED4">
        <w:rPr>
          <w:rFonts w:ascii="Book Antiqua" w:hAnsi="Book Antiqua" w:cs="Times New Roman"/>
          <w:sz w:val="28"/>
          <w:szCs w:val="28"/>
        </w:rPr>
        <w:t xml:space="preserve"> </w:t>
      </w:r>
      <w:r w:rsidRPr="005B1ED4">
        <w:rPr>
          <w:rFonts w:ascii="Book Antiqua" w:hAnsi="Book Antiqua" w:cs="Times New Roman"/>
          <w:sz w:val="28"/>
          <w:szCs w:val="28"/>
        </w:rPr>
        <w:t xml:space="preserve">because </w:t>
      </w:r>
      <w:r w:rsidR="00B17F93" w:rsidRPr="005B1ED4">
        <w:rPr>
          <w:rFonts w:ascii="Book Antiqua" w:hAnsi="Book Antiqua" w:cs="Times New Roman"/>
          <w:sz w:val="28"/>
          <w:szCs w:val="28"/>
        </w:rPr>
        <w:t>it</w:t>
      </w:r>
      <w:r w:rsidRPr="005B1ED4">
        <w:rPr>
          <w:rFonts w:ascii="Book Antiqua" w:hAnsi="Book Antiqua" w:cs="Times New Roman"/>
          <w:sz w:val="28"/>
          <w:szCs w:val="28"/>
        </w:rPr>
        <w:t xml:space="preserve"> </w:t>
      </w:r>
      <w:r w:rsidR="00481020" w:rsidRPr="005B1ED4">
        <w:rPr>
          <w:rFonts w:ascii="Book Antiqua" w:hAnsi="Book Antiqua" w:cs="Times New Roman"/>
          <w:sz w:val="28"/>
          <w:szCs w:val="28"/>
        </w:rPr>
        <w:t>addressed</w:t>
      </w:r>
      <w:r w:rsidRPr="005B1ED4">
        <w:rPr>
          <w:rFonts w:ascii="Book Antiqua" w:hAnsi="Book Antiqua" w:cs="Times New Roman"/>
          <w:sz w:val="28"/>
          <w:szCs w:val="28"/>
        </w:rPr>
        <w:t xml:space="preserve"> public-sector unions</w:t>
      </w:r>
      <w:r w:rsidR="00A951B3" w:rsidRPr="005B1ED4">
        <w:rPr>
          <w:rFonts w:ascii="Book Antiqua" w:hAnsi="Book Antiqua" w:cs="Times New Roman"/>
          <w:sz w:val="28"/>
          <w:szCs w:val="28"/>
        </w:rPr>
        <w:t xml:space="preserve">, not </w:t>
      </w:r>
      <w:r w:rsidR="000D463C" w:rsidRPr="005B1ED4">
        <w:rPr>
          <w:rFonts w:ascii="Book Antiqua" w:hAnsi="Book Antiqua" w:cs="Times New Roman"/>
          <w:sz w:val="28"/>
          <w:szCs w:val="28"/>
        </w:rPr>
        <w:t>state</w:t>
      </w:r>
      <w:r w:rsidR="00D46659" w:rsidRPr="005B1ED4">
        <w:rPr>
          <w:rFonts w:ascii="Book Antiqua" w:hAnsi="Book Antiqua" w:cs="Times New Roman"/>
          <w:sz w:val="28"/>
          <w:szCs w:val="28"/>
        </w:rPr>
        <w:t xml:space="preserve"> </w:t>
      </w:r>
      <w:r w:rsidR="00A951B3" w:rsidRPr="005B1ED4">
        <w:rPr>
          <w:rFonts w:ascii="Book Antiqua" w:hAnsi="Book Antiqua" w:cs="Times New Roman"/>
          <w:sz w:val="28"/>
          <w:szCs w:val="28"/>
        </w:rPr>
        <w:t>bar</w:t>
      </w:r>
      <w:r w:rsidR="007315D8" w:rsidRPr="005B1ED4">
        <w:rPr>
          <w:rFonts w:ascii="Book Antiqua" w:hAnsi="Book Antiqua" w:cs="Times New Roman"/>
          <w:sz w:val="28"/>
          <w:szCs w:val="28"/>
        </w:rPr>
        <w:t>s</w:t>
      </w:r>
      <w:r w:rsidRPr="005B1ED4">
        <w:rPr>
          <w:rFonts w:ascii="Book Antiqua" w:hAnsi="Book Antiqua" w:cs="Times New Roman"/>
          <w:sz w:val="28"/>
          <w:szCs w:val="28"/>
        </w:rPr>
        <w:t xml:space="preserve">. </w:t>
      </w:r>
      <w:r w:rsidR="00B713E7" w:rsidRPr="005B1ED4">
        <w:rPr>
          <w:rFonts w:ascii="Book Antiqua" w:hAnsi="Book Antiqua" w:cs="Times New Roman"/>
          <w:i/>
          <w:iCs/>
          <w:sz w:val="28"/>
          <w:szCs w:val="28"/>
        </w:rPr>
        <w:t xml:space="preserve">See </w:t>
      </w:r>
      <w:r w:rsidR="00B713E7" w:rsidRPr="005B1ED4">
        <w:rPr>
          <w:rFonts w:ascii="Book Antiqua" w:hAnsi="Book Antiqua" w:cs="Times New Roman"/>
          <w:sz w:val="28"/>
          <w:szCs w:val="28"/>
        </w:rPr>
        <w:t xml:space="preserve">Ariz. Bar Comm. </w:t>
      </w:r>
      <w:r w:rsidR="00AF2AB9" w:rsidRPr="005B1ED4">
        <w:rPr>
          <w:rFonts w:ascii="Book Antiqua" w:hAnsi="Book Antiqua" w:cs="Times New Roman"/>
          <w:sz w:val="28"/>
          <w:szCs w:val="28"/>
        </w:rPr>
        <w:t xml:space="preserve">at 3-5 </w:t>
      </w:r>
      <w:r w:rsidR="00B713E7" w:rsidRPr="005B1ED4">
        <w:rPr>
          <w:rFonts w:ascii="Book Antiqua" w:hAnsi="Book Antiqua" w:cs="Times New Roman"/>
          <w:sz w:val="28"/>
          <w:szCs w:val="28"/>
        </w:rPr>
        <w:t>(May 1, 2025)</w:t>
      </w:r>
      <w:r w:rsidR="001C0BB3" w:rsidRPr="005B1ED4">
        <w:rPr>
          <w:rFonts w:ascii="Book Antiqua" w:hAnsi="Book Antiqua" w:cs="Times New Roman"/>
          <w:sz w:val="28"/>
          <w:szCs w:val="28"/>
        </w:rPr>
        <w:t xml:space="preserve"> [“Ariz. Bar Comm.”]</w:t>
      </w:r>
      <w:r w:rsidR="00AF2AB9" w:rsidRPr="005B1ED4">
        <w:rPr>
          <w:rFonts w:ascii="Book Antiqua" w:hAnsi="Book Antiqua" w:cs="Times New Roman"/>
          <w:sz w:val="28"/>
          <w:szCs w:val="28"/>
        </w:rPr>
        <w:t xml:space="preserve"> (“The State Bar is not a </w:t>
      </w:r>
      <w:r w:rsidR="001C0BB3" w:rsidRPr="005B1ED4">
        <w:rPr>
          <w:rFonts w:ascii="Book Antiqua" w:hAnsi="Book Antiqua" w:cs="Times New Roman"/>
          <w:sz w:val="28"/>
          <w:szCs w:val="28"/>
        </w:rPr>
        <w:t>l</w:t>
      </w:r>
      <w:r w:rsidR="00AF2AB9" w:rsidRPr="005B1ED4">
        <w:rPr>
          <w:rFonts w:ascii="Book Antiqua" w:hAnsi="Book Antiqua" w:cs="Times New Roman"/>
          <w:sz w:val="28"/>
          <w:szCs w:val="28"/>
        </w:rPr>
        <w:t xml:space="preserve">abor </w:t>
      </w:r>
      <w:r w:rsidR="001C0BB3" w:rsidRPr="005B1ED4">
        <w:rPr>
          <w:rFonts w:ascii="Book Antiqua" w:hAnsi="Book Antiqua" w:cs="Times New Roman"/>
          <w:sz w:val="28"/>
          <w:szCs w:val="28"/>
        </w:rPr>
        <w:t>organization”</w:t>
      </w:r>
      <w:r w:rsidR="00AF2AB9" w:rsidRPr="005B1ED4">
        <w:rPr>
          <w:rFonts w:ascii="Book Antiqua" w:hAnsi="Book Antiqua" w:cs="Times New Roman"/>
          <w:sz w:val="28"/>
          <w:szCs w:val="28"/>
        </w:rPr>
        <w:t>)</w:t>
      </w:r>
      <w:r w:rsidR="00B713E7" w:rsidRPr="005B1ED4">
        <w:rPr>
          <w:rFonts w:ascii="Book Antiqua" w:hAnsi="Book Antiqua" w:cs="Times New Roman"/>
          <w:sz w:val="28"/>
          <w:szCs w:val="28"/>
        </w:rPr>
        <w:t xml:space="preserve">; </w:t>
      </w:r>
      <w:r w:rsidR="0054357F" w:rsidRPr="005B1ED4">
        <w:rPr>
          <w:rFonts w:ascii="Book Antiqua" w:hAnsi="Book Antiqua" w:cs="Times New Roman"/>
          <w:sz w:val="28"/>
          <w:szCs w:val="28"/>
        </w:rPr>
        <w:t>Arizona Atty. Gen.</w:t>
      </w:r>
      <w:r w:rsidR="001C0BB3" w:rsidRPr="005B1ED4">
        <w:rPr>
          <w:rFonts w:ascii="Book Antiqua" w:hAnsi="Book Antiqua" w:cs="Times New Roman"/>
          <w:sz w:val="28"/>
          <w:szCs w:val="28"/>
        </w:rPr>
        <w:t xml:space="preserve"> Comm.</w:t>
      </w:r>
      <w:r w:rsidR="00D92605" w:rsidRPr="005B1ED4">
        <w:rPr>
          <w:rFonts w:ascii="Book Antiqua" w:hAnsi="Book Antiqua" w:cs="Times New Roman"/>
          <w:sz w:val="28"/>
          <w:szCs w:val="28"/>
        </w:rPr>
        <w:t xml:space="preserve"> at 3</w:t>
      </w:r>
      <w:r w:rsidR="001C0BB3" w:rsidRPr="005B1ED4">
        <w:rPr>
          <w:rFonts w:ascii="Book Antiqua" w:hAnsi="Book Antiqua" w:cs="Times New Roman"/>
          <w:sz w:val="28"/>
          <w:szCs w:val="28"/>
        </w:rPr>
        <w:t xml:space="preserve"> (Apr. 28, 2025) </w:t>
      </w:r>
      <w:r w:rsidR="00D92605" w:rsidRPr="005B1ED4">
        <w:rPr>
          <w:rFonts w:ascii="Book Antiqua" w:hAnsi="Book Antiqua" w:cs="Times New Roman"/>
          <w:sz w:val="28"/>
          <w:szCs w:val="28"/>
        </w:rPr>
        <w:t xml:space="preserve">[AG Comm.] </w:t>
      </w:r>
      <w:r w:rsidR="001C0BB3" w:rsidRPr="005B1ED4">
        <w:rPr>
          <w:rFonts w:ascii="Book Antiqua" w:hAnsi="Book Antiqua" w:cs="Times New Roman"/>
          <w:sz w:val="28"/>
          <w:szCs w:val="28"/>
        </w:rPr>
        <w:t>(“</w:t>
      </w:r>
      <w:r w:rsidR="001C0BB3" w:rsidRPr="005B1ED4">
        <w:rPr>
          <w:rFonts w:ascii="Book Antiqua" w:hAnsi="Book Antiqua" w:cs="Times New Roman"/>
          <w:i/>
          <w:iCs/>
          <w:sz w:val="28"/>
          <w:szCs w:val="28"/>
        </w:rPr>
        <w:t xml:space="preserve">Janus </w:t>
      </w:r>
      <w:r w:rsidR="001C0BB3" w:rsidRPr="005B1ED4">
        <w:rPr>
          <w:rFonts w:ascii="Book Antiqua" w:hAnsi="Book Antiqua" w:cs="Times New Roman"/>
          <w:sz w:val="28"/>
          <w:szCs w:val="28"/>
        </w:rPr>
        <w:t>addressed a different issue . . .”)</w:t>
      </w:r>
      <w:r w:rsidR="00BE7629" w:rsidRPr="005B1ED4">
        <w:rPr>
          <w:rFonts w:ascii="Book Antiqua" w:hAnsi="Book Antiqua" w:cs="Times New Roman"/>
          <w:sz w:val="28"/>
          <w:szCs w:val="28"/>
        </w:rPr>
        <w:t>; Comm</w:t>
      </w:r>
      <w:r w:rsidR="00B262E6" w:rsidRPr="005B1ED4">
        <w:rPr>
          <w:rFonts w:ascii="Book Antiqua" w:hAnsi="Book Antiqua" w:cs="Times New Roman"/>
          <w:sz w:val="28"/>
          <w:szCs w:val="28"/>
        </w:rPr>
        <w:t>unity</w:t>
      </w:r>
      <w:r w:rsidR="00BE7629" w:rsidRPr="005B1ED4">
        <w:rPr>
          <w:rFonts w:ascii="Book Antiqua" w:hAnsi="Book Antiqua" w:cs="Times New Roman"/>
          <w:sz w:val="28"/>
          <w:szCs w:val="28"/>
        </w:rPr>
        <w:t xml:space="preserve"> L. Servs. </w:t>
      </w:r>
      <w:r w:rsidR="00B262E6" w:rsidRPr="005B1ED4">
        <w:rPr>
          <w:rFonts w:ascii="Book Antiqua" w:hAnsi="Book Antiqua" w:cs="Times New Roman"/>
          <w:sz w:val="28"/>
          <w:szCs w:val="28"/>
        </w:rPr>
        <w:t xml:space="preserve">et al. </w:t>
      </w:r>
      <w:r w:rsidR="00BE7629" w:rsidRPr="005B1ED4">
        <w:rPr>
          <w:rFonts w:ascii="Book Antiqua" w:hAnsi="Book Antiqua" w:cs="Times New Roman"/>
          <w:sz w:val="28"/>
          <w:szCs w:val="28"/>
        </w:rPr>
        <w:t>at 4 (May 1, 2025)</w:t>
      </w:r>
      <w:r w:rsidR="00B262E6" w:rsidRPr="005B1ED4">
        <w:rPr>
          <w:rFonts w:ascii="Book Antiqua" w:hAnsi="Book Antiqua" w:cs="Times New Roman"/>
          <w:sz w:val="28"/>
          <w:szCs w:val="28"/>
        </w:rPr>
        <w:t xml:space="preserve"> [</w:t>
      </w:r>
      <w:r w:rsidR="008F00EF" w:rsidRPr="005B1ED4">
        <w:rPr>
          <w:rFonts w:ascii="Book Antiqua" w:hAnsi="Book Antiqua" w:cs="Times New Roman"/>
          <w:sz w:val="28"/>
          <w:szCs w:val="28"/>
        </w:rPr>
        <w:t>“</w:t>
      </w:r>
      <w:r w:rsidR="00B262E6" w:rsidRPr="005B1ED4">
        <w:rPr>
          <w:rFonts w:ascii="Book Antiqua" w:hAnsi="Book Antiqua" w:cs="Times New Roman"/>
          <w:sz w:val="28"/>
          <w:szCs w:val="28"/>
        </w:rPr>
        <w:t>CLS Comm.</w:t>
      </w:r>
      <w:r w:rsidR="008F00EF" w:rsidRPr="005B1ED4">
        <w:rPr>
          <w:rFonts w:ascii="Book Antiqua" w:hAnsi="Book Antiqua" w:cs="Times New Roman"/>
          <w:sz w:val="28"/>
          <w:szCs w:val="28"/>
        </w:rPr>
        <w:t>”</w:t>
      </w:r>
      <w:r w:rsidR="00B262E6" w:rsidRPr="005B1ED4">
        <w:rPr>
          <w:rFonts w:ascii="Book Antiqua" w:hAnsi="Book Antiqua" w:cs="Times New Roman"/>
          <w:sz w:val="28"/>
          <w:szCs w:val="28"/>
        </w:rPr>
        <w:t>]</w:t>
      </w:r>
      <w:r w:rsidR="00BE7629" w:rsidRPr="005B1ED4">
        <w:rPr>
          <w:rFonts w:ascii="Book Antiqua" w:hAnsi="Book Antiqua" w:cs="Times New Roman"/>
          <w:sz w:val="28"/>
          <w:szCs w:val="28"/>
        </w:rPr>
        <w:t>.</w:t>
      </w:r>
      <w:r w:rsidR="00981EA4" w:rsidRPr="005B1ED4">
        <w:rPr>
          <w:rFonts w:ascii="Book Antiqua" w:hAnsi="Book Antiqua" w:cs="Times New Roman"/>
          <w:i/>
          <w:iCs/>
          <w:sz w:val="28"/>
          <w:szCs w:val="28"/>
        </w:rPr>
        <w:t xml:space="preserve"> </w:t>
      </w:r>
      <w:r w:rsidR="000E6DF9" w:rsidRPr="005B1ED4">
        <w:rPr>
          <w:rFonts w:ascii="Book Antiqua" w:hAnsi="Book Antiqua" w:cs="Times New Roman"/>
          <w:sz w:val="28"/>
          <w:szCs w:val="28"/>
        </w:rPr>
        <w:t>This</w:t>
      </w:r>
      <w:r w:rsidR="00981EA4" w:rsidRPr="005B1ED4">
        <w:rPr>
          <w:rFonts w:ascii="Book Antiqua" w:hAnsi="Book Antiqua" w:cs="Times New Roman"/>
          <w:sz w:val="28"/>
          <w:szCs w:val="28"/>
        </w:rPr>
        <w:t xml:space="preserve"> argument is not persuasive. </w:t>
      </w:r>
      <w:r w:rsidR="001F1FD2" w:rsidRPr="005B1ED4">
        <w:rPr>
          <w:rFonts w:ascii="Book Antiqua" w:hAnsi="Book Antiqua" w:cs="Times New Roman"/>
          <w:i/>
          <w:iCs/>
          <w:sz w:val="28"/>
          <w:szCs w:val="28"/>
        </w:rPr>
        <w:t xml:space="preserve">Janus </w:t>
      </w:r>
      <w:r w:rsidR="001F1FD2" w:rsidRPr="005B1ED4">
        <w:rPr>
          <w:rFonts w:ascii="Book Antiqua" w:hAnsi="Book Antiqua" w:cs="Times New Roman"/>
          <w:sz w:val="28"/>
          <w:szCs w:val="28"/>
        </w:rPr>
        <w:t xml:space="preserve">is clear that the First Amendment principles it </w:t>
      </w:r>
      <w:r w:rsidR="00F72FDC" w:rsidRPr="005B1ED4">
        <w:rPr>
          <w:rFonts w:ascii="Book Antiqua" w:hAnsi="Book Antiqua" w:cs="Times New Roman"/>
          <w:sz w:val="28"/>
          <w:szCs w:val="28"/>
        </w:rPr>
        <w:t>delineates</w:t>
      </w:r>
      <w:r w:rsidR="008160E1" w:rsidRPr="005B1ED4">
        <w:rPr>
          <w:rFonts w:ascii="Book Antiqua" w:hAnsi="Book Antiqua" w:cs="Times New Roman"/>
          <w:sz w:val="28"/>
          <w:szCs w:val="28"/>
        </w:rPr>
        <w:t xml:space="preserve"> are broad and</w:t>
      </w:r>
      <w:r w:rsidR="001F1FD2" w:rsidRPr="005B1ED4">
        <w:rPr>
          <w:rFonts w:ascii="Book Antiqua" w:hAnsi="Book Antiqua" w:cs="Times New Roman"/>
          <w:sz w:val="28"/>
          <w:szCs w:val="28"/>
        </w:rPr>
        <w:t xml:space="preserve"> do not turn on the</w:t>
      </w:r>
      <w:r w:rsidR="00BC5E62" w:rsidRPr="005B1ED4">
        <w:rPr>
          <w:rFonts w:ascii="Book Antiqua" w:hAnsi="Book Antiqua" w:cs="Times New Roman"/>
          <w:sz w:val="28"/>
          <w:szCs w:val="28"/>
        </w:rPr>
        <w:t xml:space="preserve"> </w:t>
      </w:r>
      <w:r w:rsidR="00213B14" w:rsidRPr="005B1ED4">
        <w:rPr>
          <w:rFonts w:ascii="Book Antiqua" w:hAnsi="Book Antiqua" w:cs="Times New Roman"/>
          <w:sz w:val="28"/>
          <w:szCs w:val="28"/>
        </w:rPr>
        <w:t xml:space="preserve">precise </w:t>
      </w:r>
      <w:r w:rsidR="007C3C75" w:rsidRPr="005B1ED4">
        <w:rPr>
          <w:rFonts w:ascii="Book Antiqua" w:hAnsi="Book Antiqua" w:cs="Times New Roman"/>
          <w:sz w:val="28"/>
          <w:szCs w:val="28"/>
        </w:rPr>
        <w:t xml:space="preserve">function </w:t>
      </w:r>
      <w:r w:rsidR="001F1FD2" w:rsidRPr="005B1ED4">
        <w:rPr>
          <w:rFonts w:ascii="Book Antiqua" w:hAnsi="Book Antiqua" w:cs="Times New Roman"/>
          <w:sz w:val="28"/>
          <w:szCs w:val="28"/>
        </w:rPr>
        <w:t xml:space="preserve">of </w:t>
      </w:r>
      <w:r w:rsidR="007C3C75" w:rsidRPr="005B1ED4">
        <w:rPr>
          <w:rFonts w:ascii="Book Antiqua" w:hAnsi="Book Antiqua" w:cs="Times New Roman"/>
          <w:sz w:val="28"/>
          <w:szCs w:val="28"/>
        </w:rPr>
        <w:t>the</w:t>
      </w:r>
      <w:r w:rsidR="00227BA2" w:rsidRPr="005B1ED4">
        <w:rPr>
          <w:rFonts w:ascii="Book Antiqua" w:hAnsi="Book Antiqua" w:cs="Times New Roman"/>
          <w:sz w:val="28"/>
          <w:szCs w:val="28"/>
        </w:rPr>
        <w:t xml:space="preserve"> government</w:t>
      </w:r>
      <w:r w:rsidR="001F1FD2" w:rsidRPr="005B1ED4">
        <w:rPr>
          <w:rFonts w:ascii="Book Antiqua" w:hAnsi="Book Antiqua" w:cs="Times New Roman"/>
          <w:sz w:val="28"/>
          <w:szCs w:val="28"/>
        </w:rPr>
        <w:t xml:space="preserve"> </w:t>
      </w:r>
      <w:r w:rsidR="007C3C75" w:rsidRPr="005B1ED4">
        <w:rPr>
          <w:rFonts w:ascii="Book Antiqua" w:hAnsi="Book Antiqua" w:cs="Times New Roman"/>
          <w:sz w:val="28"/>
          <w:szCs w:val="28"/>
        </w:rPr>
        <w:t xml:space="preserve">entity that is </w:t>
      </w:r>
      <w:r w:rsidR="001F1FD2" w:rsidRPr="005B1ED4">
        <w:rPr>
          <w:rFonts w:ascii="Book Antiqua" w:hAnsi="Book Antiqua" w:cs="Times New Roman"/>
          <w:sz w:val="28"/>
          <w:szCs w:val="28"/>
        </w:rPr>
        <w:t>compelling speech</w:t>
      </w:r>
      <w:r w:rsidR="00BA233E" w:rsidRPr="005B1ED4">
        <w:rPr>
          <w:rFonts w:ascii="Book Antiqua" w:hAnsi="Book Antiqua" w:cs="Times New Roman"/>
          <w:sz w:val="28"/>
          <w:szCs w:val="28"/>
        </w:rPr>
        <w:t xml:space="preserve"> by citizens</w:t>
      </w:r>
      <w:r w:rsidR="001F1FD2" w:rsidRPr="005B1ED4">
        <w:rPr>
          <w:rFonts w:ascii="Book Antiqua" w:hAnsi="Book Antiqua" w:cs="Times New Roman"/>
          <w:sz w:val="28"/>
          <w:szCs w:val="28"/>
        </w:rPr>
        <w:t>, but</w:t>
      </w:r>
      <w:r w:rsidR="00BC5E62" w:rsidRPr="005B1ED4">
        <w:rPr>
          <w:rFonts w:ascii="Book Antiqua" w:hAnsi="Book Antiqua" w:cs="Times New Roman"/>
          <w:sz w:val="28"/>
          <w:szCs w:val="28"/>
        </w:rPr>
        <w:t xml:space="preserve"> </w:t>
      </w:r>
      <w:r w:rsidR="00DB5D18" w:rsidRPr="005B1ED4">
        <w:rPr>
          <w:rFonts w:ascii="Book Antiqua" w:hAnsi="Book Antiqua" w:cs="Times New Roman"/>
          <w:sz w:val="28"/>
          <w:szCs w:val="28"/>
        </w:rPr>
        <w:t xml:space="preserve">instead </w:t>
      </w:r>
      <w:r w:rsidR="00A459F6" w:rsidRPr="005B1ED4">
        <w:rPr>
          <w:rFonts w:ascii="Book Antiqua" w:hAnsi="Book Antiqua" w:cs="Times New Roman"/>
          <w:sz w:val="28"/>
          <w:szCs w:val="28"/>
        </w:rPr>
        <w:t xml:space="preserve">on </w:t>
      </w:r>
      <w:r w:rsidR="001F1FD2" w:rsidRPr="005B1ED4">
        <w:rPr>
          <w:rFonts w:ascii="Book Antiqua" w:hAnsi="Book Antiqua" w:cs="Times New Roman"/>
          <w:sz w:val="28"/>
          <w:szCs w:val="28"/>
        </w:rPr>
        <w:t>the</w:t>
      </w:r>
      <w:r w:rsidR="00A459F6" w:rsidRPr="005B1ED4">
        <w:rPr>
          <w:rFonts w:ascii="Book Antiqua" w:hAnsi="Book Antiqua" w:cs="Times New Roman"/>
          <w:sz w:val="28"/>
          <w:szCs w:val="28"/>
        </w:rPr>
        <w:t xml:space="preserve"> </w:t>
      </w:r>
      <w:r w:rsidR="001F1FD2" w:rsidRPr="005B1ED4">
        <w:rPr>
          <w:rFonts w:ascii="Book Antiqua" w:hAnsi="Book Antiqua" w:cs="Times New Roman"/>
          <w:sz w:val="28"/>
          <w:szCs w:val="28"/>
        </w:rPr>
        <w:t>fact that</w:t>
      </w:r>
      <w:r w:rsidR="00DA73D1" w:rsidRPr="005B1ED4">
        <w:rPr>
          <w:rFonts w:ascii="Book Antiqua" w:hAnsi="Book Antiqua" w:cs="Times New Roman"/>
          <w:sz w:val="28"/>
          <w:szCs w:val="28"/>
        </w:rPr>
        <w:t xml:space="preserve"> speech is being </w:t>
      </w:r>
      <w:r w:rsidR="00213B14" w:rsidRPr="005B1ED4">
        <w:rPr>
          <w:rFonts w:ascii="Book Antiqua" w:hAnsi="Book Antiqua" w:cs="Times New Roman"/>
          <w:sz w:val="28"/>
          <w:szCs w:val="28"/>
        </w:rPr>
        <w:t>compelled at all.</w:t>
      </w:r>
    </w:p>
    <w:p w14:paraId="62AC1504" w14:textId="12568AEB" w:rsidR="00981EA4" w:rsidRPr="005B1ED4" w:rsidRDefault="00D92605" w:rsidP="008D491A">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The</w:t>
      </w:r>
      <w:r w:rsidR="006F5D7C" w:rsidRPr="005B1ED4">
        <w:rPr>
          <w:rFonts w:ascii="Book Antiqua" w:hAnsi="Book Antiqua" w:cs="Times New Roman"/>
          <w:sz w:val="28"/>
          <w:szCs w:val="28"/>
        </w:rPr>
        <w:t xml:space="preserve"> Supreme</w:t>
      </w:r>
      <w:r w:rsidRPr="005B1ED4">
        <w:rPr>
          <w:rFonts w:ascii="Book Antiqua" w:hAnsi="Book Antiqua" w:cs="Times New Roman"/>
          <w:sz w:val="28"/>
          <w:szCs w:val="28"/>
        </w:rPr>
        <w:t xml:space="preserve"> Court repeat</w:t>
      </w:r>
      <w:r w:rsidR="00BF7346" w:rsidRPr="005B1ED4">
        <w:rPr>
          <w:rFonts w:ascii="Book Antiqua" w:hAnsi="Book Antiqua" w:cs="Times New Roman"/>
          <w:sz w:val="28"/>
          <w:szCs w:val="28"/>
        </w:rPr>
        <w:t>s</w:t>
      </w:r>
      <w:r w:rsidRPr="005B1ED4">
        <w:rPr>
          <w:rFonts w:ascii="Book Antiqua" w:hAnsi="Book Antiqua" w:cs="Times New Roman"/>
          <w:sz w:val="28"/>
          <w:szCs w:val="28"/>
        </w:rPr>
        <w:t xml:space="preserve"> this</w:t>
      </w:r>
      <w:r w:rsidR="007C3C75" w:rsidRPr="005B1ED4">
        <w:rPr>
          <w:rFonts w:ascii="Book Antiqua" w:hAnsi="Book Antiqua" w:cs="Times New Roman"/>
          <w:sz w:val="28"/>
          <w:szCs w:val="28"/>
        </w:rPr>
        <w:t xml:space="preserve"> point</w:t>
      </w:r>
      <w:r w:rsidRPr="005B1ED4">
        <w:rPr>
          <w:rFonts w:ascii="Book Antiqua" w:hAnsi="Book Antiqua" w:cs="Times New Roman"/>
          <w:sz w:val="28"/>
          <w:szCs w:val="28"/>
        </w:rPr>
        <w:t xml:space="preserve"> throughout its decision</w:t>
      </w:r>
      <w:r w:rsidR="0003726B" w:rsidRPr="005B1ED4">
        <w:rPr>
          <w:rFonts w:ascii="Book Antiqua" w:hAnsi="Book Antiqua" w:cs="Times New Roman"/>
          <w:sz w:val="28"/>
          <w:szCs w:val="28"/>
        </w:rPr>
        <w:t xml:space="preserve">, </w:t>
      </w:r>
      <w:r w:rsidR="003E620D" w:rsidRPr="005B1ED4">
        <w:rPr>
          <w:rFonts w:ascii="Book Antiqua" w:hAnsi="Book Antiqua" w:cs="Times New Roman"/>
          <w:sz w:val="28"/>
          <w:szCs w:val="28"/>
        </w:rPr>
        <w:t xml:space="preserve">explaining </w:t>
      </w:r>
      <w:r w:rsidR="0003726B" w:rsidRPr="005B1ED4">
        <w:rPr>
          <w:rFonts w:ascii="Book Antiqua" w:hAnsi="Book Antiqua" w:cs="Times New Roman"/>
          <w:sz w:val="28"/>
          <w:szCs w:val="28"/>
        </w:rPr>
        <w:t>that</w:t>
      </w:r>
      <w:r w:rsidR="00CD66B6" w:rsidRPr="005B1ED4">
        <w:rPr>
          <w:rFonts w:ascii="Book Antiqua" w:hAnsi="Book Antiqua" w:cs="Times New Roman"/>
          <w:sz w:val="28"/>
          <w:szCs w:val="28"/>
        </w:rPr>
        <w:t xml:space="preserve"> </w:t>
      </w:r>
      <w:r w:rsidR="0003726B" w:rsidRPr="005B1ED4">
        <w:rPr>
          <w:rFonts w:ascii="Book Antiqua" w:hAnsi="Book Antiqua" w:cs="Times New Roman"/>
          <w:sz w:val="28"/>
          <w:szCs w:val="28"/>
        </w:rPr>
        <w:t>“[c]</w:t>
      </w:r>
      <w:r w:rsidR="00981EA4" w:rsidRPr="005B1ED4">
        <w:rPr>
          <w:rFonts w:ascii="Book Antiqua" w:hAnsi="Book Antiqua" w:cs="Times New Roman"/>
          <w:sz w:val="28"/>
          <w:szCs w:val="28"/>
        </w:rPr>
        <w:t>ompelling individuals to mouth support for views they find objectionable violates that cardinal constitutional command</w:t>
      </w:r>
      <w:r w:rsidR="0003726B" w:rsidRPr="005B1ED4">
        <w:rPr>
          <w:rFonts w:ascii="Book Antiqua" w:hAnsi="Book Antiqua" w:cs="Times New Roman"/>
          <w:sz w:val="28"/>
          <w:szCs w:val="28"/>
        </w:rPr>
        <w:t xml:space="preserve">” that citizens </w:t>
      </w:r>
      <w:r w:rsidR="00FC2578" w:rsidRPr="005B1ED4">
        <w:rPr>
          <w:rFonts w:ascii="Book Antiqua" w:hAnsi="Book Antiqua" w:cs="Times New Roman"/>
          <w:sz w:val="28"/>
          <w:szCs w:val="28"/>
        </w:rPr>
        <w:t>can</w:t>
      </w:r>
      <w:r w:rsidR="0003726B" w:rsidRPr="005B1ED4">
        <w:rPr>
          <w:rFonts w:ascii="Book Antiqua" w:hAnsi="Book Antiqua" w:cs="Times New Roman"/>
          <w:sz w:val="28"/>
          <w:szCs w:val="28"/>
        </w:rPr>
        <w:t xml:space="preserve"> refrain</w:t>
      </w:r>
      <w:r w:rsidR="0003726B" w:rsidRPr="005B1ED4">
        <w:rPr>
          <w:rFonts w:ascii="Book Antiqua" w:hAnsi="Book Antiqua" w:cs="Times New Roman"/>
          <w:i/>
          <w:iCs/>
          <w:sz w:val="28"/>
          <w:szCs w:val="28"/>
        </w:rPr>
        <w:t xml:space="preserve"> </w:t>
      </w:r>
      <w:r w:rsidR="0003726B" w:rsidRPr="005B1ED4">
        <w:rPr>
          <w:rFonts w:ascii="Book Antiqua" w:hAnsi="Book Antiqua" w:cs="Times New Roman"/>
          <w:sz w:val="28"/>
          <w:szCs w:val="28"/>
        </w:rPr>
        <w:t>from spe</w:t>
      </w:r>
      <w:r w:rsidR="00CD66B6" w:rsidRPr="005B1ED4">
        <w:rPr>
          <w:rFonts w:ascii="Book Antiqua" w:hAnsi="Book Antiqua" w:cs="Times New Roman"/>
          <w:sz w:val="28"/>
          <w:szCs w:val="28"/>
        </w:rPr>
        <w:t>aking</w:t>
      </w:r>
      <w:r w:rsidR="0003726B" w:rsidRPr="005B1ED4">
        <w:rPr>
          <w:rFonts w:ascii="Book Antiqua" w:hAnsi="Book Antiqua" w:cs="Times New Roman"/>
          <w:sz w:val="28"/>
          <w:szCs w:val="28"/>
        </w:rPr>
        <w:t>.</w:t>
      </w:r>
      <w:r w:rsidR="00981EA4" w:rsidRPr="005B1ED4">
        <w:rPr>
          <w:rFonts w:ascii="Book Antiqua" w:hAnsi="Book Antiqua" w:cs="Times New Roman"/>
          <w:sz w:val="28"/>
          <w:szCs w:val="28"/>
        </w:rPr>
        <w:t xml:space="preserve"> </w:t>
      </w:r>
      <w:r w:rsidR="0003726B" w:rsidRPr="005B1ED4">
        <w:rPr>
          <w:rFonts w:ascii="Book Antiqua" w:hAnsi="Book Antiqua" w:cs="Times New Roman"/>
          <w:i/>
          <w:iCs/>
          <w:sz w:val="28"/>
          <w:szCs w:val="28"/>
        </w:rPr>
        <w:t>Janus</w:t>
      </w:r>
      <w:r w:rsidR="0003726B" w:rsidRPr="005B1ED4">
        <w:rPr>
          <w:rFonts w:ascii="Book Antiqua" w:hAnsi="Book Antiqua" w:cs="Times New Roman"/>
          <w:sz w:val="28"/>
          <w:szCs w:val="28"/>
        </w:rPr>
        <w:t>,</w:t>
      </w:r>
      <w:r w:rsidR="0003726B" w:rsidRPr="005B1ED4">
        <w:rPr>
          <w:rFonts w:ascii="Book Antiqua" w:hAnsi="Book Antiqua" w:cs="Times New Roman"/>
          <w:i/>
          <w:iCs/>
          <w:sz w:val="28"/>
          <w:szCs w:val="28"/>
        </w:rPr>
        <w:t xml:space="preserve"> </w:t>
      </w:r>
      <w:r w:rsidR="0003726B" w:rsidRPr="005B1ED4">
        <w:rPr>
          <w:rFonts w:ascii="Book Antiqua" w:hAnsi="Book Antiqua" w:cs="Times New Roman"/>
          <w:sz w:val="28"/>
          <w:szCs w:val="28"/>
        </w:rPr>
        <w:t xml:space="preserve">585 U.S. at 892. </w:t>
      </w:r>
      <w:r w:rsidR="00023174" w:rsidRPr="005B1ED4">
        <w:rPr>
          <w:rFonts w:ascii="Book Antiqua" w:hAnsi="Book Antiqua" w:cs="Times New Roman"/>
          <w:sz w:val="28"/>
          <w:szCs w:val="28"/>
        </w:rPr>
        <w:t xml:space="preserve">Quoting Thomas Jefferson, the Court </w:t>
      </w:r>
      <w:r w:rsidR="00CD66B6" w:rsidRPr="005B1ED4">
        <w:rPr>
          <w:rFonts w:ascii="Book Antiqua" w:hAnsi="Book Antiqua" w:cs="Times New Roman"/>
          <w:sz w:val="28"/>
          <w:szCs w:val="28"/>
        </w:rPr>
        <w:t xml:space="preserve">warns </w:t>
      </w:r>
      <w:r w:rsidR="00023174" w:rsidRPr="005B1ED4">
        <w:rPr>
          <w:rFonts w:ascii="Book Antiqua" w:hAnsi="Book Antiqua" w:cs="Times New Roman"/>
          <w:sz w:val="28"/>
          <w:szCs w:val="28"/>
        </w:rPr>
        <w:t xml:space="preserve">that “to compel a man to furnish contributions of money for the propagation of opinions which he disbelieves and abhor[s] is sinful and tyrannical.” </w:t>
      </w:r>
      <w:r w:rsidR="00116F26" w:rsidRPr="005B1ED4">
        <w:rPr>
          <w:rFonts w:ascii="Book Antiqua" w:hAnsi="Book Antiqua" w:cs="Times New Roman"/>
          <w:i/>
          <w:iCs/>
          <w:sz w:val="28"/>
          <w:szCs w:val="28"/>
        </w:rPr>
        <w:t xml:space="preserve">Id. </w:t>
      </w:r>
      <w:r w:rsidR="00116F26" w:rsidRPr="005B1ED4">
        <w:rPr>
          <w:rFonts w:ascii="Book Antiqua" w:hAnsi="Book Antiqua" w:cs="Times New Roman"/>
          <w:sz w:val="28"/>
          <w:szCs w:val="28"/>
        </w:rPr>
        <w:t>at 983 (quoting</w:t>
      </w:r>
      <w:r w:rsidR="00023174" w:rsidRPr="005B1ED4">
        <w:rPr>
          <w:rFonts w:ascii="Book Antiqua" w:hAnsi="Book Antiqua" w:cs="Times New Roman"/>
          <w:sz w:val="28"/>
          <w:szCs w:val="28"/>
        </w:rPr>
        <w:t xml:space="preserve"> A Bill for Establishing Religious Freedom, in 2 Papers of Thomas Jefferson 545 (J. Boyd ed. 1950)</w:t>
      </w:r>
      <w:r w:rsidR="0090385E" w:rsidRPr="005B1ED4">
        <w:rPr>
          <w:rFonts w:ascii="Book Antiqua" w:hAnsi="Book Antiqua" w:cs="Times New Roman"/>
          <w:sz w:val="28"/>
          <w:szCs w:val="28"/>
        </w:rPr>
        <w:t>)</w:t>
      </w:r>
      <w:r w:rsidR="00E16583" w:rsidRPr="005B1ED4">
        <w:rPr>
          <w:rFonts w:ascii="Book Antiqua" w:hAnsi="Book Antiqua" w:cs="Times New Roman"/>
          <w:sz w:val="28"/>
          <w:szCs w:val="28"/>
        </w:rPr>
        <w:t>.</w:t>
      </w:r>
      <w:r w:rsidR="00023174" w:rsidRPr="005B1ED4">
        <w:rPr>
          <w:rFonts w:ascii="Book Antiqua" w:hAnsi="Book Antiqua" w:cs="Times New Roman"/>
          <w:sz w:val="28"/>
          <w:szCs w:val="28"/>
        </w:rPr>
        <w:t xml:space="preserve"> </w:t>
      </w:r>
      <w:r w:rsidR="00393968" w:rsidRPr="005B1ED4">
        <w:rPr>
          <w:rFonts w:ascii="Book Antiqua" w:hAnsi="Book Antiqua" w:cs="Times New Roman"/>
          <w:sz w:val="28"/>
          <w:szCs w:val="28"/>
        </w:rPr>
        <w:t>And n</w:t>
      </w:r>
      <w:r w:rsidR="00597F4D" w:rsidRPr="005B1ED4">
        <w:rPr>
          <w:rFonts w:ascii="Book Antiqua" w:hAnsi="Book Antiqua" w:cs="Times New Roman"/>
          <w:sz w:val="28"/>
          <w:szCs w:val="28"/>
        </w:rPr>
        <w:t>othing</w:t>
      </w:r>
      <w:r w:rsidR="00E16583" w:rsidRPr="005B1ED4">
        <w:rPr>
          <w:rFonts w:ascii="Book Antiqua" w:hAnsi="Book Antiqua" w:cs="Times New Roman"/>
          <w:sz w:val="28"/>
          <w:szCs w:val="28"/>
        </w:rPr>
        <w:t xml:space="preserve"> in </w:t>
      </w:r>
      <w:r w:rsidR="00597F4D" w:rsidRPr="005B1ED4">
        <w:rPr>
          <w:rFonts w:ascii="Book Antiqua" w:hAnsi="Book Antiqua" w:cs="Times New Roman"/>
          <w:i/>
          <w:iCs/>
          <w:sz w:val="28"/>
          <w:szCs w:val="28"/>
        </w:rPr>
        <w:t>Janus</w:t>
      </w:r>
      <w:r w:rsidR="00E16583" w:rsidRPr="005B1ED4">
        <w:rPr>
          <w:rFonts w:ascii="Book Antiqua" w:hAnsi="Book Antiqua" w:cs="Times New Roman"/>
          <w:sz w:val="28"/>
          <w:szCs w:val="28"/>
        </w:rPr>
        <w:t xml:space="preserve"> </w:t>
      </w:r>
      <w:r w:rsidR="00666D76" w:rsidRPr="005B1ED4">
        <w:rPr>
          <w:rFonts w:ascii="Book Antiqua" w:hAnsi="Book Antiqua" w:cs="Times New Roman"/>
          <w:sz w:val="28"/>
          <w:szCs w:val="28"/>
        </w:rPr>
        <w:t>suggests</w:t>
      </w:r>
      <w:r w:rsidR="00E16583" w:rsidRPr="005B1ED4">
        <w:rPr>
          <w:rFonts w:ascii="Book Antiqua" w:hAnsi="Book Antiqua" w:cs="Times New Roman"/>
          <w:sz w:val="28"/>
          <w:szCs w:val="28"/>
        </w:rPr>
        <w:t xml:space="preserve"> that </w:t>
      </w:r>
      <w:r w:rsidR="00E16583" w:rsidRPr="005B1ED4">
        <w:rPr>
          <w:rFonts w:ascii="Book Antiqua" w:hAnsi="Book Antiqua" w:cs="Times New Roman"/>
          <w:i/>
          <w:iCs/>
          <w:sz w:val="28"/>
          <w:szCs w:val="28"/>
        </w:rPr>
        <w:t>only</w:t>
      </w:r>
      <w:r w:rsidR="00E16583" w:rsidRPr="005B1ED4">
        <w:rPr>
          <w:rFonts w:ascii="Book Antiqua" w:hAnsi="Book Antiqua" w:cs="Times New Roman"/>
          <w:sz w:val="28"/>
          <w:szCs w:val="28"/>
        </w:rPr>
        <w:t xml:space="preserve"> public-sector unions can </w:t>
      </w:r>
      <w:r w:rsidR="008D491A" w:rsidRPr="005B1ED4">
        <w:rPr>
          <w:rFonts w:ascii="Book Antiqua" w:hAnsi="Book Antiqua" w:cs="Times New Roman"/>
          <w:sz w:val="28"/>
          <w:szCs w:val="28"/>
        </w:rPr>
        <w:t>unlawfully</w:t>
      </w:r>
      <w:r w:rsidR="004F4EAF" w:rsidRPr="005B1ED4">
        <w:rPr>
          <w:rFonts w:ascii="Book Antiqua" w:hAnsi="Book Antiqua" w:cs="Times New Roman"/>
          <w:sz w:val="28"/>
          <w:szCs w:val="28"/>
        </w:rPr>
        <w:t xml:space="preserve"> </w:t>
      </w:r>
      <w:r w:rsidR="004F4EAF" w:rsidRPr="005B1ED4">
        <w:rPr>
          <w:rFonts w:ascii="Book Antiqua" w:hAnsi="Book Antiqua" w:cs="Times New Roman"/>
          <w:sz w:val="28"/>
          <w:szCs w:val="28"/>
        </w:rPr>
        <w:lastRenderedPageBreak/>
        <w:t>compel speech</w:t>
      </w:r>
      <w:r w:rsidR="00E16583" w:rsidRPr="005B1ED4">
        <w:rPr>
          <w:rFonts w:ascii="Book Antiqua" w:hAnsi="Book Antiqua" w:cs="Times New Roman"/>
          <w:sz w:val="28"/>
          <w:szCs w:val="28"/>
        </w:rPr>
        <w:t>; indeed</w:t>
      </w:r>
      <w:r w:rsidR="0003726B" w:rsidRPr="005B1ED4">
        <w:rPr>
          <w:rFonts w:ascii="Book Antiqua" w:hAnsi="Book Antiqua" w:cs="Times New Roman"/>
          <w:sz w:val="28"/>
          <w:szCs w:val="28"/>
        </w:rPr>
        <w:t xml:space="preserve">, the Court </w:t>
      </w:r>
      <w:r w:rsidR="00993412" w:rsidRPr="005B1ED4">
        <w:rPr>
          <w:rFonts w:ascii="Book Antiqua" w:hAnsi="Book Antiqua" w:cs="Times New Roman"/>
          <w:sz w:val="28"/>
          <w:szCs w:val="28"/>
        </w:rPr>
        <w:t>makes clear</w:t>
      </w:r>
      <w:r w:rsidR="0090385E" w:rsidRPr="005B1ED4">
        <w:rPr>
          <w:rFonts w:ascii="Book Antiqua" w:hAnsi="Book Antiqua" w:cs="Times New Roman"/>
          <w:sz w:val="28"/>
          <w:szCs w:val="28"/>
        </w:rPr>
        <w:t xml:space="preserve"> </w:t>
      </w:r>
      <w:r w:rsidR="0003726B" w:rsidRPr="005B1ED4">
        <w:rPr>
          <w:rFonts w:ascii="Book Antiqua" w:hAnsi="Book Antiqua" w:cs="Times New Roman"/>
          <w:sz w:val="28"/>
          <w:szCs w:val="28"/>
        </w:rPr>
        <w:t xml:space="preserve">that its decision is </w:t>
      </w:r>
      <w:r w:rsidR="0003726B" w:rsidRPr="005B1ED4">
        <w:rPr>
          <w:rFonts w:ascii="Book Antiqua" w:hAnsi="Book Antiqua" w:cs="Times New Roman"/>
          <w:i/>
          <w:iCs/>
          <w:sz w:val="28"/>
          <w:szCs w:val="28"/>
        </w:rPr>
        <w:t xml:space="preserve">not </w:t>
      </w:r>
      <w:r w:rsidR="0003726B" w:rsidRPr="005B1ED4">
        <w:rPr>
          <w:rFonts w:ascii="Book Antiqua" w:hAnsi="Book Antiqua" w:cs="Times New Roman"/>
          <w:sz w:val="28"/>
          <w:szCs w:val="28"/>
        </w:rPr>
        <w:t xml:space="preserve">limited to unions, </w:t>
      </w:r>
      <w:r w:rsidR="00C77717" w:rsidRPr="005B1ED4">
        <w:rPr>
          <w:rFonts w:ascii="Book Antiqua" w:hAnsi="Book Antiqua" w:cs="Times New Roman"/>
          <w:sz w:val="28"/>
          <w:szCs w:val="28"/>
        </w:rPr>
        <w:t>stating</w:t>
      </w:r>
      <w:r w:rsidR="0003726B" w:rsidRPr="005B1ED4">
        <w:rPr>
          <w:rFonts w:ascii="Book Antiqua" w:hAnsi="Book Antiqua" w:cs="Times New Roman"/>
          <w:sz w:val="28"/>
          <w:szCs w:val="28"/>
        </w:rPr>
        <w:t xml:space="preserve"> that “</w:t>
      </w:r>
      <w:r w:rsidR="00981EA4" w:rsidRPr="005B1ED4">
        <w:rPr>
          <w:rFonts w:ascii="Book Antiqua" w:hAnsi="Book Antiqua" w:cs="Times New Roman"/>
          <w:sz w:val="28"/>
          <w:szCs w:val="28"/>
        </w:rPr>
        <w:t xml:space="preserve">in </w:t>
      </w:r>
      <w:r w:rsidR="00981EA4" w:rsidRPr="005B1ED4">
        <w:rPr>
          <w:rFonts w:ascii="Book Antiqua" w:hAnsi="Book Antiqua" w:cs="Times New Roman"/>
          <w:i/>
          <w:iCs/>
          <w:sz w:val="28"/>
          <w:szCs w:val="28"/>
        </w:rPr>
        <w:t>most</w:t>
      </w:r>
      <w:r w:rsidR="00981EA4" w:rsidRPr="005B1ED4">
        <w:rPr>
          <w:rFonts w:ascii="Book Antiqua" w:hAnsi="Book Antiqua" w:cs="Times New Roman"/>
          <w:sz w:val="28"/>
          <w:szCs w:val="28"/>
        </w:rPr>
        <w:t xml:space="preserve"> contexts, any such effort</w:t>
      </w:r>
      <w:r w:rsidR="0003726B" w:rsidRPr="005B1ED4">
        <w:rPr>
          <w:rFonts w:ascii="Book Antiqua" w:hAnsi="Book Antiqua" w:cs="Times New Roman"/>
          <w:sz w:val="28"/>
          <w:szCs w:val="28"/>
        </w:rPr>
        <w:t xml:space="preserve"> [to compel speec</w:t>
      </w:r>
      <w:r w:rsidR="00292E0E" w:rsidRPr="005B1ED4">
        <w:rPr>
          <w:rFonts w:ascii="Book Antiqua" w:hAnsi="Book Antiqua" w:cs="Times New Roman"/>
          <w:sz w:val="28"/>
          <w:szCs w:val="28"/>
        </w:rPr>
        <w:t>h</w:t>
      </w:r>
      <w:r w:rsidR="0003726B" w:rsidRPr="005B1ED4">
        <w:rPr>
          <w:rFonts w:ascii="Book Antiqua" w:hAnsi="Book Antiqua" w:cs="Times New Roman"/>
          <w:sz w:val="28"/>
          <w:szCs w:val="28"/>
        </w:rPr>
        <w:t>]</w:t>
      </w:r>
      <w:r w:rsidR="00981EA4" w:rsidRPr="005B1ED4">
        <w:rPr>
          <w:rFonts w:ascii="Book Antiqua" w:hAnsi="Book Antiqua" w:cs="Times New Roman"/>
          <w:sz w:val="28"/>
          <w:szCs w:val="28"/>
        </w:rPr>
        <w:t xml:space="preserve"> would be </w:t>
      </w:r>
      <w:r w:rsidR="00981EA4" w:rsidRPr="005B1ED4">
        <w:rPr>
          <w:rFonts w:ascii="Book Antiqua" w:hAnsi="Book Antiqua" w:cs="Times New Roman"/>
          <w:i/>
          <w:iCs/>
          <w:sz w:val="28"/>
          <w:szCs w:val="28"/>
        </w:rPr>
        <w:t>universally condemned</w:t>
      </w:r>
      <w:r w:rsidR="00981EA4" w:rsidRPr="005B1ED4">
        <w:rPr>
          <w:rFonts w:ascii="Book Antiqua" w:hAnsi="Book Antiqua" w:cs="Times New Roman"/>
          <w:sz w:val="28"/>
          <w:szCs w:val="28"/>
        </w:rPr>
        <w:t xml:space="preserve">.” </w:t>
      </w:r>
      <w:r w:rsidR="0003726B" w:rsidRPr="005B1ED4">
        <w:rPr>
          <w:rFonts w:ascii="Book Antiqua" w:hAnsi="Book Antiqua" w:cs="Times New Roman"/>
          <w:i/>
          <w:iCs/>
          <w:sz w:val="28"/>
          <w:szCs w:val="28"/>
        </w:rPr>
        <w:t xml:space="preserve">Id. </w:t>
      </w:r>
      <w:r w:rsidR="00023174" w:rsidRPr="005B1ED4">
        <w:rPr>
          <w:rFonts w:ascii="Book Antiqua" w:hAnsi="Book Antiqua" w:cs="Times New Roman"/>
          <w:sz w:val="28"/>
          <w:szCs w:val="28"/>
        </w:rPr>
        <w:t xml:space="preserve">at 882 </w:t>
      </w:r>
      <w:r w:rsidR="00981EA4" w:rsidRPr="005B1ED4">
        <w:rPr>
          <w:rFonts w:ascii="Book Antiqua" w:hAnsi="Book Antiqua" w:cs="Times New Roman"/>
          <w:sz w:val="28"/>
          <w:szCs w:val="28"/>
        </w:rPr>
        <w:t>(emphas</w:t>
      </w:r>
      <w:r w:rsidR="00F04FAC" w:rsidRPr="005B1ED4">
        <w:rPr>
          <w:rFonts w:ascii="Book Antiqua" w:hAnsi="Book Antiqua" w:cs="Times New Roman"/>
          <w:sz w:val="28"/>
          <w:szCs w:val="28"/>
        </w:rPr>
        <w:t>es</w:t>
      </w:r>
      <w:r w:rsidR="00981EA4" w:rsidRPr="005B1ED4">
        <w:rPr>
          <w:rFonts w:ascii="Book Antiqua" w:hAnsi="Book Antiqua" w:cs="Times New Roman"/>
          <w:sz w:val="28"/>
          <w:szCs w:val="28"/>
        </w:rPr>
        <w:t xml:space="preserve"> added)</w:t>
      </w:r>
      <w:r w:rsidR="00D61E16" w:rsidRPr="005B1ED4">
        <w:rPr>
          <w:rFonts w:ascii="Book Antiqua" w:hAnsi="Book Antiqua" w:cs="Times New Roman"/>
          <w:sz w:val="28"/>
          <w:szCs w:val="28"/>
        </w:rPr>
        <w:t>.</w:t>
      </w:r>
      <w:r w:rsidR="00A149FF" w:rsidRPr="005B1ED4">
        <w:rPr>
          <w:rFonts w:ascii="Book Antiqua" w:hAnsi="Book Antiqua" w:cs="Times New Roman"/>
          <w:sz w:val="28"/>
          <w:szCs w:val="28"/>
        </w:rPr>
        <w:t xml:space="preserve"> </w:t>
      </w:r>
    </w:p>
    <w:p w14:paraId="11901F85" w14:textId="7EAC363A" w:rsidR="003571C5" w:rsidRPr="005B1ED4" w:rsidRDefault="001149BE" w:rsidP="00515BD1">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In any event,</w:t>
      </w:r>
      <w:r w:rsidR="006160D4" w:rsidRPr="005B1ED4">
        <w:rPr>
          <w:rFonts w:ascii="Book Antiqua" w:hAnsi="Book Antiqua" w:cs="Times New Roman"/>
          <w:sz w:val="28"/>
          <w:szCs w:val="28"/>
        </w:rPr>
        <w:t xml:space="preserve"> </w:t>
      </w:r>
      <w:r w:rsidR="00BB452C" w:rsidRPr="005B1ED4">
        <w:rPr>
          <w:rFonts w:ascii="Book Antiqua" w:hAnsi="Book Antiqua" w:cs="Times New Roman"/>
          <w:sz w:val="28"/>
          <w:szCs w:val="28"/>
        </w:rPr>
        <w:t xml:space="preserve">even </w:t>
      </w:r>
      <w:r w:rsidR="006160D4" w:rsidRPr="005B1ED4">
        <w:rPr>
          <w:rFonts w:ascii="Book Antiqua" w:hAnsi="Book Antiqua" w:cs="Times New Roman"/>
          <w:sz w:val="28"/>
          <w:szCs w:val="28"/>
        </w:rPr>
        <w:t>if the type of entity mattered</w:t>
      </w:r>
      <w:r w:rsidR="00E076DB" w:rsidRPr="005B1ED4">
        <w:rPr>
          <w:rFonts w:ascii="Book Antiqua" w:hAnsi="Book Antiqua" w:cs="Times New Roman"/>
          <w:sz w:val="28"/>
          <w:szCs w:val="28"/>
        </w:rPr>
        <w:t xml:space="preserve">, </w:t>
      </w:r>
      <w:r w:rsidR="007075CA" w:rsidRPr="005B1ED4">
        <w:rPr>
          <w:rFonts w:ascii="Book Antiqua" w:hAnsi="Book Antiqua" w:cs="Times New Roman"/>
          <w:sz w:val="28"/>
          <w:szCs w:val="28"/>
        </w:rPr>
        <w:t>as</w:t>
      </w:r>
      <w:r w:rsidR="00B37172" w:rsidRPr="005B1ED4">
        <w:rPr>
          <w:rFonts w:ascii="Book Antiqua" w:hAnsi="Book Antiqua" w:cs="Times New Roman"/>
          <w:sz w:val="28"/>
          <w:szCs w:val="28"/>
        </w:rPr>
        <w:t xml:space="preserve"> </w:t>
      </w:r>
      <w:r w:rsidR="00642BD3" w:rsidRPr="005B1ED4">
        <w:rPr>
          <w:rFonts w:ascii="Book Antiqua" w:hAnsi="Book Antiqua" w:cs="Times New Roman"/>
          <w:sz w:val="28"/>
          <w:szCs w:val="28"/>
        </w:rPr>
        <w:t>some</w:t>
      </w:r>
      <w:r w:rsidR="007075CA" w:rsidRPr="005B1ED4">
        <w:rPr>
          <w:rFonts w:ascii="Book Antiqua" w:hAnsi="Book Antiqua" w:cs="Times New Roman"/>
          <w:sz w:val="28"/>
          <w:szCs w:val="28"/>
        </w:rPr>
        <w:t xml:space="preserve"> </w:t>
      </w:r>
      <w:r w:rsidR="00782D94" w:rsidRPr="005B1ED4">
        <w:rPr>
          <w:rFonts w:ascii="Book Antiqua" w:hAnsi="Book Antiqua" w:cs="Times New Roman"/>
          <w:sz w:val="28"/>
          <w:szCs w:val="28"/>
        </w:rPr>
        <w:t>Petition O</w:t>
      </w:r>
      <w:r w:rsidR="007075CA" w:rsidRPr="005B1ED4">
        <w:rPr>
          <w:rFonts w:ascii="Book Antiqua" w:hAnsi="Book Antiqua" w:cs="Times New Roman"/>
          <w:sz w:val="28"/>
          <w:szCs w:val="28"/>
        </w:rPr>
        <w:t>pponents suggest</w:t>
      </w:r>
      <w:r w:rsidR="006160D4" w:rsidRPr="005B1ED4">
        <w:rPr>
          <w:rFonts w:ascii="Book Antiqua" w:hAnsi="Book Antiqua" w:cs="Times New Roman"/>
          <w:sz w:val="28"/>
          <w:szCs w:val="28"/>
        </w:rPr>
        <w:t xml:space="preserve">, the Supreme Court </w:t>
      </w:r>
      <w:r w:rsidR="008F569F" w:rsidRPr="005B1ED4">
        <w:rPr>
          <w:rFonts w:ascii="Book Antiqua" w:hAnsi="Book Antiqua" w:cs="Times New Roman"/>
          <w:sz w:val="28"/>
          <w:szCs w:val="28"/>
        </w:rPr>
        <w:t>has</w:t>
      </w:r>
      <w:r w:rsidR="006160D4" w:rsidRPr="005B1ED4">
        <w:rPr>
          <w:rFonts w:ascii="Book Antiqua" w:hAnsi="Book Antiqua" w:cs="Times New Roman"/>
          <w:sz w:val="28"/>
          <w:szCs w:val="28"/>
        </w:rPr>
        <w:t xml:space="preserve"> recognized </w:t>
      </w:r>
      <w:r w:rsidR="00981EA4" w:rsidRPr="005B1ED4">
        <w:rPr>
          <w:rFonts w:ascii="Book Antiqua" w:hAnsi="Book Antiqua" w:cs="Times New Roman"/>
          <w:sz w:val="28"/>
          <w:szCs w:val="28"/>
        </w:rPr>
        <w:t xml:space="preserve">that “[t]here is . . . a substantial analogy between the relationship of the State Bar and its members, on the one hand, and the relationship of employee unions and their members, on the other.” </w:t>
      </w:r>
      <w:r w:rsidR="00D25FCB" w:rsidRPr="005B1ED4">
        <w:rPr>
          <w:rFonts w:ascii="Book Antiqua" w:hAnsi="Book Antiqua" w:cs="Times New Roman"/>
          <w:i/>
          <w:iCs/>
          <w:sz w:val="28"/>
          <w:szCs w:val="28"/>
        </w:rPr>
        <w:t>Keller</w:t>
      </w:r>
      <w:r w:rsidR="00D25FCB" w:rsidRPr="005B1ED4">
        <w:rPr>
          <w:rFonts w:ascii="Book Antiqua" w:hAnsi="Book Antiqua" w:cs="Times New Roman"/>
          <w:sz w:val="28"/>
          <w:szCs w:val="28"/>
        </w:rPr>
        <w:t xml:space="preserve">, 496 U.S. </w:t>
      </w:r>
      <w:r w:rsidR="00677E9B" w:rsidRPr="005B1ED4">
        <w:rPr>
          <w:rFonts w:ascii="Book Antiqua" w:hAnsi="Book Antiqua" w:cs="Times New Roman"/>
          <w:sz w:val="28"/>
          <w:szCs w:val="28"/>
        </w:rPr>
        <w:t>at</w:t>
      </w:r>
      <w:r w:rsidR="00D25FCB" w:rsidRPr="005B1ED4">
        <w:rPr>
          <w:rFonts w:ascii="Book Antiqua" w:hAnsi="Book Antiqua" w:cs="Times New Roman"/>
          <w:sz w:val="28"/>
          <w:szCs w:val="28"/>
        </w:rPr>
        <w:t xml:space="preserve"> 12.</w:t>
      </w:r>
      <w:r w:rsidR="00962A68" w:rsidRPr="005B1ED4">
        <w:rPr>
          <w:rFonts w:ascii="Book Antiqua" w:hAnsi="Book Antiqua" w:cs="Times New Roman"/>
          <w:i/>
          <w:iCs/>
          <w:sz w:val="28"/>
          <w:szCs w:val="28"/>
        </w:rPr>
        <w:t xml:space="preserve"> </w:t>
      </w:r>
      <w:r w:rsidR="00515BD1" w:rsidRPr="005B1ED4">
        <w:rPr>
          <w:rFonts w:ascii="Book Antiqua" w:hAnsi="Book Antiqua" w:cs="Times New Roman"/>
          <w:sz w:val="28"/>
          <w:szCs w:val="28"/>
        </w:rPr>
        <w:t xml:space="preserve">Thus, the Court held, state bar associations ought to be “subject to the same constitutional rule with respect to the use of compulsory dues as are labor unions[.]” </w:t>
      </w:r>
      <w:r w:rsidR="00515BD1" w:rsidRPr="005B1ED4">
        <w:rPr>
          <w:rFonts w:ascii="Book Antiqua" w:hAnsi="Book Antiqua" w:cs="Times New Roman"/>
          <w:i/>
          <w:iCs/>
          <w:sz w:val="28"/>
          <w:szCs w:val="28"/>
        </w:rPr>
        <w:t>Id.</w:t>
      </w:r>
      <w:r w:rsidR="00515BD1" w:rsidRPr="005B1ED4">
        <w:rPr>
          <w:rFonts w:ascii="Book Antiqua" w:hAnsi="Book Antiqua" w:cs="Times New Roman"/>
          <w:sz w:val="28"/>
          <w:szCs w:val="28"/>
        </w:rPr>
        <w:t xml:space="preserve"> at 13. </w:t>
      </w:r>
      <w:r w:rsidR="006160D4" w:rsidRPr="005B1ED4">
        <w:rPr>
          <w:rFonts w:ascii="Book Antiqua" w:hAnsi="Book Antiqua" w:cs="Times New Roman"/>
          <w:sz w:val="28"/>
          <w:szCs w:val="28"/>
        </w:rPr>
        <w:t xml:space="preserve">Accordingly, the logic of </w:t>
      </w:r>
      <w:r w:rsidR="006160D4" w:rsidRPr="005B1ED4">
        <w:rPr>
          <w:rFonts w:ascii="Book Antiqua" w:hAnsi="Book Antiqua" w:cs="Times New Roman"/>
          <w:i/>
          <w:iCs/>
          <w:sz w:val="28"/>
          <w:szCs w:val="28"/>
        </w:rPr>
        <w:t xml:space="preserve">Janus </w:t>
      </w:r>
      <w:r w:rsidR="00677E9B" w:rsidRPr="005B1ED4">
        <w:rPr>
          <w:rFonts w:ascii="Book Antiqua" w:hAnsi="Book Antiqua" w:cs="Times New Roman"/>
          <w:sz w:val="28"/>
          <w:szCs w:val="28"/>
        </w:rPr>
        <w:t>extends</w:t>
      </w:r>
      <w:r w:rsidR="006160D4" w:rsidRPr="005B1ED4">
        <w:rPr>
          <w:rFonts w:ascii="Book Antiqua" w:hAnsi="Book Antiqua" w:cs="Times New Roman"/>
          <w:sz w:val="28"/>
          <w:szCs w:val="28"/>
        </w:rPr>
        <w:t xml:space="preserve"> to the Arizona Bar</w:t>
      </w:r>
      <w:r w:rsidR="00677E9B" w:rsidRPr="005B1ED4">
        <w:rPr>
          <w:rFonts w:ascii="Book Antiqua" w:hAnsi="Book Antiqua" w:cs="Times New Roman"/>
          <w:sz w:val="28"/>
          <w:szCs w:val="28"/>
        </w:rPr>
        <w:t xml:space="preserve"> under the Court’s own reasoning</w:t>
      </w:r>
      <w:r w:rsidR="006160D4" w:rsidRPr="005B1ED4">
        <w:rPr>
          <w:rFonts w:ascii="Book Antiqua" w:hAnsi="Book Antiqua" w:cs="Times New Roman"/>
          <w:sz w:val="28"/>
          <w:szCs w:val="28"/>
        </w:rPr>
        <w:t xml:space="preserve">. </w:t>
      </w:r>
      <w:r w:rsidR="007D0936" w:rsidRPr="005B1ED4">
        <w:rPr>
          <w:rFonts w:ascii="Book Antiqua" w:hAnsi="Book Antiqua" w:cs="Times New Roman"/>
          <w:sz w:val="28"/>
          <w:szCs w:val="28"/>
        </w:rPr>
        <w:t xml:space="preserve">The </w:t>
      </w:r>
      <w:r w:rsidR="00D553A1" w:rsidRPr="005B1ED4">
        <w:rPr>
          <w:rFonts w:ascii="Book Antiqua" w:hAnsi="Book Antiqua" w:cs="Times New Roman"/>
          <w:sz w:val="28"/>
          <w:szCs w:val="28"/>
        </w:rPr>
        <w:t>commenters’</w:t>
      </w:r>
      <w:r w:rsidR="007D0936" w:rsidRPr="005B1ED4">
        <w:rPr>
          <w:rFonts w:ascii="Book Antiqua" w:hAnsi="Book Antiqua" w:cs="Times New Roman"/>
          <w:sz w:val="28"/>
          <w:szCs w:val="28"/>
        </w:rPr>
        <w:t xml:space="preserve"> efforts to avoid or</w:t>
      </w:r>
      <w:r w:rsidR="00D553A1" w:rsidRPr="005B1ED4">
        <w:rPr>
          <w:rFonts w:ascii="Book Antiqua" w:hAnsi="Book Antiqua" w:cs="Times New Roman"/>
          <w:sz w:val="28"/>
          <w:szCs w:val="28"/>
        </w:rPr>
        <w:t xml:space="preserve"> </w:t>
      </w:r>
      <w:r w:rsidR="009740D2" w:rsidRPr="005B1ED4">
        <w:rPr>
          <w:rFonts w:ascii="Book Antiqua" w:hAnsi="Book Antiqua" w:cs="Times New Roman"/>
          <w:sz w:val="28"/>
          <w:szCs w:val="28"/>
        </w:rPr>
        <w:t>to</w:t>
      </w:r>
      <w:r w:rsidR="005D68F4" w:rsidRPr="005B1ED4">
        <w:rPr>
          <w:rFonts w:ascii="Book Antiqua" w:hAnsi="Book Antiqua" w:cs="Times New Roman"/>
          <w:sz w:val="28"/>
          <w:szCs w:val="28"/>
        </w:rPr>
        <w:t xml:space="preserve"> substantially</w:t>
      </w:r>
      <w:r w:rsidR="009740D2" w:rsidRPr="005B1ED4">
        <w:rPr>
          <w:rFonts w:ascii="Book Antiqua" w:hAnsi="Book Antiqua" w:cs="Times New Roman"/>
          <w:sz w:val="28"/>
          <w:szCs w:val="28"/>
        </w:rPr>
        <w:t xml:space="preserve"> </w:t>
      </w:r>
      <w:r w:rsidR="007D0936" w:rsidRPr="005B1ED4">
        <w:rPr>
          <w:rFonts w:ascii="Book Antiqua" w:hAnsi="Book Antiqua" w:cs="Times New Roman"/>
          <w:sz w:val="28"/>
          <w:szCs w:val="28"/>
        </w:rPr>
        <w:t xml:space="preserve">narrow </w:t>
      </w:r>
      <w:r w:rsidR="007D0936" w:rsidRPr="005B1ED4">
        <w:rPr>
          <w:rFonts w:ascii="Book Antiqua" w:hAnsi="Book Antiqua" w:cs="Times New Roman"/>
          <w:i/>
          <w:iCs/>
          <w:sz w:val="28"/>
          <w:szCs w:val="28"/>
        </w:rPr>
        <w:t xml:space="preserve">Janus </w:t>
      </w:r>
      <w:r w:rsidR="00D553A1" w:rsidRPr="005B1ED4">
        <w:rPr>
          <w:rFonts w:ascii="Book Antiqua" w:hAnsi="Book Antiqua" w:cs="Times New Roman"/>
          <w:sz w:val="28"/>
          <w:szCs w:val="28"/>
        </w:rPr>
        <w:t xml:space="preserve">are </w:t>
      </w:r>
      <w:r w:rsidR="009F14D5" w:rsidRPr="005B1ED4">
        <w:rPr>
          <w:rFonts w:ascii="Book Antiqua" w:hAnsi="Book Antiqua" w:cs="Times New Roman"/>
          <w:sz w:val="28"/>
          <w:szCs w:val="28"/>
        </w:rPr>
        <w:t>unsuccessful</w:t>
      </w:r>
      <w:r w:rsidR="007D0936" w:rsidRPr="005B1ED4">
        <w:rPr>
          <w:rFonts w:ascii="Book Antiqua" w:hAnsi="Book Antiqua" w:cs="Times New Roman"/>
          <w:sz w:val="28"/>
          <w:szCs w:val="28"/>
        </w:rPr>
        <w:t xml:space="preserve">. </w:t>
      </w:r>
    </w:p>
    <w:p w14:paraId="1F2FD9C4" w14:textId="07649CB4" w:rsidR="00FD22BE" w:rsidRPr="005B1ED4" w:rsidRDefault="00FD22BE" w:rsidP="006C5CE9">
      <w:pPr>
        <w:pStyle w:val="ListParagraph"/>
        <w:keepNext/>
        <w:numPr>
          <w:ilvl w:val="1"/>
          <w:numId w:val="3"/>
        </w:numPr>
        <w:spacing w:after="240" w:line="240" w:lineRule="auto"/>
        <w:contextualSpacing w:val="0"/>
        <w:jc w:val="both"/>
        <w:rPr>
          <w:rFonts w:ascii="Book Antiqua" w:hAnsi="Book Antiqua" w:cs="Times New Roman"/>
          <w:b/>
          <w:bCs/>
          <w:sz w:val="28"/>
          <w:szCs w:val="28"/>
        </w:rPr>
      </w:pPr>
      <w:r w:rsidRPr="005B1ED4">
        <w:rPr>
          <w:rFonts w:ascii="Book Antiqua" w:hAnsi="Book Antiqua" w:cs="Times New Roman"/>
          <w:b/>
          <w:bCs/>
          <w:sz w:val="28"/>
          <w:szCs w:val="28"/>
        </w:rPr>
        <w:t xml:space="preserve">This Court Does Not Need to Wait for The Supreme Court To “Explicitly” Overrule </w:t>
      </w:r>
      <w:r w:rsidRPr="005B1ED4">
        <w:rPr>
          <w:rFonts w:ascii="Book Antiqua" w:hAnsi="Book Antiqua" w:cs="Times New Roman"/>
          <w:b/>
          <w:bCs/>
          <w:i/>
          <w:iCs/>
          <w:sz w:val="28"/>
          <w:szCs w:val="28"/>
        </w:rPr>
        <w:t xml:space="preserve">Keller </w:t>
      </w:r>
    </w:p>
    <w:p w14:paraId="6133B27F" w14:textId="467D42D3" w:rsidR="00D37677" w:rsidRPr="005B1ED4" w:rsidRDefault="00981EA4" w:rsidP="00CD49E7">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 xml:space="preserve">Some </w:t>
      </w:r>
      <w:r w:rsidR="00782D94" w:rsidRPr="005B1ED4">
        <w:rPr>
          <w:rFonts w:ascii="Book Antiqua" w:hAnsi="Book Antiqua" w:cs="Times New Roman"/>
          <w:sz w:val="28"/>
          <w:szCs w:val="28"/>
        </w:rPr>
        <w:t>Petition O</w:t>
      </w:r>
      <w:r w:rsidRPr="005B1ED4">
        <w:rPr>
          <w:rFonts w:ascii="Book Antiqua" w:hAnsi="Book Antiqua" w:cs="Times New Roman"/>
          <w:sz w:val="28"/>
          <w:szCs w:val="28"/>
        </w:rPr>
        <w:t>pponents</w:t>
      </w:r>
      <w:r w:rsidR="0014652A" w:rsidRPr="005B1ED4">
        <w:rPr>
          <w:rFonts w:ascii="Book Antiqua" w:hAnsi="Book Antiqua" w:cs="Times New Roman"/>
          <w:sz w:val="28"/>
          <w:szCs w:val="28"/>
        </w:rPr>
        <w:t xml:space="preserve"> also</w:t>
      </w:r>
      <w:r w:rsidRPr="005B1ED4">
        <w:rPr>
          <w:rFonts w:ascii="Book Antiqua" w:hAnsi="Book Antiqua" w:cs="Times New Roman"/>
          <w:sz w:val="28"/>
          <w:szCs w:val="28"/>
        </w:rPr>
        <w:t xml:space="preserve"> wrongly suggest that because the Supreme Court has not </w:t>
      </w:r>
      <w:r w:rsidR="00190F53" w:rsidRPr="005B1ED4">
        <w:rPr>
          <w:rFonts w:ascii="Book Antiqua" w:hAnsi="Book Antiqua" w:cs="Times New Roman"/>
          <w:sz w:val="28"/>
          <w:szCs w:val="28"/>
        </w:rPr>
        <w:t xml:space="preserve">yet </w:t>
      </w:r>
      <w:r w:rsidRPr="005B1ED4">
        <w:rPr>
          <w:rFonts w:ascii="Book Antiqua" w:hAnsi="Book Antiqua" w:cs="Times New Roman"/>
          <w:sz w:val="28"/>
          <w:szCs w:val="28"/>
        </w:rPr>
        <w:t xml:space="preserve">“explicitly” overturned </w:t>
      </w:r>
      <w:r w:rsidRPr="005B1ED4">
        <w:rPr>
          <w:rFonts w:ascii="Book Antiqua" w:hAnsi="Book Antiqua" w:cs="Times New Roman"/>
          <w:i/>
          <w:iCs/>
          <w:sz w:val="28"/>
          <w:szCs w:val="28"/>
        </w:rPr>
        <w:t>Keller</w:t>
      </w:r>
      <w:r w:rsidRPr="005B1ED4">
        <w:rPr>
          <w:rFonts w:ascii="Book Antiqua" w:hAnsi="Book Antiqua" w:cs="Times New Roman"/>
          <w:sz w:val="28"/>
          <w:szCs w:val="28"/>
        </w:rPr>
        <w:t xml:space="preserve">, </w:t>
      </w:r>
      <w:r w:rsidR="00850601" w:rsidRPr="005B1ED4">
        <w:rPr>
          <w:rFonts w:ascii="Book Antiqua" w:hAnsi="Book Antiqua" w:cs="Times New Roman"/>
          <w:sz w:val="28"/>
          <w:szCs w:val="28"/>
        </w:rPr>
        <w:t>that</w:t>
      </w:r>
      <w:r w:rsidR="00466594" w:rsidRPr="005B1ED4">
        <w:rPr>
          <w:rFonts w:ascii="Book Antiqua" w:hAnsi="Book Antiqua" w:cs="Times New Roman"/>
          <w:sz w:val="28"/>
          <w:szCs w:val="28"/>
        </w:rPr>
        <w:t xml:space="preserve"> decision</w:t>
      </w:r>
      <w:r w:rsidRPr="005B1ED4">
        <w:rPr>
          <w:rFonts w:ascii="Book Antiqua" w:hAnsi="Book Antiqua" w:cs="Times New Roman"/>
          <w:i/>
          <w:iCs/>
          <w:sz w:val="28"/>
          <w:szCs w:val="28"/>
        </w:rPr>
        <w:t xml:space="preserve"> </w:t>
      </w:r>
      <w:r w:rsidRPr="005B1ED4">
        <w:rPr>
          <w:rFonts w:ascii="Book Antiqua" w:hAnsi="Book Antiqua" w:cs="Times New Roman"/>
          <w:sz w:val="28"/>
          <w:szCs w:val="28"/>
        </w:rPr>
        <w:t>is</w:t>
      </w:r>
      <w:r w:rsidR="004E47A4" w:rsidRPr="005B1ED4">
        <w:rPr>
          <w:rFonts w:ascii="Book Antiqua" w:hAnsi="Book Antiqua" w:cs="Times New Roman"/>
          <w:sz w:val="28"/>
          <w:szCs w:val="28"/>
        </w:rPr>
        <w:t xml:space="preserve"> still</w:t>
      </w:r>
      <w:r w:rsidRPr="005B1ED4">
        <w:rPr>
          <w:rFonts w:ascii="Book Antiqua" w:hAnsi="Book Antiqua" w:cs="Times New Roman"/>
          <w:sz w:val="28"/>
          <w:szCs w:val="28"/>
        </w:rPr>
        <w:t xml:space="preserve"> “controlling” and</w:t>
      </w:r>
      <w:r w:rsidR="001B4132" w:rsidRPr="005B1ED4">
        <w:rPr>
          <w:rFonts w:ascii="Book Antiqua" w:hAnsi="Book Antiqua" w:cs="Times New Roman"/>
          <w:sz w:val="28"/>
          <w:szCs w:val="28"/>
        </w:rPr>
        <w:t xml:space="preserve"> </w:t>
      </w:r>
      <w:r w:rsidRPr="005B1ED4">
        <w:rPr>
          <w:rFonts w:ascii="Book Antiqua" w:hAnsi="Book Antiqua" w:cs="Times New Roman"/>
          <w:sz w:val="28"/>
          <w:szCs w:val="28"/>
        </w:rPr>
        <w:t xml:space="preserve">this is not the appropriate forum to “litigate opposition to </w:t>
      </w:r>
      <w:r w:rsidRPr="005B1ED4">
        <w:rPr>
          <w:rFonts w:ascii="Book Antiqua" w:hAnsi="Book Antiqua" w:cs="Times New Roman"/>
          <w:sz w:val="28"/>
          <w:szCs w:val="28"/>
        </w:rPr>
        <w:lastRenderedPageBreak/>
        <w:t xml:space="preserve">U.S. Supreme Court precedent.” </w:t>
      </w:r>
      <w:r w:rsidR="005F2D0E" w:rsidRPr="005B1ED4">
        <w:rPr>
          <w:rFonts w:ascii="Book Antiqua" w:hAnsi="Book Antiqua" w:cs="Times New Roman"/>
          <w:sz w:val="28"/>
          <w:szCs w:val="28"/>
        </w:rPr>
        <w:t>Ariz. Bar. Comm.</w:t>
      </w:r>
      <w:r w:rsidRPr="005B1ED4">
        <w:rPr>
          <w:rFonts w:ascii="Book Antiqua" w:hAnsi="Book Antiqua" w:cs="Times New Roman"/>
          <w:sz w:val="28"/>
          <w:szCs w:val="28"/>
        </w:rPr>
        <w:t xml:space="preserve"> at 4-5; </w:t>
      </w:r>
      <w:r w:rsidR="005F2D0E" w:rsidRPr="005B1ED4">
        <w:rPr>
          <w:rFonts w:ascii="Book Antiqua" w:hAnsi="Book Antiqua" w:cs="Times New Roman"/>
          <w:sz w:val="28"/>
          <w:szCs w:val="28"/>
        </w:rPr>
        <w:t>A</w:t>
      </w:r>
      <w:r w:rsidR="0054357F" w:rsidRPr="005B1ED4">
        <w:rPr>
          <w:rFonts w:ascii="Book Antiqua" w:hAnsi="Book Antiqua" w:cs="Times New Roman"/>
          <w:sz w:val="28"/>
          <w:szCs w:val="28"/>
        </w:rPr>
        <w:t>G</w:t>
      </w:r>
      <w:r w:rsidR="005F2D0E" w:rsidRPr="005B1ED4">
        <w:rPr>
          <w:rFonts w:ascii="Book Antiqua" w:hAnsi="Book Antiqua" w:cs="Times New Roman"/>
          <w:sz w:val="28"/>
          <w:szCs w:val="28"/>
        </w:rPr>
        <w:t xml:space="preserve"> Comm.</w:t>
      </w:r>
      <w:r w:rsidRPr="005B1ED4">
        <w:rPr>
          <w:rFonts w:ascii="Book Antiqua" w:hAnsi="Book Antiqua" w:cs="Times New Roman"/>
          <w:sz w:val="28"/>
          <w:szCs w:val="28"/>
        </w:rPr>
        <w:t xml:space="preserve"> at 2-4</w:t>
      </w:r>
      <w:r w:rsidR="00B262E6" w:rsidRPr="005B1ED4">
        <w:rPr>
          <w:rFonts w:ascii="Book Antiqua" w:hAnsi="Book Antiqua" w:cs="Times New Roman"/>
          <w:sz w:val="28"/>
          <w:szCs w:val="28"/>
        </w:rPr>
        <w:t xml:space="preserve">; </w:t>
      </w:r>
      <w:r w:rsidR="001A7138" w:rsidRPr="005B1ED4">
        <w:rPr>
          <w:rFonts w:ascii="Book Antiqua" w:hAnsi="Book Antiqua" w:cs="Times New Roman"/>
          <w:sz w:val="28"/>
          <w:szCs w:val="28"/>
        </w:rPr>
        <w:t>CLS Comm. at 4</w:t>
      </w:r>
      <w:r w:rsidRPr="005B1ED4">
        <w:rPr>
          <w:rFonts w:ascii="Book Antiqua" w:hAnsi="Book Antiqua" w:cs="Times New Roman"/>
          <w:sz w:val="28"/>
          <w:szCs w:val="28"/>
        </w:rPr>
        <w:t xml:space="preserve">. </w:t>
      </w:r>
      <w:r w:rsidR="009624B4" w:rsidRPr="005B1ED4">
        <w:rPr>
          <w:rFonts w:ascii="Book Antiqua" w:hAnsi="Book Antiqua" w:cs="Times New Roman"/>
          <w:sz w:val="28"/>
          <w:szCs w:val="28"/>
        </w:rPr>
        <w:t>T</w:t>
      </w:r>
      <w:r w:rsidR="00850601" w:rsidRPr="005B1ED4">
        <w:rPr>
          <w:rFonts w:ascii="Book Antiqua" w:hAnsi="Book Antiqua" w:cs="Times New Roman"/>
          <w:sz w:val="28"/>
          <w:szCs w:val="28"/>
        </w:rPr>
        <w:t>his</w:t>
      </w:r>
      <w:r w:rsidRPr="005B1ED4">
        <w:rPr>
          <w:rFonts w:ascii="Book Antiqua" w:hAnsi="Book Antiqua" w:cs="Times New Roman"/>
          <w:sz w:val="28"/>
          <w:szCs w:val="28"/>
        </w:rPr>
        <w:t xml:space="preserve"> argument</w:t>
      </w:r>
      <w:r w:rsidR="008839CD" w:rsidRPr="005B1ED4">
        <w:rPr>
          <w:rFonts w:ascii="Book Antiqua" w:hAnsi="Book Antiqua" w:cs="Times New Roman"/>
          <w:sz w:val="28"/>
          <w:szCs w:val="28"/>
        </w:rPr>
        <w:t xml:space="preserve"> </w:t>
      </w:r>
      <w:r w:rsidR="00782D94" w:rsidRPr="005B1ED4">
        <w:rPr>
          <w:rFonts w:ascii="Book Antiqua" w:hAnsi="Book Antiqua" w:cs="Times New Roman"/>
          <w:sz w:val="28"/>
          <w:szCs w:val="28"/>
        </w:rPr>
        <w:t>should be disregarded</w:t>
      </w:r>
      <w:r w:rsidRPr="005B1ED4">
        <w:rPr>
          <w:rFonts w:ascii="Book Antiqua" w:hAnsi="Book Antiqua" w:cs="Times New Roman"/>
          <w:sz w:val="28"/>
          <w:szCs w:val="28"/>
        </w:rPr>
        <w:t xml:space="preserve">. </w:t>
      </w:r>
    </w:p>
    <w:p w14:paraId="43431E69" w14:textId="636D9E9C" w:rsidR="00FC755B" w:rsidRPr="005B1ED4" w:rsidRDefault="007C02E5" w:rsidP="00CD49E7">
      <w:pPr>
        <w:spacing w:after="0" w:line="480" w:lineRule="auto"/>
        <w:ind w:firstLine="720"/>
        <w:jc w:val="both"/>
        <w:rPr>
          <w:rFonts w:ascii="Book Antiqua" w:hAnsi="Book Antiqua" w:cs="Times New Roman"/>
          <w:sz w:val="28"/>
          <w:szCs w:val="28"/>
        </w:rPr>
      </w:pPr>
      <w:r w:rsidRPr="005B1ED4">
        <w:rPr>
          <w:rFonts w:ascii="Book Antiqua" w:hAnsi="Book Antiqua" w:cs="Times New Roman"/>
          <w:i/>
          <w:iCs/>
          <w:sz w:val="28"/>
          <w:szCs w:val="28"/>
        </w:rPr>
        <w:t xml:space="preserve">Keller </w:t>
      </w:r>
      <w:r w:rsidRPr="005B1ED4">
        <w:rPr>
          <w:rFonts w:ascii="Book Antiqua" w:hAnsi="Book Antiqua" w:cs="Times New Roman"/>
          <w:sz w:val="28"/>
          <w:szCs w:val="28"/>
        </w:rPr>
        <w:t xml:space="preserve">held that </w:t>
      </w:r>
      <w:r w:rsidR="00CD49E7" w:rsidRPr="005B1ED4">
        <w:rPr>
          <w:rFonts w:ascii="Book Antiqua" w:hAnsi="Book Antiqua" w:cs="Times New Roman"/>
          <w:sz w:val="28"/>
          <w:szCs w:val="28"/>
        </w:rPr>
        <w:t xml:space="preserve">using compulsory bar dues for political speech is unconstitutional unless the expenditures are “necessarily or reasonably incurred for the purpose of regulating the legal profession or improving the quality of the legal service available to the people of the State.” </w:t>
      </w:r>
      <w:r w:rsidR="00CD49E7" w:rsidRPr="005B1ED4">
        <w:rPr>
          <w:rFonts w:ascii="Book Antiqua" w:hAnsi="Book Antiqua" w:cs="Times New Roman"/>
          <w:i/>
          <w:iCs/>
          <w:sz w:val="28"/>
          <w:szCs w:val="28"/>
        </w:rPr>
        <w:t>Keller</w:t>
      </w:r>
      <w:r w:rsidR="00CD49E7" w:rsidRPr="005B1ED4">
        <w:rPr>
          <w:rFonts w:ascii="Book Antiqua" w:hAnsi="Book Antiqua" w:cs="Times New Roman"/>
          <w:sz w:val="28"/>
          <w:szCs w:val="28"/>
        </w:rPr>
        <w:t>, 496 U.S. at 14</w:t>
      </w:r>
      <w:r w:rsidRPr="005B1ED4">
        <w:rPr>
          <w:rFonts w:ascii="Book Antiqua" w:hAnsi="Book Antiqua" w:cs="Times New Roman"/>
          <w:sz w:val="28"/>
          <w:szCs w:val="28"/>
        </w:rPr>
        <w:t xml:space="preserve">. But even </w:t>
      </w:r>
      <w:r w:rsidR="00981EA4" w:rsidRPr="005B1ED4">
        <w:rPr>
          <w:rFonts w:ascii="Book Antiqua" w:hAnsi="Book Antiqua" w:cs="Times New Roman"/>
          <w:sz w:val="28"/>
          <w:szCs w:val="28"/>
        </w:rPr>
        <w:t xml:space="preserve">if </w:t>
      </w:r>
      <w:r w:rsidR="00981EA4" w:rsidRPr="005B1ED4">
        <w:rPr>
          <w:rFonts w:ascii="Book Antiqua" w:hAnsi="Book Antiqua" w:cs="Times New Roman"/>
          <w:i/>
          <w:iCs/>
          <w:sz w:val="28"/>
          <w:szCs w:val="28"/>
        </w:rPr>
        <w:t xml:space="preserve">Keller </w:t>
      </w:r>
      <w:r w:rsidR="00466594" w:rsidRPr="005B1ED4">
        <w:rPr>
          <w:rFonts w:ascii="Book Antiqua" w:hAnsi="Book Antiqua" w:cs="Times New Roman"/>
          <w:sz w:val="28"/>
          <w:szCs w:val="28"/>
        </w:rPr>
        <w:t>were</w:t>
      </w:r>
      <w:r w:rsidR="00981EA4" w:rsidRPr="005B1ED4">
        <w:rPr>
          <w:rFonts w:ascii="Book Antiqua" w:hAnsi="Book Antiqua" w:cs="Times New Roman"/>
          <w:sz w:val="28"/>
          <w:szCs w:val="28"/>
        </w:rPr>
        <w:t xml:space="preserve"> </w:t>
      </w:r>
      <w:r w:rsidR="00195084" w:rsidRPr="005B1ED4">
        <w:rPr>
          <w:rFonts w:ascii="Book Antiqua" w:hAnsi="Book Antiqua" w:cs="Times New Roman"/>
          <w:sz w:val="28"/>
          <w:szCs w:val="28"/>
        </w:rPr>
        <w:t>viable</w:t>
      </w:r>
      <w:r w:rsidR="003571C5" w:rsidRPr="005B1ED4">
        <w:rPr>
          <w:rFonts w:ascii="Book Antiqua" w:hAnsi="Book Antiqua" w:cs="Times New Roman"/>
          <w:sz w:val="28"/>
          <w:szCs w:val="28"/>
        </w:rPr>
        <w:t xml:space="preserve"> today</w:t>
      </w:r>
      <w:r w:rsidR="00981EA4" w:rsidRPr="005B1ED4">
        <w:rPr>
          <w:rFonts w:ascii="Book Antiqua" w:hAnsi="Book Antiqua" w:cs="Times New Roman"/>
          <w:sz w:val="28"/>
          <w:szCs w:val="28"/>
        </w:rPr>
        <w:t>, it does not</w:t>
      </w:r>
      <w:r w:rsidR="001862D9" w:rsidRPr="005B1ED4">
        <w:rPr>
          <w:rFonts w:ascii="Book Antiqua" w:hAnsi="Book Antiqua" w:cs="Times New Roman"/>
          <w:sz w:val="28"/>
          <w:szCs w:val="28"/>
        </w:rPr>
        <w:t>—</w:t>
      </w:r>
      <w:r w:rsidR="0058369C" w:rsidRPr="005B1ED4">
        <w:rPr>
          <w:rFonts w:ascii="Book Antiqua" w:hAnsi="Book Antiqua" w:cs="Times New Roman"/>
          <w:sz w:val="28"/>
          <w:szCs w:val="28"/>
        </w:rPr>
        <w:t>and never did</w:t>
      </w:r>
      <w:r w:rsidR="001862D9" w:rsidRPr="005B1ED4">
        <w:rPr>
          <w:rFonts w:ascii="Book Antiqua" w:hAnsi="Book Antiqua" w:cs="Times New Roman"/>
          <w:sz w:val="28"/>
          <w:szCs w:val="28"/>
        </w:rPr>
        <w:t>—</w:t>
      </w:r>
      <w:r w:rsidR="00981EA4" w:rsidRPr="005B1ED4">
        <w:rPr>
          <w:rFonts w:ascii="Book Antiqua" w:hAnsi="Book Antiqua" w:cs="Times New Roman"/>
          <w:i/>
          <w:iCs/>
          <w:sz w:val="28"/>
          <w:szCs w:val="28"/>
        </w:rPr>
        <w:t xml:space="preserve">require </w:t>
      </w:r>
      <w:r w:rsidR="00981EA4" w:rsidRPr="005B1ED4">
        <w:rPr>
          <w:rFonts w:ascii="Book Antiqua" w:hAnsi="Book Antiqua" w:cs="Times New Roman"/>
          <w:sz w:val="28"/>
          <w:szCs w:val="28"/>
        </w:rPr>
        <w:t>integrated state bars; it</w:t>
      </w:r>
      <w:r w:rsidR="00E53653" w:rsidRPr="005B1ED4">
        <w:rPr>
          <w:rFonts w:ascii="Book Antiqua" w:hAnsi="Book Antiqua" w:cs="Times New Roman"/>
          <w:sz w:val="28"/>
          <w:szCs w:val="28"/>
        </w:rPr>
        <w:t xml:space="preserve"> only</w:t>
      </w:r>
      <w:r w:rsidR="00981EA4" w:rsidRPr="005B1ED4">
        <w:rPr>
          <w:rFonts w:ascii="Book Antiqua" w:hAnsi="Book Antiqua" w:cs="Times New Roman"/>
          <w:sz w:val="28"/>
          <w:szCs w:val="28"/>
        </w:rPr>
        <w:t xml:space="preserve"> </w:t>
      </w:r>
      <w:r w:rsidR="00981EA4" w:rsidRPr="005B1ED4">
        <w:rPr>
          <w:rFonts w:ascii="Book Antiqua" w:hAnsi="Book Antiqua" w:cs="Times New Roman"/>
          <w:i/>
          <w:iCs/>
          <w:sz w:val="28"/>
          <w:szCs w:val="28"/>
        </w:rPr>
        <w:t>permit</w:t>
      </w:r>
      <w:r w:rsidR="0058369C" w:rsidRPr="005B1ED4">
        <w:rPr>
          <w:rFonts w:ascii="Book Antiqua" w:hAnsi="Book Antiqua" w:cs="Times New Roman"/>
          <w:i/>
          <w:iCs/>
          <w:sz w:val="28"/>
          <w:szCs w:val="28"/>
        </w:rPr>
        <w:t>ted</w:t>
      </w:r>
      <w:r w:rsidR="00981EA4" w:rsidRPr="005B1ED4">
        <w:rPr>
          <w:rFonts w:ascii="Book Antiqua" w:hAnsi="Book Antiqua" w:cs="Times New Roman"/>
          <w:sz w:val="28"/>
          <w:szCs w:val="28"/>
        </w:rPr>
        <w:t xml:space="preserve"> them</w:t>
      </w:r>
      <w:r w:rsidR="001862D9" w:rsidRPr="005B1ED4">
        <w:rPr>
          <w:rFonts w:ascii="Book Antiqua" w:hAnsi="Book Antiqua" w:cs="Times New Roman"/>
          <w:sz w:val="28"/>
          <w:szCs w:val="28"/>
        </w:rPr>
        <w:t xml:space="preserve"> with limitations</w:t>
      </w:r>
      <w:r w:rsidR="00981EA4" w:rsidRPr="005B1ED4">
        <w:rPr>
          <w:rFonts w:ascii="Book Antiqua" w:hAnsi="Book Antiqua" w:cs="Times New Roman"/>
          <w:sz w:val="28"/>
          <w:szCs w:val="28"/>
        </w:rPr>
        <w:t xml:space="preserve">. </w:t>
      </w:r>
      <w:r w:rsidR="00BC2E72" w:rsidRPr="005B1ED4">
        <w:rPr>
          <w:rFonts w:ascii="Book Antiqua" w:hAnsi="Book Antiqua" w:cs="Times New Roman"/>
          <w:sz w:val="28"/>
          <w:szCs w:val="28"/>
        </w:rPr>
        <w:t>That is why</w:t>
      </w:r>
      <w:r w:rsidR="00E53653" w:rsidRPr="005B1ED4">
        <w:rPr>
          <w:rFonts w:ascii="Book Antiqua" w:hAnsi="Book Antiqua" w:cs="Times New Roman"/>
          <w:sz w:val="28"/>
          <w:szCs w:val="28"/>
        </w:rPr>
        <w:t xml:space="preserve"> </w:t>
      </w:r>
      <w:r w:rsidR="00961912" w:rsidRPr="005B1ED4">
        <w:rPr>
          <w:rFonts w:ascii="Book Antiqua" w:hAnsi="Book Antiqua" w:cs="Times New Roman"/>
          <w:sz w:val="28"/>
          <w:szCs w:val="28"/>
        </w:rPr>
        <w:t>several</w:t>
      </w:r>
      <w:r w:rsidR="00E53653" w:rsidRPr="005B1ED4">
        <w:rPr>
          <w:rFonts w:ascii="Book Antiqua" w:hAnsi="Book Antiqua" w:cs="Times New Roman"/>
          <w:sz w:val="28"/>
          <w:szCs w:val="28"/>
        </w:rPr>
        <w:t xml:space="preserve"> states do not have </w:t>
      </w:r>
      <w:r w:rsidR="00961912" w:rsidRPr="005B1ED4">
        <w:rPr>
          <w:rFonts w:ascii="Book Antiqua" w:hAnsi="Book Antiqua" w:cs="Times New Roman"/>
          <w:sz w:val="28"/>
          <w:szCs w:val="28"/>
        </w:rPr>
        <w:t>integrated</w:t>
      </w:r>
      <w:r w:rsidR="00E53653" w:rsidRPr="005B1ED4">
        <w:rPr>
          <w:rFonts w:ascii="Book Antiqua" w:hAnsi="Book Antiqua" w:cs="Times New Roman"/>
          <w:sz w:val="28"/>
          <w:szCs w:val="28"/>
        </w:rPr>
        <w:t xml:space="preserve"> state bars</w:t>
      </w:r>
      <w:r w:rsidR="001B3705" w:rsidRPr="005B1ED4">
        <w:rPr>
          <w:rFonts w:ascii="Book Antiqua" w:hAnsi="Book Antiqua" w:cs="Times New Roman"/>
          <w:sz w:val="28"/>
          <w:szCs w:val="28"/>
        </w:rPr>
        <w:t>, with some recently moving from mandatory to voluntary</w:t>
      </w:r>
      <w:r w:rsidR="00E53653" w:rsidRPr="005B1ED4">
        <w:rPr>
          <w:rFonts w:ascii="Book Antiqua" w:hAnsi="Book Antiqua" w:cs="Times New Roman"/>
          <w:sz w:val="28"/>
          <w:szCs w:val="28"/>
        </w:rPr>
        <w:t>.</w:t>
      </w:r>
      <w:r w:rsidR="00FC755B" w:rsidRPr="005B1ED4">
        <w:rPr>
          <w:rFonts w:ascii="Book Antiqua" w:hAnsi="Book Antiqua" w:cs="Times New Roman"/>
          <w:sz w:val="28"/>
          <w:szCs w:val="28"/>
        </w:rPr>
        <w:t xml:space="preserve"> </w:t>
      </w:r>
      <w:r w:rsidR="00FC755B" w:rsidRPr="005B1ED4">
        <w:rPr>
          <w:rFonts w:ascii="Book Antiqua" w:hAnsi="Book Antiqua" w:cs="Times New Roman"/>
          <w:i/>
          <w:iCs/>
          <w:sz w:val="28"/>
          <w:szCs w:val="28"/>
        </w:rPr>
        <w:t>See</w:t>
      </w:r>
      <w:r w:rsidR="00F849D9" w:rsidRPr="005B1ED4">
        <w:rPr>
          <w:rFonts w:ascii="Book Antiqua" w:hAnsi="Book Antiqua" w:cs="Times New Roman"/>
          <w:i/>
          <w:iCs/>
          <w:sz w:val="28"/>
          <w:szCs w:val="28"/>
        </w:rPr>
        <w:t xml:space="preserve"> </w:t>
      </w:r>
      <w:r w:rsidR="00D37677" w:rsidRPr="005B1ED4">
        <w:rPr>
          <w:rFonts w:ascii="Book Antiqua" w:hAnsi="Book Antiqua" w:cs="Times New Roman"/>
          <w:sz w:val="28"/>
          <w:szCs w:val="28"/>
        </w:rPr>
        <w:t>Pet. 17</w:t>
      </w:r>
      <w:r w:rsidR="00EE0EE9" w:rsidRPr="005B1ED4">
        <w:rPr>
          <w:rFonts w:ascii="Book Antiqua" w:hAnsi="Book Antiqua" w:cs="Times New Roman"/>
          <w:sz w:val="28"/>
          <w:szCs w:val="28"/>
        </w:rPr>
        <w:t>.</w:t>
      </w:r>
    </w:p>
    <w:p w14:paraId="10697BAA" w14:textId="5771A752" w:rsidR="00815468" w:rsidRPr="005B1ED4" w:rsidRDefault="00E53653" w:rsidP="00971144">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 xml:space="preserve">Accordingly, </w:t>
      </w:r>
      <w:r w:rsidRPr="005B1ED4">
        <w:rPr>
          <w:rFonts w:ascii="Book Antiqua" w:hAnsi="Book Antiqua" w:cs="Times New Roman"/>
          <w:i/>
          <w:iCs/>
          <w:sz w:val="28"/>
          <w:szCs w:val="28"/>
        </w:rPr>
        <w:t xml:space="preserve">Keller </w:t>
      </w:r>
      <w:r w:rsidRPr="005B1ED4">
        <w:rPr>
          <w:rFonts w:ascii="Book Antiqua" w:hAnsi="Book Antiqua" w:cs="Times New Roman"/>
          <w:sz w:val="28"/>
          <w:szCs w:val="28"/>
        </w:rPr>
        <w:t xml:space="preserve">is not “controlling” in the sense that </w:t>
      </w:r>
      <w:r w:rsidR="00393968" w:rsidRPr="005B1ED4">
        <w:rPr>
          <w:rFonts w:ascii="Book Antiqua" w:hAnsi="Book Antiqua" w:cs="Times New Roman"/>
          <w:sz w:val="28"/>
          <w:szCs w:val="28"/>
        </w:rPr>
        <w:t xml:space="preserve">some </w:t>
      </w:r>
      <w:r w:rsidRPr="005B1ED4">
        <w:rPr>
          <w:rFonts w:ascii="Book Antiqua" w:hAnsi="Book Antiqua" w:cs="Times New Roman"/>
          <w:sz w:val="28"/>
          <w:szCs w:val="28"/>
        </w:rPr>
        <w:t>comment</w:t>
      </w:r>
      <w:r w:rsidR="008F3791" w:rsidRPr="005B1ED4">
        <w:rPr>
          <w:rFonts w:ascii="Book Antiqua" w:hAnsi="Book Antiqua" w:cs="Times New Roman"/>
          <w:sz w:val="28"/>
          <w:szCs w:val="28"/>
        </w:rPr>
        <w:t>e</w:t>
      </w:r>
      <w:r w:rsidRPr="005B1ED4">
        <w:rPr>
          <w:rFonts w:ascii="Book Antiqua" w:hAnsi="Book Antiqua" w:cs="Times New Roman"/>
          <w:sz w:val="28"/>
          <w:szCs w:val="28"/>
        </w:rPr>
        <w:t xml:space="preserve">rs </w:t>
      </w:r>
      <w:r w:rsidR="003D2F3D" w:rsidRPr="005B1ED4">
        <w:rPr>
          <w:rFonts w:ascii="Book Antiqua" w:hAnsi="Book Antiqua" w:cs="Times New Roman"/>
          <w:sz w:val="28"/>
          <w:szCs w:val="28"/>
        </w:rPr>
        <w:t xml:space="preserve">try to </w:t>
      </w:r>
      <w:r w:rsidR="001F1EDA" w:rsidRPr="005B1ED4">
        <w:rPr>
          <w:rFonts w:ascii="Book Antiqua" w:hAnsi="Book Antiqua" w:cs="Times New Roman"/>
          <w:sz w:val="28"/>
          <w:szCs w:val="28"/>
        </w:rPr>
        <w:t>insinuate</w:t>
      </w:r>
      <w:r w:rsidRPr="005B1ED4">
        <w:rPr>
          <w:rFonts w:ascii="Book Antiqua" w:hAnsi="Book Antiqua" w:cs="Times New Roman"/>
          <w:sz w:val="28"/>
          <w:szCs w:val="28"/>
        </w:rPr>
        <w:t>—</w:t>
      </w:r>
      <w:r w:rsidRPr="005B1ED4">
        <w:rPr>
          <w:rFonts w:ascii="Book Antiqua" w:hAnsi="Book Antiqua" w:cs="Times New Roman"/>
          <w:i/>
          <w:iCs/>
          <w:sz w:val="28"/>
          <w:szCs w:val="28"/>
        </w:rPr>
        <w:t>i.e.</w:t>
      </w:r>
      <w:r w:rsidRPr="005B1ED4">
        <w:rPr>
          <w:rFonts w:ascii="Book Antiqua" w:hAnsi="Book Antiqua" w:cs="Times New Roman"/>
          <w:sz w:val="28"/>
          <w:szCs w:val="28"/>
        </w:rPr>
        <w:t xml:space="preserve">, that </w:t>
      </w:r>
      <w:r w:rsidR="007A5D85" w:rsidRPr="005B1ED4">
        <w:rPr>
          <w:rFonts w:ascii="Book Antiqua" w:hAnsi="Book Antiqua" w:cs="Times New Roman"/>
          <w:i/>
          <w:iCs/>
          <w:sz w:val="28"/>
          <w:szCs w:val="28"/>
        </w:rPr>
        <w:t xml:space="preserve">Keller </w:t>
      </w:r>
      <w:r w:rsidRPr="005B1ED4">
        <w:rPr>
          <w:rFonts w:ascii="Book Antiqua" w:hAnsi="Book Antiqua" w:cs="Times New Roman"/>
          <w:i/>
          <w:iCs/>
          <w:sz w:val="28"/>
          <w:szCs w:val="28"/>
        </w:rPr>
        <w:t>prevents</w:t>
      </w:r>
      <w:r w:rsidRPr="005B1ED4">
        <w:rPr>
          <w:rFonts w:ascii="Book Antiqua" w:hAnsi="Book Antiqua" w:cs="Times New Roman"/>
          <w:sz w:val="28"/>
          <w:szCs w:val="28"/>
        </w:rPr>
        <w:t xml:space="preserve"> this Court from adopting Petitioners’ proposals</w:t>
      </w:r>
      <w:r w:rsidR="001B0C9B" w:rsidRPr="005B1ED4">
        <w:rPr>
          <w:rFonts w:ascii="Book Antiqua" w:hAnsi="Book Antiqua" w:cs="Times New Roman"/>
          <w:sz w:val="28"/>
          <w:szCs w:val="28"/>
        </w:rPr>
        <w:t xml:space="preserve"> to create a voluntary bar</w:t>
      </w:r>
      <w:r w:rsidRPr="005B1ED4">
        <w:rPr>
          <w:rFonts w:ascii="Book Antiqua" w:hAnsi="Book Antiqua" w:cs="Times New Roman"/>
          <w:sz w:val="28"/>
          <w:szCs w:val="28"/>
        </w:rPr>
        <w:t xml:space="preserve">. </w:t>
      </w:r>
      <w:r w:rsidR="00193B8F" w:rsidRPr="005B1ED4">
        <w:rPr>
          <w:rFonts w:ascii="Book Antiqua" w:hAnsi="Book Antiqua" w:cs="Times New Roman"/>
          <w:sz w:val="28"/>
          <w:szCs w:val="28"/>
        </w:rPr>
        <w:t>Not so. N</w:t>
      </w:r>
      <w:r w:rsidR="00981EA4" w:rsidRPr="005B1ED4">
        <w:rPr>
          <w:rFonts w:ascii="Book Antiqua" w:hAnsi="Book Antiqua" w:cs="Times New Roman"/>
          <w:sz w:val="28"/>
          <w:szCs w:val="28"/>
        </w:rPr>
        <w:t xml:space="preserve">othing </w:t>
      </w:r>
      <w:r w:rsidRPr="005B1ED4">
        <w:rPr>
          <w:rFonts w:ascii="Book Antiqua" w:hAnsi="Book Antiqua" w:cs="Times New Roman"/>
          <w:sz w:val="28"/>
          <w:szCs w:val="28"/>
        </w:rPr>
        <w:t xml:space="preserve">in </w:t>
      </w:r>
      <w:r w:rsidRPr="005B1ED4">
        <w:rPr>
          <w:rFonts w:ascii="Book Antiqua" w:hAnsi="Book Antiqua" w:cs="Times New Roman"/>
          <w:i/>
          <w:iCs/>
          <w:sz w:val="28"/>
          <w:szCs w:val="28"/>
        </w:rPr>
        <w:t xml:space="preserve">Keller </w:t>
      </w:r>
      <w:r w:rsidR="001F1EDA" w:rsidRPr="005B1ED4">
        <w:rPr>
          <w:rFonts w:ascii="Book Antiqua" w:hAnsi="Book Antiqua" w:cs="Times New Roman"/>
          <w:sz w:val="28"/>
          <w:szCs w:val="28"/>
        </w:rPr>
        <w:t xml:space="preserve">ever </w:t>
      </w:r>
      <w:r w:rsidR="009E03D8" w:rsidRPr="005B1ED4">
        <w:rPr>
          <w:rFonts w:ascii="Book Antiqua" w:hAnsi="Book Antiqua" w:cs="Times New Roman"/>
          <w:sz w:val="28"/>
          <w:szCs w:val="28"/>
        </w:rPr>
        <w:t>stopped</w:t>
      </w:r>
      <w:r w:rsidR="00981EA4" w:rsidRPr="005B1ED4">
        <w:rPr>
          <w:rFonts w:ascii="Book Antiqua" w:hAnsi="Book Antiqua" w:cs="Times New Roman"/>
          <w:sz w:val="28"/>
          <w:szCs w:val="28"/>
        </w:rPr>
        <w:t xml:space="preserve"> this Court from </w:t>
      </w:r>
      <w:r w:rsidR="00535E7D" w:rsidRPr="005B1ED4">
        <w:rPr>
          <w:rFonts w:ascii="Book Antiqua" w:hAnsi="Book Antiqua" w:cs="Times New Roman"/>
          <w:sz w:val="28"/>
          <w:szCs w:val="28"/>
        </w:rPr>
        <w:t>raising</w:t>
      </w:r>
      <w:r w:rsidR="00981EA4" w:rsidRPr="005B1ED4">
        <w:rPr>
          <w:rFonts w:ascii="Book Antiqua" w:hAnsi="Book Antiqua" w:cs="Times New Roman"/>
          <w:sz w:val="28"/>
          <w:szCs w:val="28"/>
        </w:rPr>
        <w:t xml:space="preserve"> First Amendment protections above the floor set in </w:t>
      </w:r>
      <w:r w:rsidR="00981EA4" w:rsidRPr="005B1ED4">
        <w:rPr>
          <w:rFonts w:ascii="Book Antiqua" w:hAnsi="Book Antiqua" w:cs="Times New Roman"/>
          <w:i/>
          <w:iCs/>
          <w:sz w:val="28"/>
          <w:szCs w:val="28"/>
        </w:rPr>
        <w:t>Keller</w:t>
      </w:r>
      <w:r w:rsidR="00981EA4" w:rsidRPr="005B1ED4">
        <w:rPr>
          <w:rFonts w:ascii="Book Antiqua" w:hAnsi="Book Antiqua" w:cs="Times New Roman"/>
          <w:sz w:val="28"/>
          <w:szCs w:val="28"/>
        </w:rPr>
        <w:t xml:space="preserve">. </w:t>
      </w:r>
      <w:r w:rsidR="00815468" w:rsidRPr="005B1ED4">
        <w:rPr>
          <w:rFonts w:ascii="Book Antiqua" w:hAnsi="Book Antiqua" w:cs="Times New Roman"/>
          <w:sz w:val="28"/>
          <w:szCs w:val="28"/>
        </w:rPr>
        <w:t>So</w:t>
      </w:r>
      <w:r w:rsidR="002F32F0" w:rsidRPr="005B1ED4">
        <w:rPr>
          <w:rFonts w:ascii="Book Antiqua" w:hAnsi="Book Antiqua" w:cs="Times New Roman"/>
          <w:sz w:val="28"/>
          <w:szCs w:val="28"/>
        </w:rPr>
        <w:t>,</w:t>
      </w:r>
      <w:r w:rsidR="00815468" w:rsidRPr="005B1ED4">
        <w:rPr>
          <w:rFonts w:ascii="Book Antiqua" w:hAnsi="Book Antiqua" w:cs="Times New Roman"/>
          <w:sz w:val="28"/>
          <w:szCs w:val="28"/>
        </w:rPr>
        <w:t xml:space="preserve"> </w:t>
      </w:r>
      <w:r w:rsidR="00466594" w:rsidRPr="005B1ED4">
        <w:rPr>
          <w:rFonts w:ascii="Book Antiqua" w:hAnsi="Book Antiqua" w:cs="Times New Roman"/>
          <w:sz w:val="28"/>
          <w:szCs w:val="28"/>
        </w:rPr>
        <w:t xml:space="preserve">whether </w:t>
      </w:r>
      <w:r w:rsidR="00981EA4" w:rsidRPr="005B1ED4">
        <w:rPr>
          <w:rFonts w:ascii="Book Antiqua" w:hAnsi="Book Antiqua" w:cs="Times New Roman"/>
          <w:i/>
          <w:iCs/>
          <w:sz w:val="28"/>
          <w:szCs w:val="28"/>
        </w:rPr>
        <w:t xml:space="preserve">Keller </w:t>
      </w:r>
      <w:r w:rsidR="00466594" w:rsidRPr="005B1ED4">
        <w:rPr>
          <w:rFonts w:ascii="Book Antiqua" w:hAnsi="Book Antiqua" w:cs="Times New Roman"/>
          <w:sz w:val="28"/>
          <w:szCs w:val="28"/>
        </w:rPr>
        <w:t xml:space="preserve">has been “explicitly” </w:t>
      </w:r>
      <w:r w:rsidR="002F32F0" w:rsidRPr="005B1ED4">
        <w:rPr>
          <w:rFonts w:ascii="Book Antiqua" w:hAnsi="Book Antiqua" w:cs="Times New Roman"/>
          <w:sz w:val="28"/>
          <w:szCs w:val="28"/>
        </w:rPr>
        <w:t xml:space="preserve">overruled </w:t>
      </w:r>
      <w:r w:rsidR="00466594" w:rsidRPr="005B1ED4">
        <w:rPr>
          <w:rFonts w:ascii="Book Antiqua" w:hAnsi="Book Antiqua" w:cs="Times New Roman"/>
          <w:sz w:val="28"/>
          <w:szCs w:val="28"/>
        </w:rPr>
        <w:t>by the Supreme Court is irrelevant</w:t>
      </w:r>
      <w:r w:rsidR="008365E2" w:rsidRPr="005B1ED4">
        <w:rPr>
          <w:rFonts w:ascii="Book Antiqua" w:hAnsi="Book Antiqua" w:cs="Times New Roman"/>
          <w:sz w:val="28"/>
          <w:szCs w:val="28"/>
        </w:rPr>
        <w:t xml:space="preserve"> to this Court’s </w:t>
      </w:r>
      <w:r w:rsidR="003D2F3D" w:rsidRPr="005B1ED4">
        <w:rPr>
          <w:rFonts w:ascii="Book Antiqua" w:hAnsi="Book Antiqua" w:cs="Times New Roman"/>
          <w:sz w:val="28"/>
          <w:szCs w:val="28"/>
        </w:rPr>
        <w:t>decision</w:t>
      </w:r>
      <w:r w:rsidR="003A4C72" w:rsidRPr="005B1ED4">
        <w:rPr>
          <w:rFonts w:ascii="Book Antiqua" w:hAnsi="Book Antiqua" w:cs="Times New Roman"/>
          <w:sz w:val="28"/>
          <w:szCs w:val="28"/>
        </w:rPr>
        <w:t xml:space="preserve"> to afford </w:t>
      </w:r>
      <w:r w:rsidR="002F32F0" w:rsidRPr="005B1ED4">
        <w:rPr>
          <w:rFonts w:ascii="Book Antiqua" w:hAnsi="Book Antiqua" w:cs="Times New Roman"/>
          <w:i/>
          <w:iCs/>
          <w:sz w:val="28"/>
          <w:szCs w:val="28"/>
        </w:rPr>
        <w:t xml:space="preserve">more </w:t>
      </w:r>
      <w:r w:rsidR="003A4C72" w:rsidRPr="005B1ED4">
        <w:rPr>
          <w:rFonts w:ascii="Book Antiqua" w:hAnsi="Book Antiqua" w:cs="Times New Roman"/>
          <w:sz w:val="28"/>
          <w:szCs w:val="28"/>
        </w:rPr>
        <w:t>First Amendment protections to its citizens</w:t>
      </w:r>
      <w:r w:rsidR="00466594" w:rsidRPr="005B1ED4">
        <w:rPr>
          <w:rFonts w:ascii="Book Antiqua" w:hAnsi="Book Antiqua" w:cs="Times New Roman"/>
          <w:sz w:val="28"/>
          <w:szCs w:val="28"/>
        </w:rPr>
        <w:t xml:space="preserve">. </w:t>
      </w:r>
      <w:r w:rsidR="00AE65D4" w:rsidRPr="005B1ED4">
        <w:rPr>
          <w:rFonts w:ascii="Book Antiqua" w:hAnsi="Book Antiqua" w:cs="Times New Roman"/>
          <w:sz w:val="28"/>
          <w:szCs w:val="28"/>
        </w:rPr>
        <w:t>If anything</w:t>
      </w:r>
      <w:r w:rsidR="00815468" w:rsidRPr="005B1ED4">
        <w:rPr>
          <w:rFonts w:ascii="Book Antiqua" w:hAnsi="Book Antiqua" w:cs="Times New Roman"/>
          <w:sz w:val="28"/>
          <w:szCs w:val="28"/>
        </w:rPr>
        <w:t xml:space="preserve">, </w:t>
      </w:r>
      <w:r w:rsidR="003D2F3D" w:rsidRPr="005B1ED4">
        <w:rPr>
          <w:rFonts w:ascii="Book Antiqua" w:hAnsi="Book Antiqua" w:cs="Times New Roman"/>
          <w:sz w:val="28"/>
          <w:szCs w:val="28"/>
        </w:rPr>
        <w:t xml:space="preserve">following </w:t>
      </w:r>
      <w:r w:rsidR="003D2F3D" w:rsidRPr="005B1ED4">
        <w:rPr>
          <w:rFonts w:ascii="Book Antiqua" w:hAnsi="Book Antiqua" w:cs="Times New Roman"/>
          <w:i/>
          <w:iCs/>
          <w:sz w:val="28"/>
          <w:szCs w:val="28"/>
        </w:rPr>
        <w:t xml:space="preserve">Janus </w:t>
      </w:r>
      <w:r w:rsidR="003D2F3D" w:rsidRPr="005B1ED4">
        <w:rPr>
          <w:rFonts w:ascii="Book Antiqua" w:hAnsi="Book Antiqua" w:cs="Times New Roman"/>
          <w:sz w:val="28"/>
          <w:szCs w:val="28"/>
        </w:rPr>
        <w:t xml:space="preserve">would be more in line with Supreme Court precedent </w:t>
      </w:r>
      <w:r w:rsidR="003D2F3D" w:rsidRPr="005B1ED4">
        <w:rPr>
          <w:rFonts w:ascii="Book Antiqua" w:hAnsi="Book Antiqua" w:cs="Times New Roman"/>
          <w:i/>
          <w:iCs/>
          <w:sz w:val="28"/>
          <w:szCs w:val="28"/>
        </w:rPr>
        <w:t>and</w:t>
      </w:r>
      <w:r w:rsidR="00815468" w:rsidRPr="005B1ED4">
        <w:rPr>
          <w:rFonts w:ascii="Book Antiqua" w:hAnsi="Book Antiqua" w:cs="Times New Roman"/>
          <w:sz w:val="28"/>
          <w:szCs w:val="28"/>
        </w:rPr>
        <w:t xml:space="preserve"> would</w:t>
      </w:r>
      <w:r w:rsidR="00AE65D4" w:rsidRPr="005B1ED4">
        <w:rPr>
          <w:rFonts w:ascii="Book Antiqua" w:hAnsi="Book Antiqua" w:cs="Times New Roman"/>
          <w:sz w:val="28"/>
          <w:szCs w:val="28"/>
        </w:rPr>
        <w:t xml:space="preserve"> </w:t>
      </w:r>
      <w:r w:rsidR="00FD5205" w:rsidRPr="005B1ED4">
        <w:rPr>
          <w:rFonts w:ascii="Book Antiqua" w:hAnsi="Book Antiqua" w:cs="Times New Roman"/>
          <w:sz w:val="28"/>
          <w:szCs w:val="28"/>
        </w:rPr>
        <w:t xml:space="preserve">be </w:t>
      </w:r>
      <w:r w:rsidR="00256E5E" w:rsidRPr="005B1ED4">
        <w:rPr>
          <w:rFonts w:ascii="Book Antiqua" w:hAnsi="Book Antiqua" w:cs="Times New Roman"/>
          <w:sz w:val="28"/>
          <w:szCs w:val="28"/>
        </w:rPr>
        <w:t>more</w:t>
      </w:r>
      <w:r w:rsidR="00FD5205" w:rsidRPr="005B1ED4">
        <w:rPr>
          <w:rFonts w:ascii="Book Antiqua" w:hAnsi="Book Antiqua" w:cs="Times New Roman"/>
          <w:sz w:val="28"/>
          <w:szCs w:val="28"/>
        </w:rPr>
        <w:t xml:space="preserve"> </w:t>
      </w:r>
      <w:r w:rsidR="00890ECC" w:rsidRPr="005B1ED4">
        <w:rPr>
          <w:rFonts w:ascii="Book Antiqua" w:hAnsi="Book Antiqua" w:cs="Times New Roman"/>
          <w:sz w:val="28"/>
          <w:szCs w:val="28"/>
        </w:rPr>
        <w:t>faithful to the</w:t>
      </w:r>
      <w:r w:rsidR="00815468" w:rsidRPr="005B1ED4">
        <w:rPr>
          <w:rFonts w:ascii="Book Antiqua" w:hAnsi="Book Antiqua" w:cs="Times New Roman"/>
          <w:sz w:val="28"/>
          <w:szCs w:val="28"/>
        </w:rPr>
        <w:t xml:space="preserve"> Arizona Constitution</w:t>
      </w:r>
      <w:r w:rsidR="007F7BE7" w:rsidRPr="005B1ED4">
        <w:rPr>
          <w:rFonts w:ascii="Book Antiqua" w:hAnsi="Book Antiqua" w:cs="Times New Roman"/>
          <w:sz w:val="28"/>
          <w:szCs w:val="28"/>
        </w:rPr>
        <w:t>, which</w:t>
      </w:r>
      <w:r w:rsidR="00815468" w:rsidRPr="005B1ED4">
        <w:rPr>
          <w:rFonts w:ascii="Book Antiqua" w:hAnsi="Book Antiqua" w:cs="Times New Roman"/>
          <w:sz w:val="28"/>
          <w:szCs w:val="28"/>
        </w:rPr>
        <w:t xml:space="preserve"> affords citizens </w:t>
      </w:r>
      <w:r w:rsidR="00815468" w:rsidRPr="005B1ED4">
        <w:rPr>
          <w:rFonts w:ascii="Book Antiqua" w:hAnsi="Book Antiqua" w:cs="Times New Roman"/>
          <w:sz w:val="28"/>
          <w:szCs w:val="28"/>
        </w:rPr>
        <w:lastRenderedPageBreak/>
        <w:t xml:space="preserve">broader speech rights than the First Amendment. </w:t>
      </w:r>
      <w:r w:rsidR="00815468" w:rsidRPr="005B1ED4">
        <w:rPr>
          <w:rFonts w:ascii="Book Antiqua" w:hAnsi="Book Antiqua" w:cs="Times New Roman"/>
          <w:i/>
          <w:iCs/>
          <w:sz w:val="28"/>
          <w:szCs w:val="28"/>
        </w:rPr>
        <w:t>See Brush &amp; Nib Studio, LC v. City of Phoenix</w:t>
      </w:r>
      <w:r w:rsidR="00815468" w:rsidRPr="005B1ED4">
        <w:rPr>
          <w:rFonts w:ascii="Book Antiqua" w:hAnsi="Book Antiqua" w:cs="Times New Roman"/>
          <w:sz w:val="28"/>
          <w:szCs w:val="28"/>
        </w:rPr>
        <w:t>, 247 Ariz. 269, 281 ¶ 45 (2019).</w:t>
      </w:r>
    </w:p>
    <w:p w14:paraId="1CAFB5C8" w14:textId="26970183" w:rsidR="00EA5CD7" w:rsidRPr="005B1ED4" w:rsidRDefault="00EA5CD7" w:rsidP="00971144">
      <w:pPr>
        <w:spacing w:after="0" w:line="480" w:lineRule="auto"/>
        <w:ind w:firstLine="720"/>
        <w:jc w:val="both"/>
        <w:rPr>
          <w:rFonts w:ascii="Book Antiqua" w:hAnsi="Book Antiqua" w:cs="Times New Roman"/>
          <w:i/>
          <w:iCs/>
          <w:sz w:val="28"/>
          <w:szCs w:val="28"/>
        </w:rPr>
      </w:pPr>
      <w:r w:rsidRPr="005B1ED4">
        <w:rPr>
          <w:rFonts w:ascii="Book Antiqua" w:hAnsi="Book Antiqua"/>
          <w:sz w:val="28"/>
          <w:szCs w:val="28"/>
        </w:rPr>
        <w:t xml:space="preserve">Several </w:t>
      </w:r>
      <w:r w:rsidR="00F20739" w:rsidRPr="005B1ED4">
        <w:rPr>
          <w:rFonts w:ascii="Book Antiqua" w:hAnsi="Book Antiqua"/>
          <w:sz w:val="28"/>
          <w:szCs w:val="28"/>
        </w:rPr>
        <w:t>Petition Opponents</w:t>
      </w:r>
      <w:r w:rsidRPr="005B1ED4">
        <w:rPr>
          <w:rFonts w:ascii="Book Antiqua" w:hAnsi="Book Antiqua"/>
          <w:sz w:val="28"/>
          <w:szCs w:val="28"/>
        </w:rPr>
        <w:t xml:space="preserve"> cite case</w:t>
      </w:r>
      <w:r w:rsidR="00157D56" w:rsidRPr="005B1ED4">
        <w:rPr>
          <w:rFonts w:ascii="Book Antiqua" w:hAnsi="Book Antiqua"/>
          <w:sz w:val="28"/>
          <w:szCs w:val="28"/>
        </w:rPr>
        <w:t>s</w:t>
      </w:r>
      <w:r w:rsidRPr="005B1ED4">
        <w:rPr>
          <w:rFonts w:ascii="Book Antiqua" w:hAnsi="Book Antiqua"/>
          <w:sz w:val="28"/>
          <w:szCs w:val="28"/>
        </w:rPr>
        <w:t xml:space="preserve"> like </w:t>
      </w:r>
      <w:r w:rsidRPr="005B1ED4">
        <w:rPr>
          <w:rFonts w:ascii="Book Antiqua" w:hAnsi="Book Antiqua"/>
          <w:i/>
          <w:iCs/>
          <w:sz w:val="28"/>
          <w:szCs w:val="28"/>
        </w:rPr>
        <w:t>File v. Martin</w:t>
      </w:r>
      <w:r w:rsidRPr="005B1ED4">
        <w:rPr>
          <w:rFonts w:ascii="Book Antiqua" w:hAnsi="Book Antiqua"/>
          <w:sz w:val="28"/>
          <w:szCs w:val="28"/>
        </w:rPr>
        <w:t xml:space="preserve">, 33 F.4th 385, 387 (7th Cir. 2022), where federal courts </w:t>
      </w:r>
      <w:r w:rsidR="00EE0EE9" w:rsidRPr="005B1ED4">
        <w:rPr>
          <w:rFonts w:ascii="Book Antiqua" w:hAnsi="Book Antiqua"/>
          <w:sz w:val="28"/>
          <w:szCs w:val="28"/>
        </w:rPr>
        <w:t>recognize that</w:t>
      </w:r>
      <w:r w:rsidRPr="005B1ED4">
        <w:rPr>
          <w:rFonts w:ascii="Book Antiqua" w:hAnsi="Book Antiqua"/>
          <w:sz w:val="28"/>
          <w:szCs w:val="28"/>
        </w:rPr>
        <w:t xml:space="preserve"> they are still “bound” by </w:t>
      </w:r>
      <w:r w:rsidRPr="005B1ED4">
        <w:rPr>
          <w:rFonts w:ascii="Book Antiqua" w:hAnsi="Book Antiqua"/>
          <w:i/>
          <w:iCs/>
          <w:sz w:val="28"/>
          <w:szCs w:val="28"/>
        </w:rPr>
        <w:t>Keller</w:t>
      </w:r>
      <w:r w:rsidR="0088459E" w:rsidRPr="005B1ED4">
        <w:rPr>
          <w:rFonts w:ascii="Book Antiqua" w:hAnsi="Book Antiqua"/>
          <w:i/>
          <w:iCs/>
          <w:sz w:val="28"/>
          <w:szCs w:val="28"/>
        </w:rPr>
        <w:t xml:space="preserve"> </w:t>
      </w:r>
      <w:r w:rsidR="0088459E" w:rsidRPr="005B1ED4">
        <w:rPr>
          <w:rFonts w:ascii="Book Antiqua" w:hAnsi="Book Antiqua"/>
          <w:sz w:val="28"/>
          <w:szCs w:val="28"/>
        </w:rPr>
        <w:t xml:space="preserve">after </w:t>
      </w:r>
      <w:r w:rsidR="0088459E" w:rsidRPr="005B1ED4">
        <w:rPr>
          <w:rFonts w:ascii="Book Antiqua" w:hAnsi="Book Antiqua"/>
          <w:i/>
          <w:iCs/>
          <w:sz w:val="28"/>
          <w:szCs w:val="28"/>
        </w:rPr>
        <w:t>Janus</w:t>
      </w:r>
      <w:r w:rsidRPr="005B1ED4">
        <w:rPr>
          <w:rFonts w:ascii="Book Antiqua" w:hAnsi="Book Antiqua"/>
          <w:sz w:val="28"/>
          <w:szCs w:val="28"/>
        </w:rPr>
        <w:t xml:space="preserve">. </w:t>
      </w:r>
      <w:r w:rsidRPr="005B1ED4">
        <w:rPr>
          <w:rFonts w:ascii="Book Antiqua" w:hAnsi="Book Antiqua"/>
          <w:i/>
          <w:iCs/>
          <w:sz w:val="28"/>
          <w:szCs w:val="28"/>
        </w:rPr>
        <w:t>See</w:t>
      </w:r>
      <w:r w:rsidR="0088459E" w:rsidRPr="005B1ED4">
        <w:rPr>
          <w:rFonts w:ascii="Book Antiqua" w:hAnsi="Book Antiqua"/>
          <w:i/>
          <w:iCs/>
          <w:sz w:val="28"/>
          <w:szCs w:val="28"/>
        </w:rPr>
        <w:t xml:space="preserve"> </w:t>
      </w:r>
      <w:r w:rsidR="0054357F" w:rsidRPr="005B1ED4">
        <w:rPr>
          <w:rFonts w:ascii="Book Antiqua" w:hAnsi="Book Antiqua"/>
          <w:sz w:val="28"/>
          <w:szCs w:val="28"/>
        </w:rPr>
        <w:t>A</w:t>
      </w:r>
      <w:r w:rsidRPr="005B1ED4">
        <w:rPr>
          <w:rFonts w:ascii="Book Antiqua" w:hAnsi="Book Antiqua"/>
          <w:sz w:val="28"/>
          <w:szCs w:val="28"/>
        </w:rPr>
        <w:t>G Comm. at 4. But those cases are inapposite</w:t>
      </w:r>
      <w:r w:rsidR="00084028" w:rsidRPr="005B1ED4">
        <w:rPr>
          <w:rFonts w:ascii="Book Antiqua" w:hAnsi="Book Antiqua"/>
          <w:sz w:val="28"/>
          <w:szCs w:val="28"/>
        </w:rPr>
        <w:t xml:space="preserve">. In those </w:t>
      </w:r>
      <w:r w:rsidR="00DF4420" w:rsidRPr="005B1ED4">
        <w:rPr>
          <w:rFonts w:ascii="Book Antiqua" w:hAnsi="Book Antiqua"/>
          <w:sz w:val="28"/>
          <w:szCs w:val="28"/>
        </w:rPr>
        <w:t>cases, lawyers</w:t>
      </w:r>
      <w:r w:rsidRPr="005B1ED4">
        <w:rPr>
          <w:rFonts w:ascii="Book Antiqua" w:hAnsi="Book Antiqua"/>
          <w:sz w:val="28"/>
          <w:szCs w:val="28"/>
        </w:rPr>
        <w:t xml:space="preserve"> </w:t>
      </w:r>
      <w:r w:rsidR="00DF4420" w:rsidRPr="005B1ED4">
        <w:rPr>
          <w:rFonts w:ascii="Book Antiqua" w:hAnsi="Book Antiqua"/>
          <w:sz w:val="28"/>
          <w:szCs w:val="28"/>
        </w:rPr>
        <w:t>try</w:t>
      </w:r>
      <w:r w:rsidRPr="005B1ED4">
        <w:rPr>
          <w:rFonts w:ascii="Book Antiqua" w:hAnsi="Book Antiqua"/>
          <w:sz w:val="28"/>
          <w:szCs w:val="28"/>
        </w:rPr>
        <w:t xml:space="preserve"> to challenge their state’s mandatory bars as unconstitutional</w:t>
      </w:r>
      <w:r w:rsidR="003954A6" w:rsidRPr="005B1ED4">
        <w:rPr>
          <w:rFonts w:ascii="Book Antiqua" w:hAnsi="Book Antiqua"/>
          <w:sz w:val="28"/>
          <w:szCs w:val="28"/>
        </w:rPr>
        <w:t xml:space="preserve"> and obtain a judicial remedy.</w:t>
      </w:r>
      <w:r w:rsidRPr="005B1ED4">
        <w:rPr>
          <w:rFonts w:ascii="Book Antiqua" w:hAnsi="Book Antiqua"/>
          <w:sz w:val="28"/>
          <w:szCs w:val="28"/>
        </w:rPr>
        <w:t xml:space="preserve"> </w:t>
      </w:r>
      <w:r w:rsidR="003954A6" w:rsidRPr="005B1ED4">
        <w:rPr>
          <w:rFonts w:ascii="Book Antiqua" w:hAnsi="Book Antiqua"/>
          <w:sz w:val="28"/>
          <w:szCs w:val="28"/>
        </w:rPr>
        <w:t>Accordingly, lower federal</w:t>
      </w:r>
      <w:r w:rsidRPr="005B1ED4">
        <w:rPr>
          <w:rFonts w:ascii="Book Antiqua" w:hAnsi="Book Antiqua"/>
          <w:sz w:val="28"/>
          <w:szCs w:val="28"/>
        </w:rPr>
        <w:t xml:space="preserve"> </w:t>
      </w:r>
      <w:r w:rsidR="003954A6" w:rsidRPr="005B1ED4">
        <w:rPr>
          <w:rFonts w:ascii="Book Antiqua" w:hAnsi="Book Antiqua"/>
          <w:sz w:val="28"/>
          <w:szCs w:val="28"/>
        </w:rPr>
        <w:t>courts</w:t>
      </w:r>
      <w:r w:rsidR="00EE0EE9" w:rsidRPr="005B1ED4">
        <w:rPr>
          <w:rFonts w:ascii="Book Antiqua" w:hAnsi="Book Antiqua"/>
          <w:sz w:val="28"/>
          <w:szCs w:val="28"/>
        </w:rPr>
        <w:t xml:space="preserve"> </w:t>
      </w:r>
      <w:r w:rsidR="00EE0EE9" w:rsidRPr="005B1ED4">
        <w:rPr>
          <w:rFonts w:ascii="Book Antiqua" w:hAnsi="Book Antiqua"/>
          <w:i/>
          <w:iCs/>
          <w:sz w:val="28"/>
          <w:szCs w:val="28"/>
        </w:rPr>
        <w:t>are</w:t>
      </w:r>
      <w:r w:rsidRPr="005B1ED4">
        <w:rPr>
          <w:rFonts w:ascii="Book Antiqua" w:hAnsi="Book Antiqua"/>
          <w:sz w:val="28"/>
          <w:szCs w:val="28"/>
        </w:rPr>
        <w:t xml:space="preserve"> bound by </w:t>
      </w:r>
      <w:r w:rsidRPr="005B1ED4">
        <w:rPr>
          <w:rFonts w:ascii="Book Antiqua" w:hAnsi="Book Antiqua"/>
          <w:i/>
          <w:iCs/>
          <w:sz w:val="28"/>
          <w:szCs w:val="28"/>
        </w:rPr>
        <w:t xml:space="preserve">Keller </w:t>
      </w:r>
      <w:r w:rsidRPr="005B1ED4">
        <w:rPr>
          <w:rFonts w:ascii="Book Antiqua" w:hAnsi="Book Antiqua"/>
          <w:sz w:val="28"/>
          <w:szCs w:val="28"/>
        </w:rPr>
        <w:t xml:space="preserve">for </w:t>
      </w:r>
      <w:r w:rsidR="003954A6" w:rsidRPr="005B1ED4">
        <w:rPr>
          <w:rFonts w:ascii="Book Antiqua" w:hAnsi="Book Antiqua"/>
          <w:sz w:val="28"/>
          <w:szCs w:val="28"/>
        </w:rPr>
        <w:t xml:space="preserve">those types of </w:t>
      </w:r>
      <w:r w:rsidRPr="005B1ED4">
        <w:rPr>
          <w:rFonts w:ascii="Book Antiqua" w:hAnsi="Book Antiqua"/>
          <w:sz w:val="28"/>
          <w:szCs w:val="28"/>
        </w:rPr>
        <w:t xml:space="preserve">First Amendment claims (until </w:t>
      </w:r>
      <w:r w:rsidR="00EE0EE9" w:rsidRPr="005B1ED4">
        <w:rPr>
          <w:rFonts w:ascii="Book Antiqua" w:hAnsi="Book Antiqua"/>
          <w:sz w:val="28"/>
          <w:szCs w:val="28"/>
        </w:rPr>
        <w:t>it</w:t>
      </w:r>
      <w:r w:rsidRPr="005B1ED4">
        <w:rPr>
          <w:rFonts w:ascii="Book Antiqua" w:hAnsi="Book Antiqua"/>
          <w:i/>
          <w:iCs/>
          <w:sz w:val="28"/>
          <w:szCs w:val="28"/>
        </w:rPr>
        <w:t xml:space="preserve"> </w:t>
      </w:r>
      <w:r w:rsidRPr="005B1ED4">
        <w:rPr>
          <w:rFonts w:ascii="Book Antiqua" w:hAnsi="Book Antiqua"/>
          <w:sz w:val="28"/>
          <w:szCs w:val="28"/>
        </w:rPr>
        <w:t>is explicitly overturned)</w:t>
      </w:r>
      <w:r w:rsidR="003954A6" w:rsidRPr="005B1ED4">
        <w:rPr>
          <w:rFonts w:ascii="Book Antiqua" w:hAnsi="Book Antiqua"/>
          <w:sz w:val="28"/>
          <w:szCs w:val="28"/>
        </w:rPr>
        <w:t xml:space="preserve">, </w:t>
      </w:r>
      <w:r w:rsidR="00295B3A" w:rsidRPr="005B1ED4">
        <w:rPr>
          <w:rFonts w:ascii="Book Antiqua" w:hAnsi="Book Antiqua"/>
          <w:sz w:val="28"/>
          <w:szCs w:val="28"/>
        </w:rPr>
        <w:t>so</w:t>
      </w:r>
      <w:r w:rsidR="00EE0EE9" w:rsidRPr="005B1ED4">
        <w:rPr>
          <w:rFonts w:ascii="Book Antiqua" w:hAnsi="Book Antiqua"/>
          <w:sz w:val="28"/>
          <w:szCs w:val="28"/>
        </w:rPr>
        <w:t xml:space="preserve"> they </w:t>
      </w:r>
      <w:r w:rsidR="003954A6" w:rsidRPr="005B1ED4">
        <w:rPr>
          <w:rFonts w:ascii="Book Antiqua" w:hAnsi="Book Antiqua"/>
          <w:sz w:val="28"/>
          <w:szCs w:val="28"/>
        </w:rPr>
        <w:t xml:space="preserve">cannot </w:t>
      </w:r>
      <w:r w:rsidR="003954A6" w:rsidRPr="005B1ED4">
        <w:rPr>
          <w:rFonts w:ascii="Book Antiqua" w:hAnsi="Book Antiqua"/>
          <w:i/>
          <w:iCs/>
          <w:sz w:val="28"/>
          <w:szCs w:val="28"/>
        </w:rPr>
        <w:t xml:space="preserve">strike down </w:t>
      </w:r>
      <w:r w:rsidR="003954A6" w:rsidRPr="005B1ED4">
        <w:rPr>
          <w:rFonts w:ascii="Book Antiqua" w:hAnsi="Book Antiqua"/>
          <w:sz w:val="28"/>
          <w:szCs w:val="28"/>
        </w:rPr>
        <w:t>mandatory bars.</w:t>
      </w:r>
      <w:r w:rsidRPr="005B1ED4">
        <w:rPr>
          <w:rFonts w:ascii="Book Antiqua" w:hAnsi="Book Antiqua"/>
          <w:sz w:val="28"/>
          <w:szCs w:val="28"/>
        </w:rPr>
        <w:t xml:space="preserve"> Here, by contrast, this Court</w:t>
      </w:r>
      <w:r w:rsidR="003954A6" w:rsidRPr="005B1ED4">
        <w:rPr>
          <w:rFonts w:ascii="Book Antiqua" w:hAnsi="Book Antiqua"/>
          <w:sz w:val="28"/>
          <w:szCs w:val="28"/>
        </w:rPr>
        <w:t xml:space="preserve"> has discretion</w:t>
      </w:r>
      <w:r w:rsidRPr="005B1ED4">
        <w:rPr>
          <w:rFonts w:ascii="Book Antiqua" w:hAnsi="Book Antiqua"/>
          <w:sz w:val="28"/>
          <w:szCs w:val="28"/>
        </w:rPr>
        <w:t xml:space="preserve"> whether to </w:t>
      </w:r>
      <w:r w:rsidR="003954A6" w:rsidRPr="005B1ED4">
        <w:rPr>
          <w:rFonts w:ascii="Book Antiqua" w:hAnsi="Book Antiqua"/>
          <w:i/>
          <w:iCs/>
          <w:sz w:val="28"/>
          <w:szCs w:val="28"/>
        </w:rPr>
        <w:t>establish</w:t>
      </w:r>
      <w:r w:rsidRPr="005B1ED4">
        <w:rPr>
          <w:rFonts w:ascii="Book Antiqua" w:hAnsi="Book Antiqua"/>
          <w:i/>
          <w:iCs/>
          <w:sz w:val="28"/>
          <w:szCs w:val="28"/>
        </w:rPr>
        <w:t xml:space="preserve"> </w:t>
      </w:r>
      <w:r w:rsidRPr="005B1ED4">
        <w:rPr>
          <w:rFonts w:ascii="Book Antiqua" w:hAnsi="Book Antiqua"/>
          <w:sz w:val="28"/>
          <w:szCs w:val="28"/>
        </w:rPr>
        <w:t>a</w:t>
      </w:r>
      <w:r w:rsidR="003954A6" w:rsidRPr="005B1ED4">
        <w:rPr>
          <w:rFonts w:ascii="Book Antiqua" w:hAnsi="Book Antiqua"/>
          <w:sz w:val="28"/>
          <w:szCs w:val="28"/>
        </w:rPr>
        <w:t xml:space="preserve"> mandatory</w:t>
      </w:r>
      <w:r w:rsidRPr="005B1ED4">
        <w:rPr>
          <w:rFonts w:ascii="Book Antiqua" w:hAnsi="Book Antiqua"/>
          <w:sz w:val="28"/>
          <w:szCs w:val="28"/>
        </w:rPr>
        <w:t xml:space="preserve"> bar at all</w:t>
      </w:r>
      <w:r w:rsidR="003954A6" w:rsidRPr="005B1ED4">
        <w:rPr>
          <w:rFonts w:ascii="Book Antiqua" w:hAnsi="Book Antiqua"/>
          <w:sz w:val="28"/>
          <w:szCs w:val="28"/>
        </w:rPr>
        <w:t xml:space="preserve">. It need not do what </w:t>
      </w:r>
      <w:r w:rsidR="003954A6" w:rsidRPr="005B1ED4">
        <w:rPr>
          <w:rFonts w:ascii="Book Antiqua" w:hAnsi="Book Antiqua"/>
          <w:i/>
          <w:iCs/>
          <w:sz w:val="28"/>
          <w:szCs w:val="28"/>
        </w:rPr>
        <w:t xml:space="preserve">Keller </w:t>
      </w:r>
      <w:r w:rsidR="003954A6" w:rsidRPr="005B1ED4">
        <w:rPr>
          <w:rFonts w:ascii="Book Antiqua" w:hAnsi="Book Antiqua"/>
          <w:sz w:val="28"/>
          <w:szCs w:val="28"/>
        </w:rPr>
        <w:t xml:space="preserve">merely permits. It can follow </w:t>
      </w:r>
      <w:r w:rsidR="003954A6" w:rsidRPr="005B1ED4">
        <w:rPr>
          <w:rFonts w:ascii="Book Antiqua" w:hAnsi="Book Antiqua"/>
          <w:i/>
          <w:iCs/>
          <w:sz w:val="28"/>
          <w:szCs w:val="28"/>
        </w:rPr>
        <w:t>Janus</w:t>
      </w:r>
      <w:r w:rsidR="003954A6" w:rsidRPr="005B1ED4">
        <w:rPr>
          <w:rFonts w:ascii="Book Antiqua" w:hAnsi="Book Antiqua"/>
          <w:sz w:val="28"/>
          <w:szCs w:val="28"/>
        </w:rPr>
        <w:t xml:space="preserve">. That is not improperly “litigating” </w:t>
      </w:r>
      <w:r w:rsidR="003954A6" w:rsidRPr="005B1ED4">
        <w:rPr>
          <w:rFonts w:ascii="Book Antiqua" w:hAnsi="Book Antiqua"/>
          <w:i/>
          <w:iCs/>
          <w:sz w:val="28"/>
          <w:szCs w:val="28"/>
        </w:rPr>
        <w:t>Keller.</w:t>
      </w:r>
    </w:p>
    <w:p w14:paraId="7F085E9F" w14:textId="06755B23" w:rsidR="0092509B" w:rsidRPr="005B1ED4" w:rsidRDefault="00982E39" w:rsidP="002665EA">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E</w:t>
      </w:r>
      <w:r w:rsidR="00CD49E7" w:rsidRPr="005B1ED4">
        <w:rPr>
          <w:rFonts w:ascii="Book Antiqua" w:hAnsi="Book Antiqua" w:cs="Times New Roman"/>
          <w:sz w:val="28"/>
          <w:szCs w:val="28"/>
        </w:rPr>
        <w:t xml:space="preserve">ven </w:t>
      </w:r>
      <w:r w:rsidR="00971144" w:rsidRPr="005B1ED4">
        <w:rPr>
          <w:rFonts w:ascii="Book Antiqua" w:hAnsi="Book Antiqua" w:cs="Times New Roman"/>
          <w:sz w:val="28"/>
          <w:szCs w:val="28"/>
        </w:rPr>
        <w:t>if not “explicitly” overruled,</w:t>
      </w:r>
      <w:r w:rsidR="00ED0DA3" w:rsidRPr="005B1ED4">
        <w:rPr>
          <w:rFonts w:ascii="Book Antiqua" w:hAnsi="Book Antiqua" w:cs="Times New Roman"/>
          <w:sz w:val="28"/>
          <w:szCs w:val="28"/>
        </w:rPr>
        <w:t xml:space="preserve"> moreover,</w:t>
      </w:r>
      <w:r w:rsidR="00971144" w:rsidRPr="005B1ED4">
        <w:rPr>
          <w:rFonts w:ascii="Book Antiqua" w:hAnsi="Book Antiqua" w:cs="Times New Roman"/>
          <w:sz w:val="28"/>
          <w:szCs w:val="28"/>
        </w:rPr>
        <w:t xml:space="preserve"> </w:t>
      </w:r>
      <w:r w:rsidR="00466594" w:rsidRPr="005B1ED4">
        <w:rPr>
          <w:rFonts w:ascii="Book Antiqua" w:hAnsi="Book Antiqua" w:cs="Times New Roman"/>
          <w:i/>
          <w:iCs/>
          <w:sz w:val="28"/>
          <w:szCs w:val="28"/>
        </w:rPr>
        <w:t>Keller</w:t>
      </w:r>
      <w:r w:rsidR="00466594" w:rsidRPr="005B1ED4">
        <w:rPr>
          <w:rFonts w:ascii="Book Antiqua" w:hAnsi="Book Antiqua" w:cs="Times New Roman"/>
          <w:sz w:val="28"/>
          <w:szCs w:val="28"/>
        </w:rPr>
        <w:t xml:space="preserve"> is</w:t>
      </w:r>
      <w:r w:rsidR="00971144" w:rsidRPr="005B1ED4">
        <w:rPr>
          <w:rFonts w:ascii="Book Antiqua" w:hAnsi="Book Antiqua" w:cs="Times New Roman"/>
          <w:sz w:val="28"/>
          <w:szCs w:val="28"/>
        </w:rPr>
        <w:t xml:space="preserve"> </w:t>
      </w:r>
      <w:r w:rsidR="005E03D2" w:rsidRPr="005B1ED4">
        <w:rPr>
          <w:rFonts w:ascii="Book Antiqua" w:hAnsi="Book Antiqua" w:cs="Times New Roman"/>
          <w:sz w:val="28"/>
          <w:szCs w:val="28"/>
        </w:rPr>
        <w:t>dead letter</w:t>
      </w:r>
      <w:r w:rsidR="00315635" w:rsidRPr="005B1ED4">
        <w:rPr>
          <w:rFonts w:ascii="Book Antiqua" w:hAnsi="Book Antiqua" w:cs="Times New Roman"/>
          <w:sz w:val="28"/>
          <w:szCs w:val="28"/>
        </w:rPr>
        <w:t xml:space="preserve"> and of </w:t>
      </w:r>
      <w:r w:rsidR="00462F90" w:rsidRPr="005B1ED4">
        <w:rPr>
          <w:rFonts w:ascii="Book Antiqua" w:hAnsi="Book Antiqua" w:cs="Times New Roman"/>
          <w:sz w:val="28"/>
          <w:szCs w:val="28"/>
        </w:rPr>
        <w:t>no</w:t>
      </w:r>
      <w:r w:rsidR="00315635" w:rsidRPr="005B1ED4">
        <w:rPr>
          <w:rFonts w:ascii="Book Antiqua" w:hAnsi="Book Antiqua" w:cs="Times New Roman"/>
          <w:sz w:val="28"/>
          <w:szCs w:val="28"/>
        </w:rPr>
        <w:t xml:space="preserve"> value</w:t>
      </w:r>
      <w:r w:rsidR="00971144" w:rsidRPr="005B1ED4">
        <w:rPr>
          <w:rFonts w:ascii="Book Antiqua" w:hAnsi="Book Antiqua" w:cs="Times New Roman"/>
          <w:sz w:val="28"/>
          <w:szCs w:val="28"/>
        </w:rPr>
        <w:t xml:space="preserve">. </w:t>
      </w:r>
      <w:r w:rsidR="00FC2B95" w:rsidRPr="005B1ED4">
        <w:rPr>
          <w:rFonts w:ascii="Book Antiqua" w:hAnsi="Book Antiqua" w:cs="Times New Roman"/>
          <w:sz w:val="28"/>
          <w:szCs w:val="28"/>
        </w:rPr>
        <w:t>I</w:t>
      </w:r>
      <w:r w:rsidR="009154CF" w:rsidRPr="005B1ED4">
        <w:rPr>
          <w:rFonts w:ascii="Book Antiqua" w:hAnsi="Book Antiqua" w:cs="Times New Roman"/>
          <w:sz w:val="28"/>
          <w:szCs w:val="28"/>
        </w:rPr>
        <w:t xml:space="preserve">ts rationale </w:t>
      </w:r>
      <w:r w:rsidR="00FC2B95" w:rsidRPr="005B1ED4">
        <w:rPr>
          <w:rFonts w:ascii="Book Antiqua" w:hAnsi="Book Antiqua" w:cs="Times New Roman"/>
          <w:sz w:val="28"/>
          <w:szCs w:val="28"/>
        </w:rPr>
        <w:t>was</w:t>
      </w:r>
      <w:r w:rsidR="003A4C72" w:rsidRPr="005B1ED4">
        <w:rPr>
          <w:rFonts w:ascii="Book Antiqua" w:hAnsi="Book Antiqua" w:cs="Times New Roman"/>
          <w:sz w:val="28"/>
          <w:szCs w:val="28"/>
        </w:rPr>
        <w:t xml:space="preserve"> </w:t>
      </w:r>
      <w:r w:rsidR="00770B18" w:rsidRPr="005B1ED4">
        <w:rPr>
          <w:rFonts w:ascii="Book Antiqua" w:hAnsi="Book Antiqua" w:cs="Times New Roman"/>
          <w:sz w:val="28"/>
          <w:szCs w:val="28"/>
        </w:rPr>
        <w:t>gutted</w:t>
      </w:r>
      <w:r w:rsidR="00FD5205" w:rsidRPr="005B1ED4">
        <w:rPr>
          <w:rFonts w:ascii="Book Antiqua" w:hAnsi="Book Antiqua" w:cs="Times New Roman"/>
          <w:sz w:val="28"/>
          <w:szCs w:val="28"/>
        </w:rPr>
        <w:t xml:space="preserve"> </w:t>
      </w:r>
      <w:r w:rsidR="00925BA9" w:rsidRPr="005B1ED4">
        <w:rPr>
          <w:rFonts w:ascii="Book Antiqua" w:hAnsi="Book Antiqua" w:cs="Times New Roman"/>
          <w:sz w:val="28"/>
          <w:szCs w:val="28"/>
        </w:rPr>
        <w:t xml:space="preserve">in </w:t>
      </w:r>
      <w:r w:rsidR="00925BA9" w:rsidRPr="005B1ED4">
        <w:rPr>
          <w:rFonts w:ascii="Book Antiqua" w:hAnsi="Book Antiqua" w:cs="Times New Roman"/>
          <w:i/>
          <w:iCs/>
          <w:sz w:val="28"/>
          <w:szCs w:val="28"/>
        </w:rPr>
        <w:t>Janus</w:t>
      </w:r>
      <w:r w:rsidR="00466594" w:rsidRPr="005B1ED4">
        <w:rPr>
          <w:rFonts w:ascii="Book Antiqua" w:hAnsi="Book Antiqua" w:cs="Times New Roman"/>
          <w:sz w:val="28"/>
          <w:szCs w:val="28"/>
        </w:rPr>
        <w:t xml:space="preserve">. </w:t>
      </w:r>
      <w:r w:rsidR="00060762" w:rsidRPr="005B1ED4">
        <w:rPr>
          <w:rFonts w:ascii="Book Antiqua" w:hAnsi="Book Antiqua" w:cs="Times New Roman"/>
          <w:sz w:val="28"/>
          <w:szCs w:val="28"/>
        </w:rPr>
        <w:t>Commenters’ efforts to revive it</w:t>
      </w:r>
      <w:r w:rsidR="002051D5" w:rsidRPr="005B1ED4">
        <w:rPr>
          <w:rFonts w:ascii="Book Antiqua" w:hAnsi="Book Antiqua" w:cs="Times New Roman"/>
          <w:sz w:val="28"/>
          <w:szCs w:val="28"/>
        </w:rPr>
        <w:t xml:space="preserve"> here</w:t>
      </w:r>
      <w:r w:rsidR="00060762" w:rsidRPr="005B1ED4">
        <w:rPr>
          <w:rFonts w:ascii="Book Antiqua" w:hAnsi="Book Antiqua" w:cs="Times New Roman"/>
          <w:sz w:val="28"/>
          <w:szCs w:val="28"/>
        </w:rPr>
        <w:t xml:space="preserve"> are not convincing. For example,</w:t>
      </w:r>
      <w:r w:rsidR="0030341E" w:rsidRPr="005B1ED4">
        <w:rPr>
          <w:rFonts w:ascii="Book Antiqua" w:hAnsi="Book Antiqua" w:cs="Times New Roman"/>
          <w:sz w:val="28"/>
          <w:szCs w:val="28"/>
        </w:rPr>
        <w:t xml:space="preserve"> some </w:t>
      </w:r>
      <w:r w:rsidR="00F321E1" w:rsidRPr="005B1ED4">
        <w:rPr>
          <w:rFonts w:ascii="Book Antiqua" w:hAnsi="Book Antiqua" w:cs="Times New Roman"/>
          <w:sz w:val="28"/>
          <w:szCs w:val="28"/>
        </w:rPr>
        <w:t xml:space="preserve">try to distance </w:t>
      </w:r>
      <w:r w:rsidR="00F321E1" w:rsidRPr="005B1ED4">
        <w:rPr>
          <w:rFonts w:ascii="Book Antiqua" w:hAnsi="Book Antiqua" w:cs="Times New Roman"/>
          <w:i/>
          <w:iCs/>
          <w:sz w:val="28"/>
          <w:szCs w:val="28"/>
        </w:rPr>
        <w:t xml:space="preserve">Keller </w:t>
      </w:r>
      <w:r w:rsidR="00F321E1" w:rsidRPr="005B1ED4">
        <w:rPr>
          <w:rFonts w:ascii="Book Antiqua" w:hAnsi="Book Antiqua" w:cs="Times New Roman"/>
          <w:sz w:val="28"/>
          <w:szCs w:val="28"/>
        </w:rPr>
        <w:t xml:space="preserve">from </w:t>
      </w:r>
      <w:r w:rsidR="000E04A0" w:rsidRPr="005B1ED4">
        <w:rPr>
          <w:rFonts w:ascii="Book Antiqua" w:hAnsi="Book Antiqua" w:cs="Times New Roman"/>
          <w:i/>
          <w:iCs/>
          <w:sz w:val="28"/>
          <w:szCs w:val="28"/>
        </w:rPr>
        <w:t>Abood v. Detroit Board of Education</w:t>
      </w:r>
      <w:r w:rsidR="000E04A0" w:rsidRPr="005B1ED4">
        <w:rPr>
          <w:rFonts w:ascii="Book Antiqua" w:hAnsi="Book Antiqua" w:cs="Times New Roman"/>
          <w:sz w:val="28"/>
          <w:szCs w:val="28"/>
        </w:rPr>
        <w:t>, 431 U.S. 209, (1977)</w:t>
      </w:r>
      <w:r w:rsidR="000C3C88" w:rsidRPr="005B1ED4">
        <w:rPr>
          <w:rFonts w:ascii="Book Antiqua" w:hAnsi="Book Antiqua" w:cs="Times New Roman"/>
          <w:sz w:val="28"/>
          <w:szCs w:val="28"/>
        </w:rPr>
        <w:t>, which the Court overrule</w:t>
      </w:r>
      <w:r w:rsidR="002051D5" w:rsidRPr="005B1ED4">
        <w:rPr>
          <w:rFonts w:ascii="Book Antiqua" w:hAnsi="Book Antiqua" w:cs="Times New Roman"/>
          <w:sz w:val="28"/>
          <w:szCs w:val="28"/>
        </w:rPr>
        <w:t xml:space="preserve">d in </w:t>
      </w:r>
      <w:r w:rsidR="002051D5" w:rsidRPr="005B1ED4">
        <w:rPr>
          <w:rFonts w:ascii="Book Antiqua" w:hAnsi="Book Antiqua" w:cs="Times New Roman"/>
          <w:i/>
          <w:iCs/>
          <w:sz w:val="28"/>
          <w:szCs w:val="28"/>
        </w:rPr>
        <w:t>Janus</w:t>
      </w:r>
      <w:r w:rsidR="00F321E1" w:rsidRPr="005B1ED4">
        <w:rPr>
          <w:rFonts w:ascii="Book Antiqua" w:hAnsi="Book Antiqua" w:cs="Times New Roman"/>
          <w:i/>
          <w:iCs/>
          <w:sz w:val="28"/>
          <w:szCs w:val="28"/>
        </w:rPr>
        <w:t>.</w:t>
      </w:r>
      <w:r w:rsidR="009154CF" w:rsidRPr="005B1ED4">
        <w:rPr>
          <w:rFonts w:ascii="Book Antiqua" w:hAnsi="Book Antiqua" w:cs="Times New Roman"/>
          <w:sz w:val="28"/>
          <w:szCs w:val="28"/>
        </w:rPr>
        <w:t xml:space="preserve"> </w:t>
      </w:r>
      <w:r w:rsidR="00F321E1" w:rsidRPr="005B1ED4">
        <w:rPr>
          <w:rFonts w:ascii="Book Antiqua" w:hAnsi="Book Antiqua" w:cs="Times New Roman"/>
          <w:i/>
          <w:iCs/>
          <w:sz w:val="28"/>
          <w:szCs w:val="28"/>
        </w:rPr>
        <w:t>S</w:t>
      </w:r>
      <w:r w:rsidR="009154CF" w:rsidRPr="005B1ED4">
        <w:rPr>
          <w:rFonts w:ascii="Book Antiqua" w:hAnsi="Book Antiqua" w:cs="Times New Roman"/>
          <w:i/>
          <w:iCs/>
          <w:sz w:val="28"/>
          <w:szCs w:val="28"/>
        </w:rPr>
        <w:t>ee</w:t>
      </w:r>
      <w:r w:rsidR="00103985" w:rsidRPr="005B1ED4">
        <w:rPr>
          <w:rFonts w:ascii="Book Antiqua" w:hAnsi="Book Antiqua" w:cs="Times New Roman"/>
          <w:i/>
          <w:iCs/>
          <w:sz w:val="28"/>
          <w:szCs w:val="28"/>
        </w:rPr>
        <w:t>, e.g.</w:t>
      </w:r>
      <w:r w:rsidR="00103985" w:rsidRPr="005B1ED4">
        <w:rPr>
          <w:rFonts w:ascii="Book Antiqua" w:hAnsi="Book Antiqua" w:cs="Times New Roman"/>
          <w:sz w:val="28"/>
          <w:szCs w:val="28"/>
        </w:rPr>
        <w:t>,</w:t>
      </w:r>
      <w:r w:rsidR="00003FBC" w:rsidRPr="005B1ED4">
        <w:rPr>
          <w:rFonts w:ascii="Book Antiqua" w:hAnsi="Book Antiqua" w:cs="Times New Roman"/>
          <w:i/>
          <w:iCs/>
          <w:sz w:val="28"/>
          <w:szCs w:val="28"/>
        </w:rPr>
        <w:t xml:space="preserve"> </w:t>
      </w:r>
      <w:r w:rsidR="00003FBC" w:rsidRPr="005B1ED4">
        <w:rPr>
          <w:rFonts w:ascii="Book Antiqua" w:hAnsi="Book Antiqua" w:cs="Times New Roman"/>
          <w:sz w:val="28"/>
          <w:szCs w:val="28"/>
        </w:rPr>
        <w:t>AG Comm. at 3</w:t>
      </w:r>
      <w:r w:rsidR="00F321E1" w:rsidRPr="005B1ED4">
        <w:rPr>
          <w:rFonts w:ascii="Book Antiqua" w:hAnsi="Book Antiqua" w:cs="Times New Roman"/>
          <w:sz w:val="28"/>
          <w:szCs w:val="28"/>
        </w:rPr>
        <w:t>.</w:t>
      </w:r>
      <w:r w:rsidR="0030341E" w:rsidRPr="005B1ED4">
        <w:rPr>
          <w:rFonts w:ascii="Book Antiqua" w:hAnsi="Book Antiqua" w:cs="Times New Roman"/>
          <w:sz w:val="28"/>
          <w:szCs w:val="28"/>
        </w:rPr>
        <w:t xml:space="preserve"> </w:t>
      </w:r>
      <w:r w:rsidR="00F321E1" w:rsidRPr="005B1ED4">
        <w:rPr>
          <w:rFonts w:ascii="Book Antiqua" w:hAnsi="Book Antiqua" w:cs="Times New Roman"/>
          <w:sz w:val="28"/>
          <w:szCs w:val="28"/>
        </w:rPr>
        <w:t xml:space="preserve">But </w:t>
      </w:r>
      <w:r w:rsidR="00DD0EA2" w:rsidRPr="005B1ED4">
        <w:rPr>
          <w:rFonts w:ascii="Book Antiqua" w:hAnsi="Book Antiqua" w:cs="Times New Roman"/>
          <w:i/>
          <w:iCs/>
          <w:sz w:val="28"/>
          <w:szCs w:val="28"/>
        </w:rPr>
        <w:t xml:space="preserve">Keller </w:t>
      </w:r>
      <w:r w:rsidR="007663E5" w:rsidRPr="005B1ED4">
        <w:rPr>
          <w:rFonts w:ascii="Book Antiqua" w:hAnsi="Book Antiqua" w:cs="Times New Roman"/>
          <w:sz w:val="28"/>
          <w:szCs w:val="28"/>
        </w:rPr>
        <w:t xml:space="preserve">relied </w:t>
      </w:r>
      <w:r w:rsidR="00EA7009" w:rsidRPr="005B1ED4">
        <w:rPr>
          <w:rFonts w:ascii="Book Antiqua" w:hAnsi="Book Antiqua" w:cs="Times New Roman"/>
          <w:sz w:val="28"/>
          <w:szCs w:val="28"/>
        </w:rPr>
        <w:t>heavily</w:t>
      </w:r>
      <w:r w:rsidR="00DD0EA2" w:rsidRPr="005B1ED4">
        <w:rPr>
          <w:rFonts w:ascii="Book Antiqua" w:hAnsi="Book Antiqua" w:cs="Times New Roman"/>
          <w:sz w:val="28"/>
          <w:szCs w:val="28"/>
        </w:rPr>
        <w:t xml:space="preserve"> on </w:t>
      </w:r>
      <w:r w:rsidR="00CE4063" w:rsidRPr="005B1ED4">
        <w:rPr>
          <w:rFonts w:ascii="Book Antiqua" w:hAnsi="Book Antiqua" w:cs="Times New Roman"/>
          <w:i/>
          <w:iCs/>
          <w:sz w:val="28"/>
          <w:szCs w:val="28"/>
        </w:rPr>
        <w:t>Abood</w:t>
      </w:r>
      <w:r w:rsidR="002C7AB2" w:rsidRPr="005B1ED4">
        <w:rPr>
          <w:rFonts w:ascii="Book Antiqua" w:hAnsi="Book Antiqua" w:cs="Times New Roman"/>
          <w:sz w:val="28"/>
          <w:szCs w:val="28"/>
        </w:rPr>
        <w:t xml:space="preserve">. In </w:t>
      </w:r>
      <w:r w:rsidR="002C7AB2" w:rsidRPr="005B1ED4">
        <w:rPr>
          <w:rFonts w:ascii="Book Antiqua" w:hAnsi="Book Antiqua" w:cs="Times New Roman"/>
          <w:i/>
          <w:iCs/>
          <w:sz w:val="28"/>
          <w:szCs w:val="28"/>
        </w:rPr>
        <w:t>Keller</w:t>
      </w:r>
      <w:r w:rsidR="002C7AB2" w:rsidRPr="005B1ED4">
        <w:rPr>
          <w:rFonts w:ascii="Book Antiqua" w:hAnsi="Book Antiqua" w:cs="Times New Roman"/>
          <w:sz w:val="28"/>
          <w:szCs w:val="28"/>
        </w:rPr>
        <w:t>, t</w:t>
      </w:r>
      <w:r w:rsidR="001A73BB" w:rsidRPr="005B1ED4">
        <w:rPr>
          <w:rFonts w:ascii="Book Antiqua" w:hAnsi="Book Antiqua" w:cs="Times New Roman"/>
          <w:sz w:val="28"/>
          <w:szCs w:val="28"/>
        </w:rPr>
        <w:t>he Supreme Court</w:t>
      </w:r>
      <w:r w:rsidR="003160CF" w:rsidRPr="005B1ED4">
        <w:rPr>
          <w:rFonts w:ascii="Book Antiqua" w:hAnsi="Book Antiqua" w:cs="Times New Roman"/>
          <w:sz w:val="28"/>
          <w:szCs w:val="28"/>
        </w:rPr>
        <w:t xml:space="preserve"> </w:t>
      </w:r>
      <w:r w:rsidR="002231B3" w:rsidRPr="005B1ED4">
        <w:rPr>
          <w:rFonts w:ascii="Book Antiqua" w:hAnsi="Book Antiqua" w:cs="Times New Roman"/>
          <w:sz w:val="28"/>
          <w:szCs w:val="28"/>
        </w:rPr>
        <w:t>fault</w:t>
      </w:r>
      <w:r w:rsidR="002C7AB2" w:rsidRPr="005B1ED4">
        <w:rPr>
          <w:rFonts w:ascii="Book Antiqua" w:hAnsi="Book Antiqua" w:cs="Times New Roman"/>
          <w:sz w:val="28"/>
          <w:szCs w:val="28"/>
        </w:rPr>
        <w:t>ed</w:t>
      </w:r>
      <w:r w:rsidR="00CC6A70" w:rsidRPr="005B1ED4">
        <w:rPr>
          <w:rFonts w:ascii="Book Antiqua" w:hAnsi="Book Antiqua" w:cs="Times New Roman"/>
          <w:sz w:val="28"/>
          <w:szCs w:val="28"/>
        </w:rPr>
        <w:t xml:space="preserve"> the California Supreme Court </w:t>
      </w:r>
      <w:r w:rsidR="00CE7A81" w:rsidRPr="005B1ED4">
        <w:rPr>
          <w:rFonts w:ascii="Book Antiqua" w:hAnsi="Book Antiqua" w:cs="Times New Roman"/>
          <w:sz w:val="28"/>
          <w:szCs w:val="28"/>
        </w:rPr>
        <w:t xml:space="preserve">for “declining to apply our </w:t>
      </w:r>
      <w:r w:rsidR="00CE7A81" w:rsidRPr="005B1ED4">
        <w:rPr>
          <w:rFonts w:ascii="Book Antiqua" w:hAnsi="Book Antiqua" w:cs="Times New Roman"/>
          <w:i/>
          <w:iCs/>
          <w:sz w:val="28"/>
          <w:szCs w:val="28"/>
        </w:rPr>
        <w:t>Abood</w:t>
      </w:r>
      <w:r w:rsidR="00CE7A81" w:rsidRPr="005B1ED4">
        <w:rPr>
          <w:rFonts w:ascii="Book Antiqua" w:hAnsi="Book Antiqua" w:cs="Times New Roman"/>
          <w:sz w:val="28"/>
          <w:szCs w:val="28"/>
        </w:rPr>
        <w:t xml:space="preserve"> decision,” </w:t>
      </w:r>
      <w:r w:rsidR="00586C60" w:rsidRPr="005B1ED4">
        <w:rPr>
          <w:rFonts w:ascii="Book Antiqua" w:hAnsi="Book Antiqua" w:cs="Times New Roman"/>
          <w:sz w:val="28"/>
          <w:szCs w:val="28"/>
        </w:rPr>
        <w:t xml:space="preserve">while noting that several other </w:t>
      </w:r>
      <w:r w:rsidR="00586C60" w:rsidRPr="005B1ED4">
        <w:rPr>
          <w:rFonts w:ascii="Book Antiqua" w:hAnsi="Book Antiqua" w:cs="Times New Roman"/>
          <w:sz w:val="28"/>
          <w:szCs w:val="28"/>
        </w:rPr>
        <w:lastRenderedPageBreak/>
        <w:t xml:space="preserve">courts </w:t>
      </w:r>
      <w:r w:rsidR="003C107E" w:rsidRPr="005B1ED4">
        <w:rPr>
          <w:rFonts w:ascii="Book Antiqua" w:hAnsi="Book Antiqua" w:cs="Times New Roman"/>
          <w:sz w:val="28"/>
          <w:szCs w:val="28"/>
        </w:rPr>
        <w:t>had</w:t>
      </w:r>
      <w:r w:rsidR="00586C60" w:rsidRPr="005B1ED4">
        <w:rPr>
          <w:rFonts w:ascii="Book Antiqua" w:hAnsi="Book Antiqua" w:cs="Times New Roman"/>
          <w:sz w:val="28"/>
          <w:szCs w:val="28"/>
        </w:rPr>
        <w:t xml:space="preserve"> </w:t>
      </w:r>
      <w:r w:rsidR="00AB40ED" w:rsidRPr="005B1ED4">
        <w:rPr>
          <w:rFonts w:ascii="Book Antiqua" w:hAnsi="Book Antiqua" w:cs="Times New Roman"/>
          <w:sz w:val="28"/>
          <w:szCs w:val="28"/>
        </w:rPr>
        <w:t xml:space="preserve">at that time </w:t>
      </w:r>
      <w:r w:rsidR="00586C60" w:rsidRPr="005B1ED4">
        <w:rPr>
          <w:rFonts w:ascii="Book Antiqua" w:hAnsi="Book Antiqua" w:cs="Times New Roman"/>
          <w:sz w:val="28"/>
          <w:szCs w:val="28"/>
        </w:rPr>
        <w:t xml:space="preserve">applied </w:t>
      </w:r>
      <w:r w:rsidR="00586C60" w:rsidRPr="005B1ED4">
        <w:rPr>
          <w:rFonts w:ascii="Book Antiqua" w:hAnsi="Book Antiqua" w:cs="Times New Roman"/>
          <w:i/>
          <w:iCs/>
          <w:sz w:val="28"/>
          <w:szCs w:val="28"/>
        </w:rPr>
        <w:t xml:space="preserve">Abood </w:t>
      </w:r>
      <w:r w:rsidR="00586C60" w:rsidRPr="005B1ED4">
        <w:rPr>
          <w:rFonts w:ascii="Book Antiqua" w:hAnsi="Book Antiqua" w:cs="Times New Roman"/>
          <w:sz w:val="28"/>
          <w:szCs w:val="28"/>
        </w:rPr>
        <w:t>to integrated bar</w:t>
      </w:r>
      <w:r w:rsidR="00AB40ED" w:rsidRPr="005B1ED4">
        <w:rPr>
          <w:rFonts w:ascii="Book Antiqua" w:hAnsi="Book Antiqua" w:cs="Times New Roman"/>
          <w:sz w:val="28"/>
          <w:szCs w:val="28"/>
        </w:rPr>
        <w:t>s</w:t>
      </w:r>
      <w:r w:rsidR="00CE7A81" w:rsidRPr="005B1ED4">
        <w:rPr>
          <w:rFonts w:ascii="Book Antiqua" w:hAnsi="Book Antiqua" w:cs="Times New Roman"/>
          <w:sz w:val="28"/>
          <w:szCs w:val="28"/>
        </w:rPr>
        <w:t xml:space="preserve">. </w:t>
      </w:r>
      <w:r w:rsidR="00CE7A81" w:rsidRPr="005B1ED4">
        <w:rPr>
          <w:rFonts w:ascii="Book Antiqua" w:hAnsi="Book Antiqua" w:cs="Times New Roman"/>
          <w:i/>
          <w:iCs/>
          <w:sz w:val="28"/>
          <w:szCs w:val="28"/>
        </w:rPr>
        <w:t>See Keller</w:t>
      </w:r>
      <w:r w:rsidR="00CE7A81" w:rsidRPr="005B1ED4">
        <w:rPr>
          <w:rFonts w:ascii="Book Antiqua" w:hAnsi="Book Antiqua" w:cs="Times New Roman"/>
          <w:sz w:val="28"/>
          <w:szCs w:val="28"/>
        </w:rPr>
        <w:t>, 496 U.S. at 16;</w:t>
      </w:r>
      <w:r w:rsidR="00CE4063" w:rsidRPr="005B1ED4">
        <w:rPr>
          <w:rFonts w:ascii="Book Antiqua" w:hAnsi="Book Antiqua" w:cs="Times New Roman"/>
          <w:sz w:val="28"/>
          <w:szCs w:val="28"/>
        </w:rPr>
        <w:t xml:space="preserve"> </w:t>
      </w:r>
      <w:r w:rsidR="00CE4063" w:rsidRPr="005B1ED4">
        <w:rPr>
          <w:rFonts w:ascii="Book Antiqua" w:hAnsi="Book Antiqua" w:cs="Times New Roman"/>
          <w:i/>
          <w:iCs/>
          <w:sz w:val="28"/>
          <w:szCs w:val="28"/>
        </w:rPr>
        <w:t>see</w:t>
      </w:r>
      <w:r w:rsidR="009305EF" w:rsidRPr="005B1ED4">
        <w:rPr>
          <w:rFonts w:ascii="Book Antiqua" w:hAnsi="Book Antiqua" w:cs="Times New Roman"/>
          <w:i/>
          <w:iCs/>
          <w:sz w:val="28"/>
          <w:szCs w:val="28"/>
        </w:rPr>
        <w:t xml:space="preserve"> </w:t>
      </w:r>
      <w:r w:rsidR="00CE4063" w:rsidRPr="005B1ED4">
        <w:rPr>
          <w:rFonts w:ascii="Book Antiqua" w:hAnsi="Book Antiqua" w:cs="Times New Roman"/>
          <w:i/>
          <w:iCs/>
          <w:sz w:val="28"/>
          <w:szCs w:val="28"/>
        </w:rPr>
        <w:t xml:space="preserve">generally id. </w:t>
      </w:r>
      <w:r w:rsidR="00CE4063" w:rsidRPr="005B1ED4">
        <w:rPr>
          <w:rFonts w:ascii="Book Antiqua" w:hAnsi="Book Antiqua" w:cs="Times New Roman"/>
          <w:sz w:val="28"/>
          <w:szCs w:val="28"/>
        </w:rPr>
        <w:t xml:space="preserve">(referring to </w:t>
      </w:r>
      <w:r w:rsidR="00CE4063" w:rsidRPr="005B1ED4">
        <w:rPr>
          <w:rFonts w:ascii="Book Antiqua" w:hAnsi="Book Antiqua" w:cs="Times New Roman"/>
          <w:i/>
          <w:iCs/>
          <w:sz w:val="28"/>
          <w:szCs w:val="28"/>
        </w:rPr>
        <w:t xml:space="preserve">Abood </w:t>
      </w:r>
      <w:r w:rsidR="00586C60" w:rsidRPr="005B1ED4">
        <w:rPr>
          <w:rFonts w:ascii="Book Antiqua" w:hAnsi="Book Antiqua" w:cs="Times New Roman"/>
          <w:sz w:val="28"/>
          <w:szCs w:val="28"/>
        </w:rPr>
        <w:t>thirteen times).</w:t>
      </w:r>
      <w:r w:rsidR="002665EA" w:rsidRPr="005B1ED4">
        <w:rPr>
          <w:rFonts w:ascii="Book Antiqua" w:hAnsi="Book Antiqua" w:cs="Times New Roman"/>
          <w:sz w:val="28"/>
          <w:szCs w:val="28"/>
        </w:rPr>
        <w:t xml:space="preserve"> </w:t>
      </w:r>
      <w:r w:rsidR="008573B8" w:rsidRPr="005B1ED4">
        <w:rPr>
          <w:rFonts w:ascii="Book Antiqua" w:hAnsi="Book Antiqua" w:cs="Times New Roman"/>
          <w:sz w:val="28"/>
          <w:szCs w:val="28"/>
        </w:rPr>
        <w:t>As</w:t>
      </w:r>
      <w:r w:rsidR="009078B1" w:rsidRPr="005B1ED4">
        <w:rPr>
          <w:rFonts w:ascii="Book Antiqua" w:hAnsi="Book Antiqua" w:cs="Times New Roman"/>
          <w:sz w:val="28"/>
          <w:szCs w:val="28"/>
        </w:rPr>
        <w:t xml:space="preserve"> Justice Thomas explain</w:t>
      </w:r>
      <w:r w:rsidR="008573B8" w:rsidRPr="005B1ED4">
        <w:rPr>
          <w:rFonts w:ascii="Book Antiqua" w:hAnsi="Book Antiqua" w:cs="Times New Roman"/>
          <w:sz w:val="28"/>
          <w:szCs w:val="28"/>
        </w:rPr>
        <w:t>s</w:t>
      </w:r>
      <w:r w:rsidR="007663E5" w:rsidRPr="005B1ED4">
        <w:rPr>
          <w:rFonts w:ascii="Book Antiqua" w:hAnsi="Book Antiqua" w:cs="Times New Roman"/>
          <w:sz w:val="28"/>
          <w:szCs w:val="28"/>
        </w:rPr>
        <w:t>,</w:t>
      </w:r>
      <w:r w:rsidR="009078B1" w:rsidRPr="005B1ED4">
        <w:rPr>
          <w:rFonts w:ascii="Book Antiqua" w:hAnsi="Book Antiqua" w:cs="Times New Roman"/>
          <w:sz w:val="28"/>
          <w:szCs w:val="28"/>
        </w:rPr>
        <w:t xml:space="preserve"> </w:t>
      </w:r>
      <w:r w:rsidR="009078B1" w:rsidRPr="005B1ED4">
        <w:rPr>
          <w:rFonts w:ascii="Book Antiqua" w:hAnsi="Book Antiqua" w:cs="Times New Roman"/>
          <w:i/>
          <w:iCs/>
          <w:sz w:val="28"/>
          <w:szCs w:val="28"/>
        </w:rPr>
        <w:t xml:space="preserve">Keller </w:t>
      </w:r>
      <w:r w:rsidR="009078B1" w:rsidRPr="005B1ED4">
        <w:rPr>
          <w:rFonts w:ascii="Book Antiqua" w:hAnsi="Book Antiqua" w:cs="Times New Roman"/>
          <w:sz w:val="28"/>
          <w:szCs w:val="28"/>
        </w:rPr>
        <w:t xml:space="preserve">“rests almost entirely on the framework of </w:t>
      </w:r>
      <w:r w:rsidR="009078B1" w:rsidRPr="005B1ED4">
        <w:rPr>
          <w:rFonts w:ascii="Book Antiqua" w:hAnsi="Book Antiqua" w:cs="Times New Roman"/>
          <w:i/>
          <w:iCs/>
          <w:sz w:val="28"/>
          <w:szCs w:val="28"/>
        </w:rPr>
        <w:t>Abood</w:t>
      </w:r>
      <w:r w:rsidR="009078B1" w:rsidRPr="005B1ED4">
        <w:rPr>
          <w:rFonts w:ascii="Book Antiqua" w:hAnsi="Book Antiqua" w:cs="Times New Roman"/>
          <w:sz w:val="28"/>
          <w:szCs w:val="28"/>
        </w:rPr>
        <w:t>,” and,</w:t>
      </w:r>
      <w:r w:rsidR="007663E5" w:rsidRPr="005B1ED4">
        <w:rPr>
          <w:rFonts w:ascii="Book Antiqua" w:hAnsi="Book Antiqua" w:cs="Times New Roman"/>
          <w:sz w:val="28"/>
          <w:szCs w:val="28"/>
        </w:rPr>
        <w:t xml:space="preserve"> </w:t>
      </w:r>
      <w:r w:rsidR="007236AF" w:rsidRPr="005B1ED4">
        <w:rPr>
          <w:rFonts w:ascii="Book Antiqua" w:hAnsi="Book Antiqua" w:cs="Times New Roman"/>
          <w:sz w:val="28"/>
          <w:szCs w:val="28"/>
        </w:rPr>
        <w:t xml:space="preserve">because </w:t>
      </w:r>
      <w:r w:rsidR="007663E5" w:rsidRPr="005B1ED4">
        <w:rPr>
          <w:rFonts w:ascii="Book Antiqua" w:hAnsi="Book Antiqua" w:cs="Times New Roman"/>
          <w:i/>
          <w:iCs/>
          <w:sz w:val="28"/>
          <w:szCs w:val="28"/>
        </w:rPr>
        <w:t>Abood</w:t>
      </w:r>
      <w:r w:rsidR="00AF0336" w:rsidRPr="005B1ED4">
        <w:rPr>
          <w:rFonts w:ascii="Book Antiqua" w:hAnsi="Book Antiqua" w:cs="Times New Roman"/>
          <w:sz w:val="28"/>
          <w:szCs w:val="28"/>
        </w:rPr>
        <w:t xml:space="preserve"> </w:t>
      </w:r>
      <w:r w:rsidR="008573B8" w:rsidRPr="005B1ED4">
        <w:rPr>
          <w:rFonts w:ascii="Book Antiqua" w:hAnsi="Book Antiqua" w:cs="Times New Roman"/>
          <w:sz w:val="28"/>
          <w:szCs w:val="28"/>
        </w:rPr>
        <w:t>is</w:t>
      </w:r>
      <w:r w:rsidR="00AF0336" w:rsidRPr="005B1ED4">
        <w:rPr>
          <w:rFonts w:ascii="Book Antiqua" w:hAnsi="Book Antiqua" w:cs="Times New Roman"/>
          <w:sz w:val="28"/>
          <w:szCs w:val="28"/>
        </w:rPr>
        <w:t xml:space="preserve"> </w:t>
      </w:r>
      <w:r w:rsidR="00B03C28" w:rsidRPr="005B1ED4">
        <w:rPr>
          <w:rFonts w:ascii="Book Antiqua" w:hAnsi="Book Antiqua" w:cs="Times New Roman"/>
          <w:sz w:val="28"/>
          <w:szCs w:val="28"/>
        </w:rPr>
        <w:t>overturned</w:t>
      </w:r>
      <w:r w:rsidR="00AF0336" w:rsidRPr="005B1ED4">
        <w:rPr>
          <w:rFonts w:ascii="Book Antiqua" w:hAnsi="Book Antiqua" w:cs="Times New Roman"/>
          <w:sz w:val="28"/>
          <w:szCs w:val="28"/>
        </w:rPr>
        <w:t>,</w:t>
      </w:r>
      <w:r w:rsidR="007663E5" w:rsidRPr="005B1ED4">
        <w:rPr>
          <w:rFonts w:ascii="Book Antiqua" w:hAnsi="Book Antiqua" w:cs="Times New Roman"/>
          <w:sz w:val="28"/>
          <w:szCs w:val="28"/>
        </w:rPr>
        <w:t xml:space="preserve"> there </w:t>
      </w:r>
      <w:r w:rsidR="00AF0336" w:rsidRPr="005B1ED4">
        <w:rPr>
          <w:rFonts w:ascii="Book Antiqua" w:hAnsi="Book Antiqua" w:cs="Times New Roman"/>
          <w:sz w:val="28"/>
          <w:szCs w:val="28"/>
        </w:rPr>
        <w:t>is</w:t>
      </w:r>
      <w:r w:rsidR="007663E5" w:rsidRPr="005B1ED4">
        <w:rPr>
          <w:rFonts w:ascii="Book Antiqua" w:hAnsi="Book Antiqua" w:cs="Times New Roman"/>
          <w:sz w:val="28"/>
          <w:szCs w:val="28"/>
        </w:rPr>
        <w:t xml:space="preserve"> “effectively nothing left supporting [the Court’s] decision in </w:t>
      </w:r>
      <w:r w:rsidR="007663E5" w:rsidRPr="005B1ED4">
        <w:rPr>
          <w:rFonts w:ascii="Book Antiqua" w:hAnsi="Book Antiqua" w:cs="Times New Roman"/>
          <w:i/>
          <w:iCs/>
          <w:sz w:val="28"/>
          <w:szCs w:val="28"/>
        </w:rPr>
        <w:t>Keller</w:t>
      </w:r>
      <w:r w:rsidR="007663E5" w:rsidRPr="005B1ED4">
        <w:rPr>
          <w:rFonts w:ascii="Book Antiqua" w:hAnsi="Book Antiqua" w:cs="Times New Roman"/>
          <w:sz w:val="28"/>
          <w:szCs w:val="28"/>
        </w:rPr>
        <w:t>.”</w:t>
      </w:r>
      <w:r w:rsidR="007663E5" w:rsidRPr="005B1ED4">
        <w:rPr>
          <w:rFonts w:ascii="Book Antiqua" w:hAnsi="Book Antiqua" w:cs="Times New Roman"/>
          <w:i/>
          <w:iCs/>
          <w:sz w:val="28"/>
          <w:szCs w:val="28"/>
        </w:rPr>
        <w:t xml:space="preserve"> Jarchow v. State Bar of Wis</w:t>
      </w:r>
      <w:r w:rsidR="007663E5" w:rsidRPr="005B1ED4">
        <w:rPr>
          <w:rFonts w:ascii="Book Antiqua" w:hAnsi="Book Antiqua" w:cs="Times New Roman"/>
          <w:sz w:val="28"/>
          <w:szCs w:val="28"/>
        </w:rPr>
        <w:t>., 140 S. Ct. 1720, 1720 (2020) (Thomas, J., dissenting from denial of certiorari)</w:t>
      </w:r>
      <w:r w:rsidR="0092509B" w:rsidRPr="005B1ED4">
        <w:rPr>
          <w:rFonts w:ascii="Book Antiqua" w:hAnsi="Book Antiqua" w:cs="Times New Roman"/>
          <w:sz w:val="28"/>
          <w:szCs w:val="28"/>
        </w:rPr>
        <w:t xml:space="preserve">; </w:t>
      </w:r>
      <w:r w:rsidR="0092509B" w:rsidRPr="005B1ED4">
        <w:rPr>
          <w:rFonts w:ascii="Book Antiqua" w:hAnsi="Book Antiqua" w:cs="Times New Roman"/>
          <w:i/>
          <w:iCs/>
          <w:sz w:val="28"/>
          <w:szCs w:val="28"/>
        </w:rPr>
        <w:t>see also, e.g.</w:t>
      </w:r>
      <w:r w:rsidR="0092509B" w:rsidRPr="005B1ED4">
        <w:rPr>
          <w:rFonts w:ascii="Book Antiqua" w:hAnsi="Book Antiqua" w:cs="Times New Roman"/>
          <w:sz w:val="28"/>
          <w:szCs w:val="28"/>
        </w:rPr>
        <w:t>,</w:t>
      </w:r>
      <w:r w:rsidR="000C6706" w:rsidRPr="005B1ED4">
        <w:rPr>
          <w:rFonts w:ascii="Book Antiqua" w:hAnsi="Book Antiqua" w:cs="Times New Roman"/>
          <w:sz w:val="28"/>
          <w:szCs w:val="28"/>
        </w:rPr>
        <w:t xml:space="preserve"> </w:t>
      </w:r>
      <w:r w:rsidR="000C6706" w:rsidRPr="005B1ED4">
        <w:rPr>
          <w:rFonts w:ascii="Book Antiqua" w:hAnsi="Book Antiqua" w:cs="Times New Roman"/>
          <w:i/>
          <w:iCs/>
          <w:sz w:val="28"/>
          <w:szCs w:val="28"/>
        </w:rPr>
        <w:t>Fleck v. Welch</w:t>
      </w:r>
      <w:r w:rsidR="000C6706" w:rsidRPr="005B1ED4">
        <w:rPr>
          <w:rFonts w:ascii="Book Antiqua" w:hAnsi="Book Antiqua" w:cs="Times New Roman"/>
          <w:sz w:val="28"/>
          <w:szCs w:val="28"/>
        </w:rPr>
        <w:t xml:space="preserve">, 139 S. Ct. 590, 590 (2018) (remanding a state bar association for further consideration in light of </w:t>
      </w:r>
      <w:r w:rsidR="000C6706" w:rsidRPr="005B1ED4">
        <w:rPr>
          <w:rFonts w:ascii="Book Antiqua" w:hAnsi="Book Antiqua" w:cs="Times New Roman"/>
          <w:i/>
          <w:iCs/>
          <w:sz w:val="28"/>
          <w:szCs w:val="28"/>
        </w:rPr>
        <w:t>Janus</w:t>
      </w:r>
      <w:r w:rsidR="000C6706" w:rsidRPr="005B1ED4">
        <w:rPr>
          <w:rFonts w:ascii="Book Antiqua" w:hAnsi="Book Antiqua" w:cs="Times New Roman"/>
          <w:sz w:val="28"/>
          <w:szCs w:val="28"/>
        </w:rPr>
        <w:t>)</w:t>
      </w:r>
      <w:r w:rsidR="00D17109" w:rsidRPr="005B1ED4">
        <w:rPr>
          <w:rFonts w:ascii="Book Antiqua" w:hAnsi="Book Antiqua" w:cs="Times New Roman"/>
          <w:sz w:val="28"/>
          <w:szCs w:val="28"/>
        </w:rPr>
        <w:t>;</w:t>
      </w:r>
      <w:r w:rsidR="0092509B" w:rsidRPr="005B1ED4">
        <w:rPr>
          <w:rFonts w:ascii="Book Antiqua" w:hAnsi="Book Antiqua" w:cs="Times New Roman"/>
          <w:i/>
          <w:iCs/>
          <w:sz w:val="28"/>
          <w:szCs w:val="28"/>
        </w:rPr>
        <w:t xml:space="preserve"> File</w:t>
      </w:r>
      <w:r w:rsidR="0092509B" w:rsidRPr="005B1ED4">
        <w:rPr>
          <w:rFonts w:ascii="Book Antiqua" w:hAnsi="Book Antiqua" w:cs="Times New Roman"/>
          <w:sz w:val="28"/>
          <w:szCs w:val="28"/>
        </w:rPr>
        <w:t>, 33 F.4th at 392</w:t>
      </w:r>
      <w:r w:rsidR="0083134A" w:rsidRPr="005B1ED4">
        <w:rPr>
          <w:rFonts w:ascii="Book Antiqua" w:hAnsi="Book Antiqua" w:cs="Times New Roman"/>
          <w:sz w:val="28"/>
          <w:szCs w:val="28"/>
        </w:rPr>
        <w:t xml:space="preserve"> </w:t>
      </w:r>
      <w:r w:rsidR="0092509B" w:rsidRPr="005B1ED4">
        <w:rPr>
          <w:rFonts w:ascii="Book Antiqua" w:hAnsi="Book Antiqua" w:cs="Times New Roman"/>
          <w:sz w:val="28"/>
          <w:szCs w:val="28"/>
        </w:rPr>
        <w:t xml:space="preserve">(“The tension between </w:t>
      </w:r>
      <w:r w:rsidR="0092509B" w:rsidRPr="005B1ED4">
        <w:rPr>
          <w:rFonts w:ascii="Book Antiqua" w:hAnsi="Book Antiqua" w:cs="Times New Roman"/>
          <w:i/>
          <w:iCs/>
          <w:sz w:val="28"/>
          <w:szCs w:val="28"/>
        </w:rPr>
        <w:t>Janus</w:t>
      </w:r>
      <w:r w:rsidR="0092509B" w:rsidRPr="005B1ED4">
        <w:rPr>
          <w:rFonts w:ascii="Book Antiqua" w:hAnsi="Book Antiqua" w:cs="Times New Roman"/>
          <w:sz w:val="28"/>
          <w:szCs w:val="28"/>
        </w:rPr>
        <w:t xml:space="preserve"> and </w:t>
      </w:r>
      <w:r w:rsidR="0092509B" w:rsidRPr="005B1ED4">
        <w:rPr>
          <w:rFonts w:ascii="Book Antiqua" w:hAnsi="Book Antiqua" w:cs="Times New Roman"/>
          <w:i/>
          <w:iCs/>
          <w:sz w:val="28"/>
          <w:szCs w:val="28"/>
        </w:rPr>
        <w:t>Keller</w:t>
      </w:r>
      <w:r w:rsidR="0092509B" w:rsidRPr="005B1ED4">
        <w:rPr>
          <w:rFonts w:ascii="Book Antiqua" w:hAnsi="Book Antiqua" w:cs="Times New Roman"/>
          <w:sz w:val="28"/>
          <w:szCs w:val="28"/>
        </w:rPr>
        <w:t xml:space="preserve"> is hard to miss.”</w:t>
      </w:r>
      <w:r w:rsidR="0023530B" w:rsidRPr="005B1ED4">
        <w:rPr>
          <w:rFonts w:ascii="Book Antiqua" w:hAnsi="Book Antiqua" w:cs="Times New Roman"/>
          <w:sz w:val="28"/>
          <w:szCs w:val="28"/>
        </w:rPr>
        <w:t xml:space="preserve">). </w:t>
      </w:r>
    </w:p>
    <w:p w14:paraId="41820B02" w14:textId="1DA3B5D4" w:rsidR="005E7350" w:rsidRPr="005B1ED4" w:rsidRDefault="0061274D" w:rsidP="00770B18">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T</w:t>
      </w:r>
      <w:r w:rsidR="00730510" w:rsidRPr="005B1ED4">
        <w:rPr>
          <w:rFonts w:ascii="Book Antiqua" w:hAnsi="Book Antiqua" w:cs="Times New Roman"/>
          <w:sz w:val="28"/>
          <w:szCs w:val="28"/>
        </w:rPr>
        <w:t>he Supreme Court</w:t>
      </w:r>
      <w:r w:rsidRPr="005B1ED4">
        <w:rPr>
          <w:rFonts w:ascii="Book Antiqua" w:hAnsi="Book Antiqua" w:cs="Times New Roman"/>
          <w:sz w:val="28"/>
          <w:szCs w:val="28"/>
        </w:rPr>
        <w:t xml:space="preserve"> not only</w:t>
      </w:r>
      <w:r w:rsidR="00730510" w:rsidRPr="005B1ED4">
        <w:rPr>
          <w:rFonts w:ascii="Book Antiqua" w:hAnsi="Book Antiqua" w:cs="Times New Roman"/>
          <w:sz w:val="28"/>
          <w:szCs w:val="28"/>
        </w:rPr>
        <w:t xml:space="preserve"> overrule</w:t>
      </w:r>
      <w:r w:rsidR="000C6706" w:rsidRPr="005B1ED4">
        <w:rPr>
          <w:rFonts w:ascii="Book Antiqua" w:hAnsi="Book Antiqua" w:cs="Times New Roman"/>
          <w:sz w:val="28"/>
          <w:szCs w:val="28"/>
        </w:rPr>
        <w:t>d</w:t>
      </w:r>
      <w:r w:rsidR="00730510" w:rsidRPr="005B1ED4">
        <w:rPr>
          <w:rFonts w:ascii="Book Antiqua" w:hAnsi="Book Antiqua" w:cs="Times New Roman"/>
          <w:sz w:val="28"/>
          <w:szCs w:val="28"/>
        </w:rPr>
        <w:t xml:space="preserve"> </w:t>
      </w:r>
      <w:r w:rsidR="00730510" w:rsidRPr="005B1ED4">
        <w:rPr>
          <w:rFonts w:ascii="Book Antiqua" w:hAnsi="Book Antiqua" w:cs="Times New Roman"/>
          <w:i/>
          <w:iCs/>
          <w:sz w:val="28"/>
          <w:szCs w:val="28"/>
        </w:rPr>
        <w:t>Abood</w:t>
      </w:r>
      <w:r w:rsidR="00EE0EE9" w:rsidRPr="005B1ED4">
        <w:rPr>
          <w:rFonts w:ascii="Book Antiqua" w:hAnsi="Book Antiqua" w:cs="Times New Roman"/>
          <w:sz w:val="28"/>
          <w:szCs w:val="28"/>
        </w:rPr>
        <w:t>,</w:t>
      </w:r>
      <w:r w:rsidR="00EE0EE9" w:rsidRPr="005B1ED4">
        <w:rPr>
          <w:rFonts w:ascii="Book Antiqua" w:hAnsi="Book Antiqua" w:cs="Times New Roman"/>
          <w:i/>
          <w:iCs/>
          <w:sz w:val="28"/>
          <w:szCs w:val="28"/>
        </w:rPr>
        <w:t xml:space="preserve"> </w:t>
      </w:r>
      <w:proofErr w:type="gramStart"/>
      <w:r w:rsidRPr="005B1ED4">
        <w:rPr>
          <w:rFonts w:ascii="Book Antiqua" w:hAnsi="Book Antiqua" w:cs="Times New Roman"/>
          <w:sz w:val="28"/>
          <w:szCs w:val="28"/>
        </w:rPr>
        <w:t>it</w:t>
      </w:r>
      <w:proofErr w:type="gramEnd"/>
      <w:r w:rsidRPr="005B1ED4">
        <w:rPr>
          <w:rFonts w:ascii="Book Antiqua" w:hAnsi="Book Antiqua" w:cs="Times New Roman"/>
          <w:sz w:val="28"/>
          <w:szCs w:val="28"/>
        </w:rPr>
        <w:t xml:space="preserve"> </w:t>
      </w:r>
      <w:r w:rsidR="004F707C" w:rsidRPr="005B1ED4">
        <w:rPr>
          <w:rFonts w:ascii="Book Antiqua" w:hAnsi="Book Antiqua" w:cs="Times New Roman"/>
          <w:sz w:val="28"/>
          <w:szCs w:val="28"/>
        </w:rPr>
        <w:t xml:space="preserve">eviscerated </w:t>
      </w:r>
      <w:r w:rsidR="008573B8" w:rsidRPr="005B1ED4">
        <w:rPr>
          <w:rFonts w:ascii="Book Antiqua" w:hAnsi="Book Antiqua" w:cs="Times New Roman"/>
          <w:sz w:val="28"/>
          <w:szCs w:val="28"/>
        </w:rPr>
        <w:t>it</w:t>
      </w:r>
      <w:r w:rsidR="004F707C" w:rsidRPr="005B1ED4">
        <w:rPr>
          <w:rFonts w:ascii="Book Antiqua" w:hAnsi="Book Antiqua" w:cs="Times New Roman"/>
          <w:sz w:val="28"/>
          <w:szCs w:val="28"/>
        </w:rPr>
        <w:t>. It</w:t>
      </w:r>
      <w:r w:rsidR="000579CB" w:rsidRPr="005B1ED4">
        <w:rPr>
          <w:rFonts w:ascii="Book Antiqua" w:hAnsi="Book Antiqua" w:cs="Times New Roman"/>
          <w:sz w:val="28"/>
          <w:szCs w:val="28"/>
        </w:rPr>
        <w:t xml:space="preserve"> </w:t>
      </w:r>
      <w:r w:rsidR="00730510" w:rsidRPr="005B1ED4">
        <w:rPr>
          <w:rFonts w:ascii="Book Antiqua" w:hAnsi="Book Antiqua" w:cs="Times New Roman"/>
          <w:sz w:val="28"/>
          <w:szCs w:val="28"/>
        </w:rPr>
        <w:t xml:space="preserve">held that </w:t>
      </w:r>
      <w:r w:rsidR="00730510" w:rsidRPr="005B1ED4">
        <w:rPr>
          <w:rFonts w:ascii="Book Antiqua" w:hAnsi="Book Antiqua" w:cs="Times New Roman"/>
          <w:i/>
          <w:iCs/>
          <w:sz w:val="28"/>
          <w:szCs w:val="28"/>
        </w:rPr>
        <w:t xml:space="preserve">Abood </w:t>
      </w:r>
      <w:r w:rsidR="00730510" w:rsidRPr="005B1ED4">
        <w:rPr>
          <w:rFonts w:ascii="Book Antiqua" w:hAnsi="Book Antiqua" w:cs="Times New Roman"/>
          <w:sz w:val="28"/>
          <w:szCs w:val="28"/>
        </w:rPr>
        <w:t>was “poorly reasoned”</w:t>
      </w:r>
      <w:r w:rsidR="00D93323" w:rsidRPr="005B1ED4">
        <w:rPr>
          <w:rFonts w:ascii="Book Antiqua" w:hAnsi="Book Antiqua" w:cs="Times New Roman"/>
          <w:sz w:val="28"/>
          <w:szCs w:val="28"/>
        </w:rPr>
        <w:t xml:space="preserve"> (</w:t>
      </w:r>
      <w:r w:rsidR="00D93323" w:rsidRPr="005B1ED4">
        <w:rPr>
          <w:rFonts w:ascii="Book Antiqua" w:hAnsi="Book Antiqua" w:cs="Times New Roman"/>
          <w:i/>
          <w:iCs/>
          <w:sz w:val="28"/>
          <w:szCs w:val="28"/>
        </w:rPr>
        <w:t>Janus</w:t>
      </w:r>
      <w:r w:rsidR="00D93323" w:rsidRPr="005B1ED4">
        <w:rPr>
          <w:rFonts w:ascii="Book Antiqua" w:hAnsi="Book Antiqua" w:cs="Times New Roman"/>
          <w:sz w:val="28"/>
          <w:szCs w:val="28"/>
        </w:rPr>
        <w:t>, 585 U.S. at 886);</w:t>
      </w:r>
      <w:r w:rsidR="00730510" w:rsidRPr="005B1ED4">
        <w:rPr>
          <w:rFonts w:ascii="Book Antiqua" w:hAnsi="Book Antiqua" w:cs="Times New Roman"/>
          <w:sz w:val="28"/>
          <w:szCs w:val="28"/>
        </w:rPr>
        <w:t xml:space="preserve"> </w:t>
      </w:r>
      <w:r w:rsidR="00E31BC6" w:rsidRPr="005B1ED4">
        <w:rPr>
          <w:rFonts w:ascii="Book Antiqua" w:hAnsi="Book Antiqua" w:cs="Times New Roman"/>
          <w:sz w:val="28"/>
          <w:szCs w:val="28"/>
        </w:rPr>
        <w:t>had “</w:t>
      </w:r>
      <w:r w:rsidR="00730510" w:rsidRPr="005B1ED4">
        <w:rPr>
          <w:rFonts w:ascii="Book Antiqua" w:hAnsi="Book Antiqua" w:cs="Times New Roman"/>
          <w:sz w:val="28"/>
          <w:szCs w:val="28"/>
        </w:rPr>
        <w:t>no support in our free speech cases”</w:t>
      </w:r>
      <w:r w:rsidR="00D93323" w:rsidRPr="005B1ED4">
        <w:rPr>
          <w:rFonts w:ascii="Book Antiqua" w:hAnsi="Book Antiqua" w:cs="Times New Roman"/>
          <w:sz w:val="28"/>
          <w:szCs w:val="28"/>
        </w:rPr>
        <w:t xml:space="preserve"> (</w:t>
      </w:r>
      <w:r w:rsidR="00D93323" w:rsidRPr="005B1ED4">
        <w:rPr>
          <w:rFonts w:ascii="Book Antiqua" w:hAnsi="Book Antiqua" w:cs="Times New Roman"/>
          <w:i/>
          <w:iCs/>
          <w:sz w:val="28"/>
          <w:szCs w:val="28"/>
        </w:rPr>
        <w:t xml:space="preserve">id. </w:t>
      </w:r>
      <w:r w:rsidR="00D93323" w:rsidRPr="005B1ED4">
        <w:rPr>
          <w:rFonts w:ascii="Book Antiqua" w:hAnsi="Book Antiqua" w:cs="Times New Roman"/>
          <w:sz w:val="28"/>
          <w:szCs w:val="28"/>
        </w:rPr>
        <w:t>at 919)</w:t>
      </w:r>
      <w:r w:rsidR="00982E39" w:rsidRPr="005B1ED4">
        <w:rPr>
          <w:rFonts w:ascii="Book Antiqua" w:hAnsi="Book Antiqua" w:cs="Times New Roman"/>
          <w:sz w:val="28"/>
          <w:szCs w:val="28"/>
        </w:rPr>
        <w:t>;</w:t>
      </w:r>
      <w:r w:rsidR="00730510" w:rsidRPr="005B1ED4">
        <w:rPr>
          <w:rFonts w:ascii="Book Antiqua" w:hAnsi="Book Antiqua" w:cs="Times New Roman"/>
          <w:sz w:val="28"/>
          <w:szCs w:val="28"/>
        </w:rPr>
        <w:t xml:space="preserve"> made a “serious mistake” in </w:t>
      </w:r>
      <w:r w:rsidR="000178A3" w:rsidRPr="005B1ED4">
        <w:rPr>
          <w:rFonts w:ascii="Book Antiqua" w:hAnsi="Book Antiqua" w:cs="Times New Roman"/>
          <w:sz w:val="28"/>
          <w:szCs w:val="28"/>
        </w:rPr>
        <w:t xml:space="preserve">its </w:t>
      </w:r>
      <w:r w:rsidR="00730510" w:rsidRPr="005B1ED4">
        <w:rPr>
          <w:rFonts w:ascii="Book Antiqua" w:hAnsi="Book Antiqua" w:cs="Times New Roman"/>
          <w:sz w:val="28"/>
          <w:szCs w:val="28"/>
        </w:rPr>
        <w:t>analysis</w:t>
      </w:r>
      <w:r w:rsidR="00D93323" w:rsidRPr="005B1ED4">
        <w:rPr>
          <w:rFonts w:ascii="Book Antiqua" w:hAnsi="Book Antiqua" w:cs="Times New Roman"/>
          <w:sz w:val="28"/>
          <w:szCs w:val="28"/>
        </w:rPr>
        <w:t xml:space="preserve"> (</w:t>
      </w:r>
      <w:r w:rsidR="00D93323" w:rsidRPr="005B1ED4">
        <w:rPr>
          <w:rFonts w:ascii="Book Antiqua" w:hAnsi="Book Antiqua" w:cs="Times New Roman"/>
          <w:i/>
          <w:iCs/>
          <w:sz w:val="28"/>
          <w:szCs w:val="28"/>
        </w:rPr>
        <w:t>id.</w:t>
      </w:r>
      <w:r w:rsidR="00D93323" w:rsidRPr="005B1ED4">
        <w:rPr>
          <w:rFonts w:ascii="Book Antiqua" w:hAnsi="Book Antiqua" w:cs="Times New Roman"/>
          <w:sz w:val="28"/>
          <w:szCs w:val="28"/>
        </w:rPr>
        <w:t>);</w:t>
      </w:r>
      <w:r w:rsidR="00730510" w:rsidRPr="005B1ED4">
        <w:rPr>
          <w:rFonts w:ascii="Book Antiqua" w:hAnsi="Book Antiqua" w:cs="Times New Roman"/>
          <w:sz w:val="28"/>
          <w:szCs w:val="28"/>
        </w:rPr>
        <w:t xml:space="preserve"> </w:t>
      </w:r>
      <w:r w:rsidR="00C515EF" w:rsidRPr="005B1ED4">
        <w:rPr>
          <w:rFonts w:ascii="Book Antiqua" w:hAnsi="Book Antiqua" w:cs="Times New Roman"/>
          <w:sz w:val="28"/>
          <w:szCs w:val="28"/>
        </w:rPr>
        <w:t>create</w:t>
      </w:r>
      <w:r w:rsidR="00EE0EE9" w:rsidRPr="005B1ED4">
        <w:rPr>
          <w:rFonts w:ascii="Book Antiqua" w:hAnsi="Book Antiqua" w:cs="Times New Roman"/>
          <w:sz w:val="28"/>
          <w:szCs w:val="28"/>
        </w:rPr>
        <w:t>d</w:t>
      </w:r>
      <w:r w:rsidR="00C515EF" w:rsidRPr="005B1ED4">
        <w:rPr>
          <w:rFonts w:ascii="Book Antiqua" w:hAnsi="Book Antiqua" w:cs="Times New Roman"/>
          <w:sz w:val="28"/>
          <w:szCs w:val="28"/>
        </w:rPr>
        <w:t xml:space="preserve"> a</w:t>
      </w:r>
      <w:r w:rsidR="00730510" w:rsidRPr="005B1ED4">
        <w:rPr>
          <w:rFonts w:ascii="Book Antiqua" w:hAnsi="Book Antiqua" w:cs="Times New Roman"/>
          <w:sz w:val="28"/>
          <w:szCs w:val="28"/>
        </w:rPr>
        <w:t xml:space="preserve"> standard</w:t>
      </w:r>
      <w:r w:rsidR="00C515EF" w:rsidRPr="005B1ED4">
        <w:rPr>
          <w:rFonts w:ascii="Book Antiqua" w:hAnsi="Book Antiqua" w:cs="Times New Roman"/>
          <w:sz w:val="28"/>
          <w:szCs w:val="28"/>
        </w:rPr>
        <w:t xml:space="preserve"> </w:t>
      </w:r>
      <w:r w:rsidR="00730510" w:rsidRPr="005B1ED4">
        <w:rPr>
          <w:rFonts w:ascii="Book Antiqua" w:hAnsi="Book Antiqua" w:cs="Times New Roman"/>
          <w:sz w:val="28"/>
          <w:szCs w:val="28"/>
        </w:rPr>
        <w:t>“impossible to draw with precision”</w:t>
      </w:r>
      <w:r w:rsidR="00D93323" w:rsidRPr="005B1ED4">
        <w:rPr>
          <w:rFonts w:ascii="Book Antiqua" w:hAnsi="Book Antiqua" w:cs="Times New Roman"/>
          <w:sz w:val="28"/>
          <w:szCs w:val="28"/>
        </w:rPr>
        <w:t xml:space="preserve"> (</w:t>
      </w:r>
      <w:r w:rsidR="00D93323" w:rsidRPr="005B1ED4">
        <w:rPr>
          <w:rFonts w:ascii="Book Antiqua" w:hAnsi="Book Antiqua" w:cs="Times New Roman"/>
          <w:i/>
          <w:iCs/>
          <w:sz w:val="28"/>
          <w:szCs w:val="28"/>
        </w:rPr>
        <w:t xml:space="preserve">id. </w:t>
      </w:r>
      <w:r w:rsidR="00D93323" w:rsidRPr="005B1ED4">
        <w:rPr>
          <w:rFonts w:ascii="Book Antiqua" w:hAnsi="Book Antiqua" w:cs="Times New Roman"/>
          <w:sz w:val="28"/>
          <w:szCs w:val="28"/>
        </w:rPr>
        <w:t>at 921);</w:t>
      </w:r>
      <w:r w:rsidR="00730510" w:rsidRPr="005B1ED4">
        <w:rPr>
          <w:rFonts w:ascii="Book Antiqua" w:hAnsi="Book Antiqua" w:cs="Times New Roman"/>
          <w:sz w:val="28"/>
          <w:szCs w:val="28"/>
        </w:rPr>
        <w:t xml:space="preserve"> “pinned its result on [an] ‘unsupported empirical assumption’”</w:t>
      </w:r>
      <w:r w:rsidR="00D93323" w:rsidRPr="005B1ED4">
        <w:rPr>
          <w:rFonts w:ascii="Book Antiqua" w:hAnsi="Book Antiqua" w:cs="Times New Roman"/>
          <w:sz w:val="28"/>
          <w:szCs w:val="28"/>
        </w:rPr>
        <w:t xml:space="preserve"> (</w:t>
      </w:r>
      <w:r w:rsidR="00D93323" w:rsidRPr="005B1ED4">
        <w:rPr>
          <w:rFonts w:ascii="Book Antiqua" w:hAnsi="Book Antiqua" w:cs="Times New Roman"/>
          <w:i/>
          <w:iCs/>
          <w:sz w:val="28"/>
          <w:szCs w:val="28"/>
        </w:rPr>
        <w:t>id.</w:t>
      </w:r>
      <w:r w:rsidR="00D93323" w:rsidRPr="005B1ED4">
        <w:rPr>
          <w:rFonts w:ascii="Book Antiqua" w:hAnsi="Book Antiqua" w:cs="Times New Roman"/>
          <w:sz w:val="28"/>
          <w:szCs w:val="28"/>
        </w:rPr>
        <w:t xml:space="preserve"> at 924)</w:t>
      </w:r>
      <w:r w:rsidR="0097689D" w:rsidRPr="005B1ED4">
        <w:rPr>
          <w:rFonts w:ascii="Book Antiqua" w:hAnsi="Book Antiqua" w:cs="Times New Roman"/>
          <w:sz w:val="28"/>
          <w:szCs w:val="28"/>
        </w:rPr>
        <w:t>;</w:t>
      </w:r>
      <w:r w:rsidR="00730510" w:rsidRPr="005B1ED4">
        <w:rPr>
          <w:rFonts w:ascii="Book Antiqua" w:hAnsi="Book Antiqua" w:cs="Times New Roman"/>
          <w:sz w:val="28"/>
          <w:szCs w:val="28"/>
        </w:rPr>
        <w:t xml:space="preserve"> was “decided against a very different legal and economic backdrop”</w:t>
      </w:r>
      <w:r w:rsidR="0097689D" w:rsidRPr="005B1ED4">
        <w:rPr>
          <w:rFonts w:ascii="Book Antiqua" w:hAnsi="Book Antiqua" w:cs="Times New Roman"/>
          <w:sz w:val="28"/>
          <w:szCs w:val="28"/>
        </w:rPr>
        <w:t xml:space="preserve"> (</w:t>
      </w:r>
      <w:r w:rsidR="0097689D" w:rsidRPr="005B1ED4">
        <w:rPr>
          <w:rFonts w:ascii="Book Antiqua" w:hAnsi="Book Antiqua" w:cs="Times New Roman"/>
          <w:i/>
          <w:iCs/>
          <w:sz w:val="28"/>
          <w:szCs w:val="28"/>
        </w:rPr>
        <w:t>id.</w:t>
      </w:r>
      <w:r w:rsidR="0097689D" w:rsidRPr="005B1ED4">
        <w:rPr>
          <w:rFonts w:ascii="Book Antiqua" w:hAnsi="Book Antiqua" w:cs="Times New Roman"/>
          <w:sz w:val="28"/>
          <w:szCs w:val="28"/>
        </w:rPr>
        <w:t>);</w:t>
      </w:r>
      <w:r w:rsidR="00730510" w:rsidRPr="005B1ED4">
        <w:rPr>
          <w:rFonts w:ascii="Book Antiqua" w:hAnsi="Book Antiqua" w:cs="Times New Roman"/>
          <w:sz w:val="28"/>
          <w:szCs w:val="28"/>
        </w:rPr>
        <w:t xml:space="preserve"> and was an “anomaly”</w:t>
      </w:r>
      <w:r w:rsidR="00C67BAB" w:rsidRPr="005B1ED4">
        <w:rPr>
          <w:rFonts w:ascii="Book Antiqua" w:hAnsi="Book Antiqua" w:cs="Times New Roman"/>
          <w:sz w:val="28"/>
          <w:szCs w:val="28"/>
        </w:rPr>
        <w:t xml:space="preserve"> in the Court’s First Amendment cases</w:t>
      </w:r>
      <w:r w:rsidR="0097689D" w:rsidRPr="005B1ED4">
        <w:rPr>
          <w:rFonts w:ascii="Book Antiqua" w:hAnsi="Book Antiqua" w:cs="Times New Roman"/>
          <w:sz w:val="28"/>
          <w:szCs w:val="28"/>
        </w:rPr>
        <w:t xml:space="preserve"> (</w:t>
      </w:r>
      <w:r w:rsidR="0097689D" w:rsidRPr="005B1ED4">
        <w:rPr>
          <w:rFonts w:ascii="Book Antiqua" w:hAnsi="Book Antiqua" w:cs="Times New Roman"/>
          <w:i/>
          <w:iCs/>
          <w:sz w:val="28"/>
          <w:szCs w:val="28"/>
        </w:rPr>
        <w:t xml:space="preserve">id. </w:t>
      </w:r>
      <w:r w:rsidR="0097689D" w:rsidRPr="005B1ED4">
        <w:rPr>
          <w:rFonts w:ascii="Book Antiqua" w:hAnsi="Book Antiqua" w:cs="Times New Roman"/>
          <w:sz w:val="28"/>
          <w:szCs w:val="28"/>
        </w:rPr>
        <w:t>at 925).</w:t>
      </w:r>
      <w:r w:rsidRPr="005B1ED4">
        <w:rPr>
          <w:rFonts w:ascii="Book Antiqua" w:hAnsi="Book Antiqua" w:cs="Times New Roman"/>
          <w:sz w:val="28"/>
          <w:szCs w:val="28"/>
        </w:rPr>
        <w:t xml:space="preserve"> </w:t>
      </w:r>
      <w:r w:rsidR="005E7350" w:rsidRPr="005B1ED4">
        <w:rPr>
          <w:rFonts w:ascii="Book Antiqua" w:hAnsi="Book Antiqua" w:cs="Times New Roman"/>
          <w:sz w:val="28"/>
          <w:szCs w:val="28"/>
        </w:rPr>
        <w:t xml:space="preserve">The </w:t>
      </w:r>
      <w:r w:rsidR="00C61D73" w:rsidRPr="005B1ED4">
        <w:rPr>
          <w:rFonts w:ascii="Book Antiqua" w:hAnsi="Book Antiqua" w:cs="Times New Roman"/>
          <w:sz w:val="28"/>
          <w:szCs w:val="28"/>
        </w:rPr>
        <w:t xml:space="preserve">Court’s </w:t>
      </w:r>
      <w:r w:rsidR="00157D56" w:rsidRPr="005B1ED4">
        <w:rPr>
          <w:rFonts w:ascii="Book Antiqua" w:hAnsi="Book Antiqua" w:cs="Times New Roman"/>
          <w:sz w:val="28"/>
          <w:szCs w:val="28"/>
        </w:rPr>
        <w:t>disapproval</w:t>
      </w:r>
      <w:r w:rsidR="00770B18" w:rsidRPr="005B1ED4">
        <w:rPr>
          <w:rFonts w:ascii="Book Antiqua" w:hAnsi="Book Antiqua" w:cs="Times New Roman"/>
          <w:sz w:val="28"/>
          <w:szCs w:val="28"/>
        </w:rPr>
        <w:t xml:space="preserve"> of </w:t>
      </w:r>
      <w:r w:rsidR="00770B18" w:rsidRPr="005B1ED4">
        <w:rPr>
          <w:rFonts w:ascii="Book Antiqua" w:hAnsi="Book Antiqua" w:cs="Times New Roman"/>
          <w:i/>
          <w:iCs/>
          <w:sz w:val="28"/>
          <w:szCs w:val="28"/>
        </w:rPr>
        <w:t>Abood</w:t>
      </w:r>
      <w:r w:rsidR="00770B18" w:rsidRPr="005B1ED4">
        <w:rPr>
          <w:rFonts w:ascii="Book Antiqua" w:hAnsi="Book Antiqua" w:cs="Times New Roman"/>
          <w:sz w:val="28"/>
          <w:szCs w:val="28"/>
        </w:rPr>
        <w:t xml:space="preserve"> counsels heavily in favor of treating </w:t>
      </w:r>
      <w:r w:rsidR="00770B18" w:rsidRPr="005B1ED4">
        <w:rPr>
          <w:rFonts w:ascii="Book Antiqua" w:hAnsi="Book Antiqua" w:cs="Times New Roman"/>
          <w:i/>
          <w:iCs/>
          <w:sz w:val="28"/>
          <w:szCs w:val="28"/>
        </w:rPr>
        <w:t xml:space="preserve">Keller </w:t>
      </w:r>
      <w:r w:rsidR="00770B18" w:rsidRPr="005B1ED4">
        <w:rPr>
          <w:rFonts w:ascii="Book Antiqua" w:hAnsi="Book Antiqua" w:cs="Times New Roman"/>
          <w:sz w:val="28"/>
          <w:szCs w:val="28"/>
        </w:rPr>
        <w:t>as dead letter.</w:t>
      </w:r>
    </w:p>
    <w:p w14:paraId="29664482" w14:textId="16034855" w:rsidR="00982E39" w:rsidRPr="005B1ED4" w:rsidRDefault="00982E39" w:rsidP="000173B6">
      <w:pPr>
        <w:spacing w:after="0" w:line="480" w:lineRule="auto"/>
        <w:ind w:firstLine="720"/>
        <w:jc w:val="both"/>
        <w:rPr>
          <w:rFonts w:ascii="Book Antiqua" w:hAnsi="Book Antiqua" w:cs="Times New Roman"/>
          <w:i/>
          <w:iCs/>
          <w:sz w:val="28"/>
          <w:szCs w:val="28"/>
        </w:rPr>
      </w:pPr>
      <w:r w:rsidRPr="005B1ED4">
        <w:rPr>
          <w:rFonts w:ascii="Book Antiqua" w:hAnsi="Book Antiqua" w:cs="Times New Roman"/>
          <w:sz w:val="28"/>
          <w:szCs w:val="28"/>
        </w:rPr>
        <w:lastRenderedPageBreak/>
        <w:t xml:space="preserve">Finally, </w:t>
      </w:r>
      <w:r w:rsidR="00B476FA" w:rsidRPr="005B1ED4">
        <w:rPr>
          <w:rFonts w:ascii="Book Antiqua" w:hAnsi="Book Antiqua" w:cs="Times New Roman"/>
          <w:sz w:val="28"/>
          <w:szCs w:val="28"/>
        </w:rPr>
        <w:t xml:space="preserve">and critically, </w:t>
      </w:r>
      <w:r w:rsidRPr="005B1ED4">
        <w:rPr>
          <w:rFonts w:ascii="Book Antiqua" w:hAnsi="Book Antiqua" w:cs="Times New Roman"/>
          <w:i/>
          <w:iCs/>
          <w:sz w:val="28"/>
          <w:szCs w:val="28"/>
        </w:rPr>
        <w:t xml:space="preserve">Keller </w:t>
      </w:r>
      <w:r w:rsidRPr="005B1ED4">
        <w:rPr>
          <w:rFonts w:ascii="Book Antiqua" w:hAnsi="Book Antiqua" w:cs="Times New Roman"/>
          <w:sz w:val="28"/>
          <w:szCs w:val="28"/>
        </w:rPr>
        <w:t>did not address “a broad freedom of association challenge to mandatory bar membership where</w:t>
      </w:r>
      <w:r w:rsidR="00E81E90" w:rsidRPr="005B1ED4">
        <w:rPr>
          <w:rFonts w:ascii="Book Antiqua" w:hAnsi="Book Antiqua" w:cs="Times New Roman"/>
          <w:sz w:val="28"/>
          <w:szCs w:val="28"/>
        </w:rPr>
        <w:t>”—</w:t>
      </w:r>
      <w:r w:rsidR="00B476FA" w:rsidRPr="005B1ED4">
        <w:rPr>
          <w:rFonts w:ascii="Book Antiqua" w:hAnsi="Book Antiqua" w:cs="Times New Roman"/>
          <w:sz w:val="28"/>
          <w:szCs w:val="28"/>
        </w:rPr>
        <w:t>as</w:t>
      </w:r>
      <w:r w:rsidR="00E81E90" w:rsidRPr="005B1ED4">
        <w:rPr>
          <w:rFonts w:ascii="Book Antiqua" w:hAnsi="Book Antiqua" w:cs="Times New Roman"/>
          <w:sz w:val="28"/>
          <w:szCs w:val="28"/>
        </w:rPr>
        <w:t xml:space="preserve"> here</w:t>
      </w:r>
      <w:proofErr w:type="gramStart"/>
      <w:r w:rsidR="00E81E90" w:rsidRPr="005B1ED4">
        <w:rPr>
          <w:rFonts w:ascii="Book Antiqua" w:hAnsi="Book Antiqua" w:cs="Times New Roman"/>
          <w:sz w:val="28"/>
          <w:szCs w:val="28"/>
        </w:rPr>
        <w:t>—</w:t>
      </w:r>
      <w:r w:rsidR="00E73915" w:rsidRPr="005B1ED4">
        <w:rPr>
          <w:rFonts w:ascii="Book Antiqua" w:hAnsi="Book Antiqua" w:cs="Times New Roman"/>
          <w:sz w:val="28"/>
          <w:szCs w:val="28"/>
        </w:rPr>
        <w:t>“</w:t>
      </w:r>
      <w:proofErr w:type="gramEnd"/>
      <w:r w:rsidRPr="005B1ED4">
        <w:rPr>
          <w:rFonts w:ascii="Book Antiqua" w:hAnsi="Book Antiqua" w:cs="Times New Roman"/>
          <w:sz w:val="28"/>
          <w:szCs w:val="28"/>
        </w:rPr>
        <w:t xml:space="preserve">some of a state bar’s actions might not be germane to regulating the legal profession and improving the quality of legal services in the state.” </w:t>
      </w:r>
      <w:r w:rsidRPr="005B1ED4">
        <w:rPr>
          <w:rFonts w:ascii="Book Antiqua" w:hAnsi="Book Antiqua" w:cs="Times New Roman"/>
          <w:i/>
          <w:iCs/>
          <w:sz w:val="28"/>
          <w:szCs w:val="28"/>
        </w:rPr>
        <w:t>Schell v. Chief Just. &amp; Justs. of Oklahoma Supreme Ct</w:t>
      </w:r>
      <w:r w:rsidRPr="005B1ED4">
        <w:rPr>
          <w:rFonts w:ascii="Book Antiqua" w:hAnsi="Book Antiqua" w:cs="Times New Roman"/>
          <w:sz w:val="28"/>
          <w:szCs w:val="28"/>
        </w:rPr>
        <w:t xml:space="preserve">., 11 F.4th 1178, 1194 (10th Cir. 2021); </w:t>
      </w:r>
      <w:r w:rsidRPr="005B1ED4">
        <w:rPr>
          <w:rFonts w:ascii="Book Antiqua" w:hAnsi="Book Antiqua" w:cs="Times New Roman"/>
          <w:i/>
          <w:iCs/>
          <w:sz w:val="28"/>
          <w:szCs w:val="28"/>
        </w:rPr>
        <w:t>see also Crowe v. Oregon State Bar</w:t>
      </w:r>
      <w:r w:rsidRPr="005B1ED4">
        <w:rPr>
          <w:rFonts w:ascii="Book Antiqua" w:hAnsi="Book Antiqua" w:cs="Times New Roman"/>
          <w:sz w:val="28"/>
          <w:szCs w:val="28"/>
        </w:rPr>
        <w:t>, 989 F.3d 714, 727–29 (9th Cir. 2021) (</w:t>
      </w:r>
      <w:r w:rsidR="00EE0EE9" w:rsidRPr="005B1ED4">
        <w:rPr>
          <w:rFonts w:ascii="Book Antiqua" w:hAnsi="Book Antiqua" w:cs="Times New Roman"/>
          <w:sz w:val="28"/>
          <w:szCs w:val="28"/>
        </w:rPr>
        <w:t>where bar engages in non-germane activities, plaintiff has viable free association claim</w:t>
      </w:r>
      <w:r w:rsidRPr="005B1ED4">
        <w:rPr>
          <w:rFonts w:ascii="Book Antiqua" w:hAnsi="Book Antiqua" w:cs="Times New Roman"/>
          <w:sz w:val="28"/>
          <w:szCs w:val="28"/>
        </w:rPr>
        <w:t xml:space="preserve">). Accordingly, even if </w:t>
      </w:r>
      <w:r w:rsidRPr="005B1ED4">
        <w:rPr>
          <w:rFonts w:ascii="Book Antiqua" w:hAnsi="Book Antiqua" w:cs="Times New Roman"/>
          <w:i/>
          <w:iCs/>
          <w:sz w:val="28"/>
          <w:szCs w:val="28"/>
        </w:rPr>
        <w:t>Keller</w:t>
      </w:r>
      <w:r w:rsidRPr="005B1ED4">
        <w:rPr>
          <w:rFonts w:ascii="Book Antiqua" w:hAnsi="Book Antiqua" w:cs="Times New Roman"/>
          <w:sz w:val="28"/>
          <w:szCs w:val="28"/>
        </w:rPr>
        <w:t xml:space="preserve"> were </w:t>
      </w:r>
      <w:r w:rsidR="00C515EF" w:rsidRPr="005B1ED4">
        <w:rPr>
          <w:rFonts w:ascii="Book Antiqua" w:hAnsi="Book Antiqua" w:cs="Times New Roman"/>
          <w:sz w:val="28"/>
          <w:szCs w:val="28"/>
        </w:rPr>
        <w:t>“controlling” (again, it is not)</w:t>
      </w:r>
      <w:r w:rsidRPr="005B1ED4">
        <w:rPr>
          <w:rFonts w:ascii="Book Antiqua" w:hAnsi="Book Antiqua" w:cs="Times New Roman"/>
          <w:sz w:val="28"/>
          <w:szCs w:val="28"/>
        </w:rPr>
        <w:t>, it</w:t>
      </w:r>
      <w:r w:rsidR="00C515EF" w:rsidRPr="005B1ED4">
        <w:rPr>
          <w:rFonts w:ascii="Book Antiqua" w:hAnsi="Book Antiqua" w:cs="Times New Roman"/>
          <w:sz w:val="28"/>
          <w:szCs w:val="28"/>
        </w:rPr>
        <w:t xml:space="preserve"> still</w:t>
      </w:r>
      <w:r w:rsidRPr="005B1ED4">
        <w:rPr>
          <w:rFonts w:ascii="Book Antiqua" w:hAnsi="Book Antiqua" w:cs="Times New Roman"/>
          <w:sz w:val="28"/>
          <w:szCs w:val="28"/>
        </w:rPr>
        <w:t xml:space="preserve"> would not </w:t>
      </w:r>
      <w:r w:rsidR="00B476FA" w:rsidRPr="005B1ED4">
        <w:rPr>
          <w:rFonts w:ascii="Book Antiqua" w:hAnsi="Book Antiqua" w:cs="Times New Roman"/>
          <w:sz w:val="28"/>
          <w:szCs w:val="28"/>
        </w:rPr>
        <w:t>definitively determine</w:t>
      </w:r>
      <w:r w:rsidRPr="005B1ED4">
        <w:rPr>
          <w:rFonts w:ascii="Book Antiqua" w:hAnsi="Book Antiqua" w:cs="Times New Roman"/>
          <w:sz w:val="28"/>
          <w:szCs w:val="28"/>
        </w:rPr>
        <w:t xml:space="preserve"> the constitutionality of the</w:t>
      </w:r>
      <w:r w:rsidR="00565FB7" w:rsidRPr="005B1ED4">
        <w:rPr>
          <w:rFonts w:ascii="Book Antiqua" w:hAnsi="Book Antiqua" w:cs="Times New Roman"/>
          <w:sz w:val="28"/>
          <w:szCs w:val="28"/>
        </w:rPr>
        <w:t xml:space="preserve"> mandatory</w:t>
      </w:r>
      <w:r w:rsidRPr="005B1ED4">
        <w:rPr>
          <w:rFonts w:ascii="Book Antiqua" w:hAnsi="Book Antiqua" w:cs="Times New Roman"/>
          <w:sz w:val="28"/>
          <w:szCs w:val="28"/>
        </w:rPr>
        <w:t xml:space="preserve"> Arizona Bar.</w:t>
      </w:r>
      <w:r w:rsidR="006B7E27" w:rsidRPr="005B1ED4">
        <w:rPr>
          <w:rFonts w:ascii="Book Antiqua" w:hAnsi="Book Antiqua" w:cs="Times New Roman"/>
          <w:sz w:val="28"/>
          <w:szCs w:val="28"/>
        </w:rPr>
        <w:t xml:space="preserve"> </w:t>
      </w:r>
      <w:r w:rsidR="009B18C0" w:rsidRPr="005B1ED4">
        <w:rPr>
          <w:rFonts w:ascii="Book Antiqua" w:hAnsi="Book Antiqua" w:cs="Times New Roman"/>
          <w:sz w:val="28"/>
          <w:szCs w:val="28"/>
        </w:rPr>
        <w:t xml:space="preserve">This Court </w:t>
      </w:r>
      <w:r w:rsidR="00EE0EE9" w:rsidRPr="005B1ED4">
        <w:rPr>
          <w:rFonts w:ascii="Book Antiqua" w:hAnsi="Book Antiqua" w:cs="Times New Roman"/>
          <w:sz w:val="28"/>
          <w:szCs w:val="28"/>
        </w:rPr>
        <w:t>must</w:t>
      </w:r>
      <w:r w:rsidR="00766A3E" w:rsidRPr="005B1ED4">
        <w:rPr>
          <w:rFonts w:ascii="Book Antiqua" w:hAnsi="Book Antiqua" w:cs="Times New Roman"/>
          <w:sz w:val="28"/>
          <w:szCs w:val="28"/>
        </w:rPr>
        <w:t xml:space="preserve"> still decide</w:t>
      </w:r>
      <w:r w:rsidR="009B18C0" w:rsidRPr="005B1ED4">
        <w:rPr>
          <w:rFonts w:ascii="Book Antiqua" w:hAnsi="Book Antiqua" w:cs="Times New Roman"/>
          <w:sz w:val="28"/>
          <w:szCs w:val="28"/>
        </w:rPr>
        <w:t xml:space="preserve"> whether the mandatory bar violates </w:t>
      </w:r>
      <w:r w:rsidR="00AA5614" w:rsidRPr="005B1ED4">
        <w:rPr>
          <w:rFonts w:ascii="Book Antiqua" w:hAnsi="Book Antiqua" w:cs="Times New Roman"/>
          <w:sz w:val="28"/>
          <w:szCs w:val="28"/>
        </w:rPr>
        <w:t>lawyers</w:t>
      </w:r>
      <w:r w:rsidR="00435203" w:rsidRPr="005B1ED4">
        <w:rPr>
          <w:rFonts w:ascii="Book Antiqua" w:hAnsi="Book Antiqua" w:cs="Times New Roman"/>
          <w:sz w:val="28"/>
          <w:szCs w:val="28"/>
        </w:rPr>
        <w:t xml:space="preserve">’ </w:t>
      </w:r>
      <w:r w:rsidR="009B18C0" w:rsidRPr="005B1ED4">
        <w:rPr>
          <w:rFonts w:ascii="Book Antiqua" w:hAnsi="Book Antiqua" w:cs="Times New Roman"/>
          <w:sz w:val="28"/>
          <w:szCs w:val="28"/>
        </w:rPr>
        <w:t xml:space="preserve">free </w:t>
      </w:r>
      <w:r w:rsidR="009B18C0" w:rsidRPr="005B1ED4">
        <w:rPr>
          <w:rFonts w:ascii="Book Antiqua" w:hAnsi="Book Antiqua" w:cs="Times New Roman"/>
          <w:i/>
          <w:iCs/>
          <w:sz w:val="28"/>
          <w:szCs w:val="28"/>
        </w:rPr>
        <w:t>association</w:t>
      </w:r>
      <w:r w:rsidR="009B18C0" w:rsidRPr="005B1ED4">
        <w:rPr>
          <w:rFonts w:ascii="Book Antiqua" w:hAnsi="Book Antiqua" w:cs="Times New Roman"/>
          <w:sz w:val="28"/>
          <w:szCs w:val="28"/>
        </w:rPr>
        <w:t xml:space="preserve"> rights</w:t>
      </w:r>
      <w:r w:rsidR="000173B6" w:rsidRPr="005B1ED4">
        <w:rPr>
          <w:rFonts w:ascii="Book Antiqua" w:hAnsi="Book Antiqua" w:cs="Times New Roman"/>
          <w:sz w:val="28"/>
          <w:szCs w:val="28"/>
        </w:rPr>
        <w:t>—which it does</w:t>
      </w:r>
      <w:r w:rsidR="00766A3E" w:rsidRPr="005B1ED4">
        <w:rPr>
          <w:rFonts w:ascii="Book Antiqua" w:hAnsi="Book Antiqua" w:cs="Times New Roman"/>
          <w:sz w:val="28"/>
          <w:szCs w:val="28"/>
        </w:rPr>
        <w:t xml:space="preserve">. </w:t>
      </w:r>
      <w:r w:rsidR="000173B6" w:rsidRPr="005B1ED4">
        <w:rPr>
          <w:rFonts w:ascii="Book Antiqua" w:hAnsi="Book Antiqua" w:cs="Times New Roman"/>
          <w:i/>
          <w:iCs/>
          <w:sz w:val="28"/>
          <w:szCs w:val="28"/>
        </w:rPr>
        <w:t xml:space="preserve">See Boudreaux v. Louisiana State Bar Ass’n, </w:t>
      </w:r>
      <w:r w:rsidR="000173B6" w:rsidRPr="005B1ED4">
        <w:rPr>
          <w:rFonts w:ascii="Book Antiqua" w:hAnsi="Book Antiqua" w:cs="Times New Roman"/>
          <w:sz w:val="28"/>
          <w:szCs w:val="28"/>
        </w:rPr>
        <w:t>86 F.4th 620, 625 (5th Cir. 2023) (mandatory bar violated free association rights)</w:t>
      </w:r>
      <w:r w:rsidR="008121E5" w:rsidRPr="005B1ED4">
        <w:rPr>
          <w:rFonts w:ascii="Book Antiqua" w:hAnsi="Book Antiqua" w:cs="Times New Roman"/>
          <w:sz w:val="28"/>
          <w:szCs w:val="28"/>
        </w:rPr>
        <w:t>.</w:t>
      </w:r>
    </w:p>
    <w:p w14:paraId="3FFE62CC" w14:textId="1B6CC3D2" w:rsidR="00BC65EE" w:rsidRPr="005B1ED4" w:rsidRDefault="00BC65EE" w:rsidP="0093416B">
      <w:pPr>
        <w:pStyle w:val="ListParagraph"/>
        <w:keepNext/>
        <w:numPr>
          <w:ilvl w:val="0"/>
          <w:numId w:val="3"/>
        </w:numPr>
        <w:spacing w:after="240" w:line="240" w:lineRule="auto"/>
        <w:contextualSpacing w:val="0"/>
        <w:jc w:val="both"/>
        <w:rPr>
          <w:rFonts w:ascii="Book Antiqua" w:hAnsi="Book Antiqua" w:cs="Times New Roman"/>
          <w:b/>
          <w:bCs/>
          <w:sz w:val="28"/>
          <w:szCs w:val="28"/>
        </w:rPr>
      </w:pPr>
      <w:r w:rsidRPr="005B1ED4">
        <w:rPr>
          <w:rFonts w:ascii="Book Antiqua" w:hAnsi="Book Antiqua" w:cs="Times New Roman"/>
          <w:b/>
          <w:bCs/>
          <w:sz w:val="28"/>
          <w:szCs w:val="28"/>
        </w:rPr>
        <w:t xml:space="preserve">Even if </w:t>
      </w:r>
      <w:r w:rsidRPr="005B1ED4">
        <w:rPr>
          <w:rFonts w:ascii="Book Antiqua" w:hAnsi="Book Antiqua" w:cs="Times New Roman"/>
          <w:b/>
          <w:bCs/>
          <w:i/>
          <w:iCs/>
          <w:sz w:val="28"/>
          <w:szCs w:val="28"/>
        </w:rPr>
        <w:t>Keller</w:t>
      </w:r>
      <w:r w:rsidRPr="005B1ED4">
        <w:rPr>
          <w:rFonts w:ascii="Book Antiqua" w:hAnsi="Book Antiqua" w:cs="Times New Roman"/>
          <w:b/>
          <w:bCs/>
          <w:sz w:val="28"/>
          <w:szCs w:val="28"/>
        </w:rPr>
        <w:t xml:space="preserve"> Were “Controlling,” </w:t>
      </w:r>
      <w:r w:rsidR="00565FB7" w:rsidRPr="005B1ED4">
        <w:rPr>
          <w:rFonts w:ascii="Book Antiqua" w:hAnsi="Book Antiqua" w:cs="Times New Roman"/>
          <w:b/>
          <w:bCs/>
          <w:sz w:val="28"/>
          <w:szCs w:val="28"/>
        </w:rPr>
        <w:t xml:space="preserve">It Prohibits Mandatory Bar Dues for </w:t>
      </w:r>
      <w:r w:rsidR="00DA7E81" w:rsidRPr="005B1ED4">
        <w:rPr>
          <w:rFonts w:ascii="Book Antiqua" w:hAnsi="Book Antiqua" w:cs="Times New Roman"/>
          <w:b/>
          <w:bCs/>
          <w:sz w:val="28"/>
          <w:szCs w:val="28"/>
        </w:rPr>
        <w:t xml:space="preserve">Funding Ideological Speech Not Germane </w:t>
      </w:r>
      <w:proofErr w:type="gramStart"/>
      <w:r w:rsidR="00DA7E81" w:rsidRPr="005B1ED4">
        <w:rPr>
          <w:rFonts w:ascii="Book Antiqua" w:hAnsi="Book Antiqua" w:cs="Times New Roman"/>
          <w:b/>
          <w:bCs/>
          <w:sz w:val="28"/>
          <w:szCs w:val="28"/>
        </w:rPr>
        <w:t>To</w:t>
      </w:r>
      <w:proofErr w:type="gramEnd"/>
      <w:r w:rsidR="00DA7E81" w:rsidRPr="005B1ED4">
        <w:rPr>
          <w:rFonts w:ascii="Book Antiqua" w:hAnsi="Book Antiqua" w:cs="Times New Roman"/>
          <w:b/>
          <w:bCs/>
          <w:sz w:val="28"/>
          <w:szCs w:val="28"/>
        </w:rPr>
        <w:t xml:space="preserve"> </w:t>
      </w:r>
      <w:r w:rsidR="00565FB7" w:rsidRPr="005B1ED4">
        <w:rPr>
          <w:rFonts w:ascii="Book Antiqua" w:hAnsi="Book Antiqua" w:cs="Times New Roman"/>
          <w:b/>
          <w:bCs/>
          <w:sz w:val="28"/>
          <w:szCs w:val="28"/>
        </w:rPr>
        <w:t xml:space="preserve">Regulating </w:t>
      </w:r>
      <w:r w:rsidR="00DA7E81" w:rsidRPr="005B1ED4">
        <w:rPr>
          <w:rFonts w:ascii="Book Antiqua" w:hAnsi="Book Antiqua" w:cs="Times New Roman"/>
          <w:b/>
          <w:bCs/>
          <w:sz w:val="28"/>
          <w:szCs w:val="28"/>
        </w:rPr>
        <w:t xml:space="preserve">the Legal Profession </w:t>
      </w:r>
    </w:p>
    <w:p w14:paraId="54B78355" w14:textId="02A25F3E" w:rsidR="00B75287" w:rsidRPr="005B1ED4" w:rsidRDefault="00775DF0" w:rsidP="008121E5">
      <w:pPr>
        <w:spacing w:after="0" w:line="480" w:lineRule="auto"/>
        <w:ind w:firstLine="720"/>
        <w:jc w:val="both"/>
        <w:rPr>
          <w:rFonts w:ascii="Book Antiqua" w:hAnsi="Book Antiqua" w:cs="Times New Roman"/>
          <w:i/>
          <w:iCs/>
          <w:sz w:val="28"/>
          <w:szCs w:val="28"/>
        </w:rPr>
      </w:pPr>
      <w:r w:rsidRPr="005B1ED4">
        <w:rPr>
          <w:rFonts w:ascii="Book Antiqua" w:hAnsi="Book Antiqua" w:cs="Times New Roman"/>
          <w:sz w:val="28"/>
          <w:szCs w:val="28"/>
        </w:rPr>
        <w:t>E</w:t>
      </w:r>
      <w:r w:rsidR="00BC65EE" w:rsidRPr="005B1ED4">
        <w:rPr>
          <w:rFonts w:ascii="Book Antiqua" w:hAnsi="Book Antiqua" w:cs="Times New Roman"/>
          <w:sz w:val="28"/>
          <w:szCs w:val="28"/>
        </w:rPr>
        <w:t xml:space="preserve">ven if </w:t>
      </w:r>
      <w:r w:rsidR="00BC65EE" w:rsidRPr="005B1ED4">
        <w:rPr>
          <w:rFonts w:ascii="Book Antiqua" w:hAnsi="Book Antiqua" w:cs="Times New Roman"/>
          <w:i/>
          <w:iCs/>
          <w:sz w:val="28"/>
          <w:szCs w:val="28"/>
        </w:rPr>
        <w:t xml:space="preserve">Keller </w:t>
      </w:r>
      <w:r w:rsidR="00BC65EE" w:rsidRPr="005B1ED4">
        <w:rPr>
          <w:rFonts w:ascii="Book Antiqua" w:hAnsi="Book Antiqua" w:cs="Times New Roman"/>
          <w:sz w:val="28"/>
          <w:szCs w:val="28"/>
        </w:rPr>
        <w:t xml:space="preserve">were </w:t>
      </w:r>
      <w:r w:rsidR="005965A6" w:rsidRPr="005B1ED4">
        <w:rPr>
          <w:rFonts w:ascii="Book Antiqua" w:hAnsi="Book Antiqua" w:cs="Times New Roman"/>
          <w:sz w:val="28"/>
          <w:szCs w:val="28"/>
        </w:rPr>
        <w:t>“</w:t>
      </w:r>
      <w:r w:rsidR="00935BC0" w:rsidRPr="005B1ED4">
        <w:rPr>
          <w:rFonts w:ascii="Book Antiqua" w:hAnsi="Book Antiqua" w:cs="Times New Roman"/>
          <w:sz w:val="28"/>
          <w:szCs w:val="28"/>
        </w:rPr>
        <w:t>controlling</w:t>
      </w:r>
      <w:r w:rsidR="005965A6" w:rsidRPr="005B1ED4">
        <w:rPr>
          <w:rFonts w:ascii="Book Antiqua" w:hAnsi="Book Antiqua" w:cs="Times New Roman"/>
          <w:sz w:val="28"/>
          <w:szCs w:val="28"/>
        </w:rPr>
        <w:t>,”</w:t>
      </w:r>
      <w:r w:rsidR="00BC65EE" w:rsidRPr="005B1ED4">
        <w:rPr>
          <w:rFonts w:ascii="Book Antiqua" w:hAnsi="Book Antiqua" w:cs="Times New Roman"/>
          <w:sz w:val="28"/>
          <w:szCs w:val="28"/>
        </w:rPr>
        <w:t xml:space="preserve"> the Arizona Bar </w:t>
      </w:r>
      <w:r w:rsidR="00565FB7" w:rsidRPr="005B1ED4">
        <w:rPr>
          <w:rFonts w:ascii="Book Antiqua" w:hAnsi="Book Antiqua" w:cs="Times New Roman"/>
          <w:sz w:val="28"/>
          <w:szCs w:val="28"/>
        </w:rPr>
        <w:t>still cannot require lawyers to pay dues for speech that is not germane to regulating the legal profession</w:t>
      </w:r>
      <w:r w:rsidR="00BC65EE" w:rsidRPr="005B1ED4">
        <w:rPr>
          <w:rFonts w:ascii="Book Antiqua" w:hAnsi="Book Antiqua" w:cs="Times New Roman"/>
          <w:sz w:val="28"/>
          <w:szCs w:val="28"/>
        </w:rPr>
        <w:t xml:space="preserve">. </w:t>
      </w:r>
      <w:r w:rsidR="00EE0EE9" w:rsidRPr="005B1ED4">
        <w:rPr>
          <w:rFonts w:ascii="Book Antiqua" w:hAnsi="Book Antiqua" w:cs="Times New Roman"/>
          <w:sz w:val="28"/>
          <w:szCs w:val="28"/>
        </w:rPr>
        <w:t>In</w:t>
      </w:r>
      <w:r w:rsidR="00B75287" w:rsidRPr="005B1ED4">
        <w:rPr>
          <w:rFonts w:ascii="Book Antiqua" w:hAnsi="Book Antiqua" w:cs="Times New Roman"/>
          <w:sz w:val="28"/>
          <w:szCs w:val="28"/>
        </w:rPr>
        <w:t xml:space="preserve"> </w:t>
      </w:r>
      <w:r w:rsidR="00B75287" w:rsidRPr="005B1ED4">
        <w:rPr>
          <w:rFonts w:ascii="Book Antiqua" w:hAnsi="Book Antiqua" w:cs="Times New Roman"/>
          <w:i/>
          <w:iCs/>
          <w:sz w:val="28"/>
          <w:szCs w:val="28"/>
        </w:rPr>
        <w:t xml:space="preserve">Keller, </w:t>
      </w:r>
      <w:r w:rsidR="00994C99" w:rsidRPr="005B1ED4">
        <w:rPr>
          <w:rFonts w:ascii="Book Antiqua" w:hAnsi="Book Antiqua" w:cs="Times New Roman"/>
          <w:sz w:val="28"/>
          <w:szCs w:val="28"/>
        </w:rPr>
        <w:t>t</w:t>
      </w:r>
      <w:r w:rsidR="00B75287" w:rsidRPr="005B1ED4">
        <w:rPr>
          <w:rFonts w:ascii="Book Antiqua" w:hAnsi="Book Antiqua" w:cs="Times New Roman"/>
          <w:sz w:val="28"/>
          <w:szCs w:val="28"/>
        </w:rPr>
        <w:t>he Supreme Court held that mandatory</w:t>
      </w:r>
      <w:r w:rsidR="00994C99" w:rsidRPr="005B1ED4">
        <w:rPr>
          <w:rFonts w:ascii="Book Antiqua" w:hAnsi="Book Antiqua" w:cs="Times New Roman"/>
          <w:sz w:val="28"/>
          <w:szCs w:val="28"/>
        </w:rPr>
        <w:t xml:space="preserve"> </w:t>
      </w:r>
      <w:r w:rsidR="00B75287" w:rsidRPr="005B1ED4">
        <w:rPr>
          <w:rFonts w:ascii="Book Antiqua" w:hAnsi="Book Antiqua" w:cs="Times New Roman"/>
          <w:sz w:val="28"/>
          <w:szCs w:val="28"/>
        </w:rPr>
        <w:t xml:space="preserve">bars have only two permissible purposes: “improving the quality of legal services” and </w:t>
      </w:r>
      <w:r w:rsidR="00B75287" w:rsidRPr="005B1ED4">
        <w:rPr>
          <w:rFonts w:ascii="Book Antiqua" w:hAnsi="Book Antiqua" w:cs="Times New Roman"/>
          <w:sz w:val="28"/>
          <w:szCs w:val="28"/>
        </w:rPr>
        <w:lastRenderedPageBreak/>
        <w:t>“regulating the legal profession.”</w:t>
      </w:r>
      <w:r w:rsidR="000B0ADF" w:rsidRPr="005B1ED4">
        <w:rPr>
          <w:rFonts w:ascii="Book Antiqua" w:hAnsi="Book Antiqua" w:cs="Times New Roman"/>
          <w:i/>
          <w:iCs/>
          <w:sz w:val="28"/>
          <w:szCs w:val="28"/>
        </w:rPr>
        <w:t xml:space="preserve"> </w:t>
      </w:r>
      <w:r w:rsidR="000B0ADF" w:rsidRPr="005B1ED4">
        <w:rPr>
          <w:rFonts w:ascii="Book Antiqua" w:hAnsi="Book Antiqua" w:cs="Times New Roman"/>
          <w:sz w:val="28"/>
          <w:szCs w:val="28"/>
        </w:rPr>
        <w:t>496 U.S</w:t>
      </w:r>
      <w:r w:rsidR="00B75287" w:rsidRPr="005B1ED4">
        <w:rPr>
          <w:rFonts w:ascii="Book Antiqua" w:hAnsi="Book Antiqua" w:cs="Times New Roman"/>
          <w:sz w:val="28"/>
          <w:szCs w:val="28"/>
        </w:rPr>
        <w:t xml:space="preserve">. at 13–14. Accordingly, </w:t>
      </w:r>
      <w:r w:rsidR="00EE0EE9" w:rsidRPr="005B1ED4">
        <w:rPr>
          <w:rFonts w:ascii="Book Antiqua" w:hAnsi="Book Antiqua" w:cs="Times New Roman"/>
          <w:sz w:val="28"/>
          <w:szCs w:val="28"/>
        </w:rPr>
        <w:t xml:space="preserve">as noted, </w:t>
      </w:r>
      <w:r w:rsidR="00B75287" w:rsidRPr="005B1ED4">
        <w:rPr>
          <w:rFonts w:ascii="Book Antiqua" w:hAnsi="Book Antiqua" w:cs="Times New Roman"/>
          <w:sz w:val="28"/>
          <w:szCs w:val="28"/>
        </w:rPr>
        <w:t>bars cannot compel a</w:t>
      </w:r>
      <w:r w:rsidR="00DE32FD" w:rsidRPr="005B1ED4">
        <w:rPr>
          <w:rFonts w:ascii="Book Antiqua" w:hAnsi="Book Antiqua" w:cs="Times New Roman"/>
          <w:sz w:val="28"/>
          <w:szCs w:val="28"/>
        </w:rPr>
        <w:t xml:space="preserve"> </w:t>
      </w:r>
      <w:r w:rsidR="00B75287" w:rsidRPr="005B1ED4">
        <w:rPr>
          <w:rFonts w:ascii="Book Antiqua" w:hAnsi="Book Antiqua" w:cs="Times New Roman"/>
          <w:sz w:val="28"/>
          <w:szCs w:val="28"/>
        </w:rPr>
        <w:t xml:space="preserve">member to </w:t>
      </w:r>
      <w:r w:rsidR="008121E5" w:rsidRPr="005B1ED4">
        <w:rPr>
          <w:rFonts w:ascii="Book Antiqua" w:hAnsi="Book Antiqua" w:cs="Times New Roman"/>
          <w:sz w:val="28"/>
          <w:szCs w:val="28"/>
        </w:rPr>
        <w:t>fund</w:t>
      </w:r>
      <w:r w:rsidR="00B75287" w:rsidRPr="005B1ED4">
        <w:rPr>
          <w:rFonts w:ascii="Book Antiqua" w:hAnsi="Book Antiqua" w:cs="Times New Roman"/>
          <w:sz w:val="28"/>
          <w:szCs w:val="28"/>
        </w:rPr>
        <w:t xml:space="preserve"> activities that are not “germane” to </w:t>
      </w:r>
      <w:r w:rsidR="003E0368" w:rsidRPr="005B1ED4">
        <w:rPr>
          <w:rFonts w:ascii="Book Antiqua" w:hAnsi="Book Antiqua" w:cs="Times New Roman"/>
          <w:sz w:val="28"/>
          <w:szCs w:val="28"/>
        </w:rPr>
        <w:t xml:space="preserve">those </w:t>
      </w:r>
      <w:r w:rsidR="008121E5" w:rsidRPr="005B1ED4">
        <w:rPr>
          <w:rFonts w:ascii="Book Antiqua" w:hAnsi="Book Antiqua" w:cs="Times New Roman"/>
          <w:sz w:val="28"/>
          <w:szCs w:val="28"/>
        </w:rPr>
        <w:t>goals</w:t>
      </w:r>
      <w:r w:rsidR="00323FC0" w:rsidRPr="005B1ED4">
        <w:rPr>
          <w:rFonts w:ascii="Book Antiqua" w:hAnsi="Book Antiqua" w:cs="Times New Roman"/>
          <w:sz w:val="28"/>
          <w:szCs w:val="28"/>
        </w:rPr>
        <w:t xml:space="preserve">, </w:t>
      </w:r>
      <w:r w:rsidR="00B92A1B" w:rsidRPr="005B1ED4">
        <w:rPr>
          <w:rFonts w:ascii="Book Antiqua" w:hAnsi="Book Antiqua" w:cs="Times New Roman"/>
          <w:sz w:val="28"/>
          <w:szCs w:val="28"/>
        </w:rPr>
        <w:t xml:space="preserve">including </w:t>
      </w:r>
      <w:r w:rsidR="008020B0" w:rsidRPr="005B1ED4">
        <w:rPr>
          <w:rFonts w:ascii="Book Antiqua" w:hAnsi="Book Antiqua" w:cs="Times New Roman"/>
          <w:sz w:val="28"/>
          <w:szCs w:val="28"/>
        </w:rPr>
        <w:t>“political or ideological coloration which are not reasonably related to the advancement of such goals</w:t>
      </w:r>
      <w:r w:rsidR="00B75287" w:rsidRPr="005B1ED4">
        <w:rPr>
          <w:rFonts w:ascii="Book Antiqua" w:hAnsi="Book Antiqua" w:cs="Times New Roman"/>
          <w:sz w:val="28"/>
          <w:szCs w:val="28"/>
        </w:rPr>
        <w:t>.</w:t>
      </w:r>
      <w:r w:rsidR="00B92A1B" w:rsidRPr="005B1ED4">
        <w:rPr>
          <w:rFonts w:ascii="Book Antiqua" w:hAnsi="Book Antiqua" w:cs="Times New Roman"/>
          <w:sz w:val="28"/>
          <w:szCs w:val="28"/>
        </w:rPr>
        <w:t>”</w:t>
      </w:r>
      <w:r w:rsidR="00B75287" w:rsidRPr="005B1ED4">
        <w:rPr>
          <w:rFonts w:ascii="Book Antiqua" w:hAnsi="Book Antiqua" w:cs="Times New Roman"/>
          <w:sz w:val="28"/>
          <w:szCs w:val="28"/>
        </w:rPr>
        <w:t xml:space="preserve"> </w:t>
      </w:r>
      <w:proofErr w:type="gramStart"/>
      <w:r w:rsidR="00B75287" w:rsidRPr="005B1ED4">
        <w:rPr>
          <w:rFonts w:ascii="Book Antiqua" w:hAnsi="Book Antiqua" w:cs="Times New Roman"/>
          <w:i/>
          <w:iCs/>
          <w:sz w:val="28"/>
          <w:szCs w:val="28"/>
        </w:rPr>
        <w:t>Id</w:t>
      </w:r>
      <w:r w:rsidR="00323FC0" w:rsidRPr="005B1ED4">
        <w:rPr>
          <w:rFonts w:ascii="Book Antiqua" w:hAnsi="Book Antiqua" w:cs="Times New Roman"/>
          <w:i/>
          <w:iCs/>
          <w:sz w:val="28"/>
          <w:szCs w:val="28"/>
        </w:rPr>
        <w:t>.</w:t>
      </w:r>
      <w:r w:rsidR="0082260B" w:rsidRPr="005B1ED4">
        <w:rPr>
          <w:rFonts w:ascii="Book Antiqua" w:hAnsi="Book Antiqua" w:cs="Times New Roman"/>
          <w:sz w:val="28"/>
          <w:szCs w:val="28"/>
        </w:rPr>
        <w:t>;</w:t>
      </w:r>
      <w:proofErr w:type="gramEnd"/>
      <w:r w:rsidR="0082260B" w:rsidRPr="005B1ED4">
        <w:rPr>
          <w:rFonts w:ascii="Book Antiqua" w:hAnsi="Book Antiqua" w:cs="Times New Roman"/>
          <w:sz w:val="28"/>
          <w:szCs w:val="28"/>
        </w:rPr>
        <w:t xml:space="preserve"> </w:t>
      </w:r>
      <w:r w:rsidR="0082260B" w:rsidRPr="005B1ED4">
        <w:rPr>
          <w:rFonts w:ascii="Book Antiqua" w:hAnsi="Book Antiqua" w:cs="Times New Roman"/>
          <w:i/>
          <w:iCs/>
          <w:sz w:val="28"/>
          <w:szCs w:val="28"/>
        </w:rPr>
        <w:t>see also</w:t>
      </w:r>
      <w:r w:rsidR="00EF13EA" w:rsidRPr="005B1ED4">
        <w:rPr>
          <w:rFonts w:ascii="Book Antiqua" w:hAnsi="Book Antiqua" w:cs="Times New Roman"/>
          <w:i/>
          <w:iCs/>
          <w:sz w:val="28"/>
          <w:szCs w:val="28"/>
        </w:rPr>
        <w:t xml:space="preserve"> Boudreaux, </w:t>
      </w:r>
      <w:r w:rsidR="00EF13EA" w:rsidRPr="005B1ED4">
        <w:rPr>
          <w:rFonts w:ascii="Book Antiqua" w:hAnsi="Book Antiqua" w:cs="Times New Roman"/>
          <w:sz w:val="28"/>
          <w:szCs w:val="28"/>
        </w:rPr>
        <w:t xml:space="preserve">86 F.4th </w:t>
      </w:r>
      <w:r w:rsidR="000173B6" w:rsidRPr="005B1ED4">
        <w:rPr>
          <w:rFonts w:ascii="Book Antiqua" w:hAnsi="Book Antiqua" w:cs="Times New Roman"/>
          <w:sz w:val="28"/>
          <w:szCs w:val="28"/>
        </w:rPr>
        <w:t>at</w:t>
      </w:r>
      <w:r w:rsidR="00EF13EA" w:rsidRPr="005B1ED4">
        <w:rPr>
          <w:rFonts w:ascii="Book Antiqua" w:hAnsi="Book Antiqua" w:cs="Times New Roman"/>
          <w:sz w:val="28"/>
          <w:szCs w:val="28"/>
        </w:rPr>
        <w:t xml:space="preserve"> 625</w:t>
      </w:r>
      <w:r w:rsidR="0082260B" w:rsidRPr="005B1ED4">
        <w:rPr>
          <w:rFonts w:ascii="Book Antiqua" w:hAnsi="Book Antiqua" w:cs="Times New Roman"/>
          <w:sz w:val="28"/>
          <w:szCs w:val="28"/>
        </w:rPr>
        <w:t xml:space="preserve"> (“</w:t>
      </w:r>
      <w:r w:rsidR="00EE0EE9" w:rsidRPr="005B1ED4">
        <w:rPr>
          <w:rFonts w:ascii="Book Antiqua" w:hAnsi="Book Antiqua" w:cs="Times New Roman"/>
          <w:sz w:val="28"/>
          <w:szCs w:val="28"/>
        </w:rPr>
        <w:t>[I]</w:t>
      </w:r>
      <w:r w:rsidR="0082260B" w:rsidRPr="005B1ED4">
        <w:rPr>
          <w:rFonts w:ascii="Book Antiqua" w:hAnsi="Book Antiqua" w:cs="Times New Roman"/>
          <w:sz w:val="28"/>
          <w:szCs w:val="28"/>
        </w:rPr>
        <w:t>f mandatory bar associations are going to compel individuals to associate and speak, they must stay in their constitutionally prescribed lane</w:t>
      </w:r>
      <w:r w:rsidR="00EE0EE9" w:rsidRPr="005B1ED4">
        <w:rPr>
          <w:rFonts w:ascii="Book Antiqua" w:hAnsi="Book Antiqua" w:cs="Times New Roman"/>
          <w:sz w:val="28"/>
          <w:szCs w:val="28"/>
        </w:rPr>
        <w:t>”</w:t>
      </w:r>
      <w:r w:rsidR="0082260B" w:rsidRPr="005B1ED4">
        <w:rPr>
          <w:rFonts w:ascii="Book Antiqua" w:hAnsi="Book Antiqua" w:cs="Times New Roman"/>
          <w:sz w:val="28"/>
          <w:szCs w:val="28"/>
        </w:rPr>
        <w:t>).</w:t>
      </w:r>
      <w:r w:rsidR="00644902" w:rsidRPr="005B1ED4">
        <w:rPr>
          <w:rFonts w:ascii="Book Antiqua" w:hAnsi="Book Antiqua" w:cs="Times New Roman"/>
          <w:i/>
          <w:iCs/>
          <w:sz w:val="28"/>
          <w:szCs w:val="28"/>
        </w:rPr>
        <w:t xml:space="preserve"> </w:t>
      </w:r>
      <w:r w:rsidR="00111515" w:rsidRPr="005B1ED4">
        <w:rPr>
          <w:rFonts w:ascii="Book Antiqua" w:hAnsi="Book Antiqua" w:cs="Times New Roman"/>
          <w:sz w:val="28"/>
          <w:szCs w:val="28"/>
        </w:rPr>
        <w:t>But that is what the Arizona Bar</w:t>
      </w:r>
      <w:r w:rsidR="00381F07" w:rsidRPr="005B1ED4">
        <w:rPr>
          <w:rFonts w:ascii="Book Antiqua" w:hAnsi="Book Antiqua" w:cs="Times New Roman"/>
          <w:sz w:val="28"/>
          <w:szCs w:val="28"/>
        </w:rPr>
        <w:t xml:space="preserve"> </w:t>
      </w:r>
      <w:r w:rsidR="00111515" w:rsidRPr="005B1ED4">
        <w:rPr>
          <w:rFonts w:ascii="Book Antiqua" w:hAnsi="Book Antiqua" w:cs="Times New Roman"/>
          <w:sz w:val="28"/>
          <w:szCs w:val="28"/>
        </w:rPr>
        <w:t>does</w:t>
      </w:r>
      <w:r w:rsidR="00565FB7" w:rsidRPr="005B1ED4">
        <w:rPr>
          <w:rFonts w:ascii="Book Antiqua" w:hAnsi="Book Antiqua" w:cs="Times New Roman"/>
          <w:sz w:val="28"/>
          <w:szCs w:val="28"/>
        </w:rPr>
        <w:t xml:space="preserve"> by, a</w:t>
      </w:r>
      <w:r w:rsidR="00455D3A" w:rsidRPr="005B1ED4">
        <w:rPr>
          <w:rFonts w:ascii="Book Antiqua" w:hAnsi="Book Antiqua" w:cs="Times New Roman"/>
          <w:sz w:val="28"/>
          <w:szCs w:val="28"/>
        </w:rPr>
        <w:t>mong other things</w:t>
      </w:r>
      <w:r w:rsidR="00111515" w:rsidRPr="005B1ED4">
        <w:rPr>
          <w:rFonts w:ascii="Book Antiqua" w:hAnsi="Book Antiqua" w:cs="Times New Roman"/>
          <w:sz w:val="28"/>
          <w:szCs w:val="28"/>
        </w:rPr>
        <w:t>, sponsor</w:t>
      </w:r>
      <w:r w:rsidR="00565FB7" w:rsidRPr="005B1ED4">
        <w:rPr>
          <w:rFonts w:ascii="Book Antiqua" w:hAnsi="Book Antiqua" w:cs="Times New Roman"/>
          <w:sz w:val="28"/>
          <w:szCs w:val="28"/>
        </w:rPr>
        <w:t>ing</w:t>
      </w:r>
      <w:r w:rsidR="00111515" w:rsidRPr="005B1ED4">
        <w:rPr>
          <w:rFonts w:ascii="Book Antiqua" w:hAnsi="Book Antiqua" w:cs="Times New Roman"/>
          <w:sz w:val="28"/>
          <w:szCs w:val="28"/>
        </w:rPr>
        <w:t xml:space="preserve"> </w:t>
      </w:r>
      <w:r w:rsidR="00565FB7" w:rsidRPr="005B1ED4">
        <w:rPr>
          <w:rFonts w:ascii="Book Antiqua" w:hAnsi="Book Antiqua" w:cs="Times New Roman"/>
          <w:sz w:val="28"/>
          <w:szCs w:val="28"/>
        </w:rPr>
        <w:t xml:space="preserve">DEI task forces, </w:t>
      </w:r>
      <w:r w:rsidR="00111515" w:rsidRPr="005B1ED4">
        <w:rPr>
          <w:rFonts w:ascii="Book Antiqua" w:hAnsi="Book Antiqua" w:cs="Times New Roman"/>
          <w:sz w:val="28"/>
          <w:szCs w:val="28"/>
        </w:rPr>
        <w:t xml:space="preserve">education related to gender identity and expression, </w:t>
      </w:r>
      <w:r w:rsidR="00565FB7" w:rsidRPr="005B1ED4">
        <w:rPr>
          <w:rFonts w:ascii="Book Antiqua" w:hAnsi="Book Antiqua" w:cs="Times New Roman"/>
          <w:sz w:val="28"/>
          <w:szCs w:val="28"/>
        </w:rPr>
        <w:t xml:space="preserve">and </w:t>
      </w:r>
      <w:r w:rsidR="007F2B98" w:rsidRPr="005B1ED4">
        <w:rPr>
          <w:rFonts w:ascii="Book Antiqua" w:hAnsi="Book Antiqua" w:cs="Times New Roman"/>
          <w:sz w:val="28"/>
          <w:szCs w:val="28"/>
        </w:rPr>
        <w:t>host</w:t>
      </w:r>
      <w:r w:rsidR="00565FB7" w:rsidRPr="005B1ED4">
        <w:rPr>
          <w:rFonts w:ascii="Book Antiqua" w:hAnsi="Book Antiqua" w:cs="Times New Roman"/>
          <w:sz w:val="28"/>
          <w:szCs w:val="28"/>
        </w:rPr>
        <w:t>ing</w:t>
      </w:r>
      <w:r w:rsidR="00111515" w:rsidRPr="005B1ED4">
        <w:rPr>
          <w:rFonts w:ascii="Book Antiqua" w:hAnsi="Book Antiqua" w:cs="Times New Roman"/>
          <w:sz w:val="28"/>
          <w:szCs w:val="28"/>
        </w:rPr>
        <w:t xml:space="preserve"> arts competitions</w:t>
      </w:r>
      <w:r w:rsidR="00A925AC" w:rsidRPr="005B1ED4">
        <w:rPr>
          <w:rFonts w:ascii="Book Antiqua" w:hAnsi="Book Antiqua" w:cs="Times New Roman"/>
          <w:sz w:val="28"/>
          <w:szCs w:val="28"/>
        </w:rPr>
        <w:t xml:space="preserve">—none </w:t>
      </w:r>
      <w:r w:rsidR="00960A61" w:rsidRPr="005B1ED4">
        <w:rPr>
          <w:rFonts w:ascii="Book Antiqua" w:hAnsi="Book Antiqua" w:cs="Times New Roman"/>
          <w:sz w:val="28"/>
          <w:szCs w:val="28"/>
        </w:rPr>
        <w:t xml:space="preserve">of which are </w:t>
      </w:r>
      <w:r w:rsidR="00A925AC" w:rsidRPr="005B1ED4">
        <w:rPr>
          <w:rFonts w:ascii="Book Antiqua" w:hAnsi="Book Antiqua" w:cs="Times New Roman"/>
          <w:sz w:val="28"/>
          <w:szCs w:val="28"/>
        </w:rPr>
        <w:t>“germane” to the practice of law</w:t>
      </w:r>
      <w:r w:rsidR="00111515" w:rsidRPr="005B1ED4">
        <w:rPr>
          <w:rFonts w:ascii="Book Antiqua" w:hAnsi="Book Antiqua" w:cs="Times New Roman"/>
          <w:sz w:val="28"/>
          <w:szCs w:val="28"/>
        </w:rPr>
        <w:t xml:space="preserve">. </w:t>
      </w:r>
      <w:r w:rsidR="00111515" w:rsidRPr="005B1ED4">
        <w:rPr>
          <w:rFonts w:ascii="Book Antiqua" w:hAnsi="Book Antiqua" w:cs="Times New Roman"/>
          <w:i/>
          <w:iCs/>
          <w:sz w:val="28"/>
          <w:szCs w:val="28"/>
        </w:rPr>
        <w:t xml:space="preserve">See </w:t>
      </w:r>
      <w:r w:rsidR="00111515" w:rsidRPr="005B1ED4">
        <w:rPr>
          <w:rFonts w:ascii="Book Antiqua" w:hAnsi="Book Antiqua" w:cs="Times New Roman"/>
          <w:sz w:val="28"/>
          <w:szCs w:val="28"/>
        </w:rPr>
        <w:t xml:space="preserve">Pet. at 6. </w:t>
      </w:r>
    </w:p>
    <w:p w14:paraId="56ABB5FC" w14:textId="45AFE968" w:rsidR="00CF2AE1" w:rsidRPr="005B1ED4" w:rsidRDefault="00BC65EE" w:rsidP="009C35D4">
      <w:pPr>
        <w:spacing w:after="0" w:line="480" w:lineRule="auto"/>
        <w:ind w:firstLine="720"/>
        <w:jc w:val="both"/>
        <w:rPr>
          <w:rFonts w:ascii="Book Antiqua" w:hAnsi="Book Antiqua" w:cs="Times New Roman"/>
          <w:i/>
          <w:iCs/>
          <w:sz w:val="28"/>
          <w:szCs w:val="28"/>
        </w:rPr>
      </w:pPr>
      <w:r w:rsidRPr="005B1ED4">
        <w:rPr>
          <w:rFonts w:ascii="Book Antiqua" w:hAnsi="Book Antiqua" w:cs="Times New Roman"/>
          <w:sz w:val="28"/>
          <w:szCs w:val="28"/>
        </w:rPr>
        <w:t>None of the</w:t>
      </w:r>
      <w:r w:rsidR="00981025" w:rsidRPr="005B1ED4">
        <w:rPr>
          <w:rFonts w:ascii="Book Antiqua" w:hAnsi="Book Antiqua" w:cs="Times New Roman"/>
          <w:sz w:val="28"/>
          <w:szCs w:val="28"/>
        </w:rPr>
        <w:t xml:space="preserve"> </w:t>
      </w:r>
      <w:r w:rsidR="00782D94" w:rsidRPr="005B1ED4">
        <w:rPr>
          <w:rFonts w:ascii="Book Antiqua" w:hAnsi="Book Antiqua" w:cs="Times New Roman"/>
          <w:sz w:val="28"/>
          <w:szCs w:val="28"/>
        </w:rPr>
        <w:t>Petition O</w:t>
      </w:r>
      <w:r w:rsidR="00981025" w:rsidRPr="005B1ED4">
        <w:rPr>
          <w:rFonts w:ascii="Book Antiqua" w:hAnsi="Book Antiqua" w:cs="Times New Roman"/>
          <w:sz w:val="28"/>
          <w:szCs w:val="28"/>
        </w:rPr>
        <w:t>pponents</w:t>
      </w:r>
      <w:r w:rsidRPr="005B1ED4">
        <w:rPr>
          <w:rFonts w:ascii="Book Antiqua" w:hAnsi="Book Antiqua" w:cs="Times New Roman"/>
          <w:sz w:val="28"/>
          <w:szCs w:val="28"/>
        </w:rPr>
        <w:t xml:space="preserve"> </w:t>
      </w:r>
      <w:r w:rsidR="007F138A" w:rsidRPr="005B1ED4">
        <w:rPr>
          <w:rFonts w:ascii="Book Antiqua" w:hAnsi="Book Antiqua" w:cs="Times New Roman"/>
          <w:sz w:val="28"/>
          <w:szCs w:val="28"/>
        </w:rPr>
        <w:t xml:space="preserve">try to </w:t>
      </w:r>
      <w:r w:rsidR="00652B81" w:rsidRPr="005B1ED4">
        <w:rPr>
          <w:rFonts w:ascii="Book Antiqua" w:hAnsi="Book Antiqua" w:cs="Times New Roman"/>
          <w:sz w:val="28"/>
          <w:szCs w:val="28"/>
        </w:rPr>
        <w:t>address</w:t>
      </w:r>
      <w:r w:rsidR="0058371C" w:rsidRPr="005B1ED4">
        <w:rPr>
          <w:rFonts w:ascii="Book Antiqua" w:hAnsi="Book Antiqua" w:cs="Times New Roman"/>
          <w:sz w:val="28"/>
          <w:szCs w:val="28"/>
        </w:rPr>
        <w:t xml:space="preserve"> </w:t>
      </w:r>
      <w:r w:rsidR="000C6706" w:rsidRPr="005B1ED4">
        <w:rPr>
          <w:rFonts w:ascii="Book Antiqua" w:hAnsi="Book Antiqua" w:cs="Times New Roman"/>
          <w:sz w:val="28"/>
          <w:szCs w:val="28"/>
        </w:rPr>
        <w:t>these</w:t>
      </w:r>
      <w:r w:rsidR="0058371C" w:rsidRPr="005B1ED4">
        <w:rPr>
          <w:rFonts w:ascii="Book Antiqua" w:hAnsi="Book Antiqua" w:cs="Times New Roman"/>
          <w:sz w:val="28"/>
          <w:szCs w:val="28"/>
        </w:rPr>
        <w:t xml:space="preserve"> non-</w:t>
      </w:r>
      <w:proofErr w:type="gramStart"/>
      <w:r w:rsidR="0058371C" w:rsidRPr="005B1ED4">
        <w:rPr>
          <w:rFonts w:ascii="Book Antiqua" w:hAnsi="Book Antiqua" w:cs="Times New Roman"/>
          <w:sz w:val="28"/>
          <w:szCs w:val="28"/>
        </w:rPr>
        <w:t>germane</w:t>
      </w:r>
      <w:proofErr w:type="gramEnd"/>
      <w:r w:rsidR="0058371C" w:rsidRPr="005B1ED4">
        <w:rPr>
          <w:rFonts w:ascii="Book Antiqua" w:hAnsi="Book Antiqua" w:cs="Times New Roman"/>
          <w:sz w:val="28"/>
          <w:szCs w:val="28"/>
        </w:rPr>
        <w:t xml:space="preserve"> </w:t>
      </w:r>
      <w:r w:rsidR="000C6706" w:rsidRPr="005B1ED4">
        <w:rPr>
          <w:rFonts w:ascii="Book Antiqua" w:hAnsi="Book Antiqua" w:cs="Times New Roman"/>
          <w:sz w:val="28"/>
          <w:szCs w:val="28"/>
        </w:rPr>
        <w:t xml:space="preserve">political </w:t>
      </w:r>
      <w:r w:rsidR="0058371C" w:rsidRPr="005B1ED4">
        <w:rPr>
          <w:rFonts w:ascii="Book Antiqua" w:hAnsi="Book Antiqua" w:cs="Times New Roman"/>
          <w:sz w:val="28"/>
          <w:szCs w:val="28"/>
        </w:rPr>
        <w:t xml:space="preserve">activities. </w:t>
      </w:r>
      <w:r w:rsidR="00822ECC" w:rsidRPr="005B1ED4">
        <w:rPr>
          <w:rFonts w:ascii="Book Antiqua" w:hAnsi="Book Antiqua" w:cs="Times New Roman"/>
          <w:sz w:val="28"/>
          <w:szCs w:val="28"/>
        </w:rPr>
        <w:t>I</w:t>
      </w:r>
      <w:r w:rsidR="00CD7480" w:rsidRPr="005B1ED4">
        <w:rPr>
          <w:rFonts w:ascii="Book Antiqua" w:hAnsi="Book Antiqua" w:cs="Times New Roman"/>
          <w:sz w:val="28"/>
          <w:szCs w:val="28"/>
        </w:rPr>
        <w:t xml:space="preserve">n its opposition, </w:t>
      </w:r>
      <w:r w:rsidR="0058371C" w:rsidRPr="005B1ED4">
        <w:rPr>
          <w:rFonts w:ascii="Book Antiqua" w:hAnsi="Book Antiqua" w:cs="Times New Roman"/>
          <w:sz w:val="28"/>
          <w:szCs w:val="28"/>
        </w:rPr>
        <w:t xml:space="preserve">the </w:t>
      </w:r>
      <w:r w:rsidR="00CD7480" w:rsidRPr="005B1ED4">
        <w:rPr>
          <w:rFonts w:ascii="Book Antiqua" w:hAnsi="Book Antiqua" w:cs="Times New Roman"/>
          <w:sz w:val="28"/>
          <w:szCs w:val="28"/>
        </w:rPr>
        <w:t xml:space="preserve">Arizona </w:t>
      </w:r>
      <w:r w:rsidR="0058371C" w:rsidRPr="005B1ED4">
        <w:rPr>
          <w:rFonts w:ascii="Book Antiqua" w:hAnsi="Book Antiqua" w:cs="Times New Roman"/>
          <w:sz w:val="28"/>
          <w:szCs w:val="28"/>
        </w:rPr>
        <w:t xml:space="preserve">State Bar </w:t>
      </w:r>
      <w:r w:rsidR="00981025" w:rsidRPr="005B1ED4">
        <w:rPr>
          <w:rFonts w:ascii="Book Antiqua" w:hAnsi="Book Antiqua" w:cs="Times New Roman"/>
          <w:sz w:val="28"/>
          <w:szCs w:val="28"/>
        </w:rPr>
        <w:t xml:space="preserve">broadly </w:t>
      </w:r>
      <w:r w:rsidR="00E5193A" w:rsidRPr="005B1ED4">
        <w:rPr>
          <w:rFonts w:ascii="Book Antiqua" w:hAnsi="Book Antiqua" w:cs="Times New Roman"/>
          <w:sz w:val="28"/>
          <w:szCs w:val="28"/>
        </w:rPr>
        <w:t>claims</w:t>
      </w:r>
      <w:r w:rsidR="0058371C" w:rsidRPr="005B1ED4">
        <w:rPr>
          <w:rFonts w:ascii="Book Antiqua" w:hAnsi="Book Antiqua" w:cs="Times New Roman"/>
          <w:sz w:val="28"/>
          <w:szCs w:val="28"/>
        </w:rPr>
        <w:t xml:space="preserve"> that it “does not use membership fees to fund activities of a political or ideological nature that are not reasonably related to lawyer regulation or improving the quality of legal services,” and that it is “an apolitical organization.” Ariz. Bar Comm. at 6. </w:t>
      </w:r>
      <w:r w:rsidR="00565FB7" w:rsidRPr="005B1ED4">
        <w:rPr>
          <w:rFonts w:ascii="Book Antiqua" w:hAnsi="Book Antiqua" w:cs="Times New Roman"/>
          <w:sz w:val="28"/>
          <w:szCs w:val="28"/>
        </w:rPr>
        <w:t>Nevertheless, t</w:t>
      </w:r>
      <w:r w:rsidR="0058371C" w:rsidRPr="005B1ED4">
        <w:rPr>
          <w:rFonts w:ascii="Book Antiqua" w:hAnsi="Book Antiqua" w:cs="Times New Roman"/>
          <w:sz w:val="28"/>
          <w:szCs w:val="28"/>
        </w:rPr>
        <w:t>he Bar does not</w:t>
      </w:r>
      <w:r w:rsidR="00CD7480" w:rsidRPr="005B1ED4">
        <w:rPr>
          <w:rFonts w:ascii="Book Antiqua" w:hAnsi="Book Antiqua" w:cs="Times New Roman"/>
          <w:sz w:val="28"/>
          <w:szCs w:val="28"/>
        </w:rPr>
        <w:t xml:space="preserve"> even </w:t>
      </w:r>
      <w:r w:rsidR="00CD7480" w:rsidRPr="005B1ED4">
        <w:rPr>
          <w:rFonts w:ascii="Book Antiqua" w:hAnsi="Book Antiqua" w:cs="Times New Roman"/>
          <w:i/>
          <w:iCs/>
          <w:sz w:val="28"/>
          <w:szCs w:val="28"/>
        </w:rPr>
        <w:t>attempt</w:t>
      </w:r>
      <w:r w:rsidR="00CD7480" w:rsidRPr="005B1ED4">
        <w:rPr>
          <w:rFonts w:ascii="Book Antiqua" w:hAnsi="Book Antiqua" w:cs="Times New Roman"/>
          <w:sz w:val="28"/>
          <w:szCs w:val="28"/>
        </w:rPr>
        <w:t xml:space="preserve"> to </w:t>
      </w:r>
      <w:r w:rsidR="00565FB7" w:rsidRPr="005B1ED4">
        <w:rPr>
          <w:rFonts w:ascii="Book Antiqua" w:hAnsi="Book Antiqua" w:cs="Times New Roman"/>
          <w:sz w:val="28"/>
          <w:szCs w:val="28"/>
        </w:rPr>
        <w:t>address</w:t>
      </w:r>
      <w:r w:rsidR="00CD7480" w:rsidRPr="005B1ED4">
        <w:rPr>
          <w:rFonts w:ascii="Book Antiqua" w:hAnsi="Book Antiqua" w:cs="Times New Roman"/>
          <w:sz w:val="28"/>
          <w:szCs w:val="28"/>
        </w:rPr>
        <w:t xml:space="preserve"> Petitioners’ </w:t>
      </w:r>
      <w:r w:rsidR="00741D6A" w:rsidRPr="005B1ED4">
        <w:rPr>
          <w:rFonts w:ascii="Book Antiqua" w:hAnsi="Book Antiqua" w:cs="Times New Roman"/>
          <w:sz w:val="28"/>
          <w:szCs w:val="28"/>
        </w:rPr>
        <w:t xml:space="preserve">specific </w:t>
      </w:r>
      <w:r w:rsidR="00CD7480" w:rsidRPr="005B1ED4">
        <w:rPr>
          <w:rFonts w:ascii="Book Antiqua" w:hAnsi="Book Antiqua" w:cs="Times New Roman"/>
          <w:sz w:val="28"/>
          <w:szCs w:val="28"/>
        </w:rPr>
        <w:t xml:space="preserve">examples </w:t>
      </w:r>
      <w:r w:rsidR="00565FB7" w:rsidRPr="005B1ED4">
        <w:rPr>
          <w:rFonts w:ascii="Book Antiqua" w:hAnsi="Book Antiqua" w:cs="Times New Roman"/>
          <w:sz w:val="28"/>
          <w:szCs w:val="28"/>
        </w:rPr>
        <w:t xml:space="preserve">of political activities </w:t>
      </w:r>
      <w:r w:rsidR="00634D60" w:rsidRPr="005B1ED4">
        <w:rPr>
          <w:rFonts w:ascii="Book Antiqua" w:hAnsi="Book Antiqua" w:cs="Times New Roman"/>
          <w:sz w:val="28"/>
          <w:szCs w:val="28"/>
        </w:rPr>
        <w:t>or</w:t>
      </w:r>
      <w:r w:rsidR="00CD7480" w:rsidRPr="005B1ED4">
        <w:rPr>
          <w:rFonts w:ascii="Book Antiqua" w:hAnsi="Book Antiqua" w:cs="Times New Roman"/>
          <w:sz w:val="28"/>
          <w:szCs w:val="28"/>
        </w:rPr>
        <w:t xml:space="preserve"> justify those </w:t>
      </w:r>
      <w:r w:rsidR="00981025" w:rsidRPr="005B1ED4">
        <w:rPr>
          <w:rFonts w:ascii="Book Antiqua" w:hAnsi="Book Antiqua" w:cs="Times New Roman"/>
          <w:sz w:val="28"/>
          <w:szCs w:val="28"/>
        </w:rPr>
        <w:t xml:space="preserve">as </w:t>
      </w:r>
      <w:r w:rsidR="00892862" w:rsidRPr="005B1ED4">
        <w:rPr>
          <w:rFonts w:ascii="Book Antiqua" w:hAnsi="Book Antiqua" w:cs="Times New Roman"/>
          <w:sz w:val="28"/>
          <w:szCs w:val="28"/>
        </w:rPr>
        <w:t>“</w:t>
      </w:r>
      <w:r w:rsidR="00981025" w:rsidRPr="005B1ED4">
        <w:rPr>
          <w:rFonts w:ascii="Book Antiqua" w:hAnsi="Book Antiqua" w:cs="Times New Roman"/>
          <w:sz w:val="28"/>
          <w:szCs w:val="28"/>
        </w:rPr>
        <w:t>apolitical.</w:t>
      </w:r>
      <w:r w:rsidR="00892862" w:rsidRPr="005B1ED4">
        <w:rPr>
          <w:rFonts w:ascii="Book Antiqua" w:hAnsi="Book Antiqua" w:cs="Times New Roman"/>
          <w:sz w:val="28"/>
          <w:szCs w:val="28"/>
        </w:rPr>
        <w:t>”</w:t>
      </w:r>
      <w:r w:rsidR="00981025" w:rsidRPr="005B1ED4">
        <w:rPr>
          <w:rFonts w:ascii="Book Antiqua" w:hAnsi="Book Antiqua" w:cs="Times New Roman"/>
          <w:sz w:val="28"/>
          <w:szCs w:val="28"/>
        </w:rPr>
        <w:t xml:space="preserve"> </w:t>
      </w:r>
      <w:r w:rsidR="000C6706" w:rsidRPr="005B1ED4">
        <w:rPr>
          <w:rFonts w:ascii="Book Antiqua" w:hAnsi="Book Antiqua" w:cs="Times New Roman"/>
          <w:i/>
          <w:iCs/>
          <w:sz w:val="28"/>
          <w:szCs w:val="28"/>
        </w:rPr>
        <w:t xml:space="preserve">Id. </w:t>
      </w:r>
      <w:r w:rsidR="009C35D4" w:rsidRPr="005B1ED4">
        <w:rPr>
          <w:rFonts w:ascii="Book Antiqua" w:hAnsi="Book Antiqua" w:cs="Times New Roman"/>
          <w:i/>
          <w:iCs/>
          <w:sz w:val="28"/>
          <w:szCs w:val="28"/>
        </w:rPr>
        <w:t xml:space="preserve"> </w:t>
      </w:r>
    </w:p>
    <w:p w14:paraId="5153A0C9" w14:textId="1810FB4D" w:rsidR="00D525B0" w:rsidRPr="005B1ED4" w:rsidRDefault="00CF2AE1" w:rsidP="00B66A9E">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lastRenderedPageBreak/>
        <w:t>I</w:t>
      </w:r>
      <w:r w:rsidR="00634D60" w:rsidRPr="005B1ED4">
        <w:rPr>
          <w:rFonts w:ascii="Book Antiqua" w:hAnsi="Book Antiqua" w:cs="Times New Roman"/>
          <w:sz w:val="28"/>
          <w:szCs w:val="28"/>
        </w:rPr>
        <w:t xml:space="preserve">n </w:t>
      </w:r>
      <w:r w:rsidR="00472649" w:rsidRPr="005B1ED4">
        <w:rPr>
          <w:rFonts w:ascii="Book Antiqua" w:hAnsi="Book Antiqua" w:cs="Times New Roman"/>
          <w:sz w:val="28"/>
          <w:szCs w:val="28"/>
        </w:rPr>
        <w:t xml:space="preserve">direct </w:t>
      </w:r>
      <w:r w:rsidR="00CC0083" w:rsidRPr="005B1ED4">
        <w:rPr>
          <w:rFonts w:ascii="Book Antiqua" w:hAnsi="Book Antiqua" w:cs="Times New Roman"/>
          <w:sz w:val="28"/>
          <w:szCs w:val="28"/>
        </w:rPr>
        <w:t>conflict</w:t>
      </w:r>
      <w:r w:rsidR="00D4320D" w:rsidRPr="005B1ED4">
        <w:rPr>
          <w:rFonts w:ascii="Book Antiqua" w:hAnsi="Book Antiqua" w:cs="Times New Roman"/>
          <w:sz w:val="28"/>
          <w:szCs w:val="28"/>
        </w:rPr>
        <w:t xml:space="preserve"> </w:t>
      </w:r>
      <w:r w:rsidR="00CC0083" w:rsidRPr="005B1ED4">
        <w:rPr>
          <w:rFonts w:ascii="Book Antiqua" w:hAnsi="Book Antiqua" w:cs="Times New Roman"/>
          <w:sz w:val="28"/>
          <w:szCs w:val="28"/>
        </w:rPr>
        <w:t>with</w:t>
      </w:r>
      <w:r w:rsidR="00D4320D" w:rsidRPr="005B1ED4">
        <w:rPr>
          <w:rFonts w:ascii="Book Antiqua" w:hAnsi="Book Antiqua" w:cs="Times New Roman"/>
          <w:sz w:val="28"/>
          <w:szCs w:val="28"/>
        </w:rPr>
        <w:t xml:space="preserve"> the Bar</w:t>
      </w:r>
      <w:r w:rsidR="00CC0083" w:rsidRPr="005B1ED4">
        <w:rPr>
          <w:rFonts w:ascii="Book Antiqua" w:hAnsi="Book Antiqua" w:cs="Times New Roman"/>
          <w:sz w:val="28"/>
          <w:szCs w:val="28"/>
        </w:rPr>
        <w:t xml:space="preserve">’s </w:t>
      </w:r>
      <w:r w:rsidR="0054644B" w:rsidRPr="005B1ED4">
        <w:rPr>
          <w:rFonts w:ascii="Book Antiqua" w:hAnsi="Book Antiqua" w:cs="Times New Roman"/>
          <w:sz w:val="28"/>
          <w:szCs w:val="28"/>
        </w:rPr>
        <w:t>comment</w:t>
      </w:r>
      <w:r w:rsidR="00460EC2" w:rsidRPr="005B1ED4">
        <w:rPr>
          <w:rFonts w:ascii="Book Antiqua" w:hAnsi="Book Antiqua" w:cs="Times New Roman"/>
          <w:sz w:val="28"/>
          <w:szCs w:val="28"/>
        </w:rPr>
        <w:t>,</w:t>
      </w:r>
      <w:r w:rsidR="00EC4CF7" w:rsidRPr="005B1ED4">
        <w:rPr>
          <w:rFonts w:ascii="Book Antiqua" w:hAnsi="Book Antiqua" w:cs="Times New Roman"/>
          <w:sz w:val="28"/>
          <w:szCs w:val="28"/>
        </w:rPr>
        <w:t xml:space="preserve"> </w:t>
      </w:r>
      <w:r w:rsidR="00460EC2" w:rsidRPr="005B1ED4">
        <w:rPr>
          <w:rFonts w:ascii="Book Antiqua" w:hAnsi="Book Antiqua" w:cs="Times New Roman"/>
          <w:sz w:val="28"/>
          <w:szCs w:val="28"/>
        </w:rPr>
        <w:t xml:space="preserve">the </w:t>
      </w:r>
      <w:r w:rsidR="0054357F" w:rsidRPr="005B1ED4">
        <w:rPr>
          <w:rFonts w:ascii="Book Antiqua" w:hAnsi="Book Antiqua" w:cs="Times New Roman"/>
          <w:sz w:val="28"/>
          <w:szCs w:val="28"/>
        </w:rPr>
        <w:t xml:space="preserve">Attorney </w:t>
      </w:r>
      <w:r w:rsidR="00167FB8" w:rsidRPr="005B1ED4">
        <w:rPr>
          <w:rFonts w:ascii="Book Antiqua" w:hAnsi="Book Antiqua" w:cs="Times New Roman"/>
          <w:sz w:val="28"/>
          <w:szCs w:val="28"/>
        </w:rPr>
        <w:t>G</w:t>
      </w:r>
      <w:r w:rsidR="0054357F" w:rsidRPr="005B1ED4">
        <w:rPr>
          <w:rFonts w:ascii="Book Antiqua" w:hAnsi="Book Antiqua" w:cs="Times New Roman"/>
          <w:sz w:val="28"/>
          <w:szCs w:val="28"/>
        </w:rPr>
        <w:t>eneral</w:t>
      </w:r>
      <w:r w:rsidR="00167FB8" w:rsidRPr="005B1ED4">
        <w:rPr>
          <w:rFonts w:ascii="Book Antiqua" w:hAnsi="Book Antiqua" w:cs="Times New Roman"/>
          <w:sz w:val="28"/>
          <w:szCs w:val="28"/>
        </w:rPr>
        <w:t xml:space="preserve"> </w:t>
      </w:r>
      <w:r w:rsidR="00652B81" w:rsidRPr="005B1ED4">
        <w:rPr>
          <w:rFonts w:ascii="Book Antiqua" w:hAnsi="Book Antiqua" w:cs="Times New Roman"/>
          <w:sz w:val="28"/>
          <w:szCs w:val="28"/>
        </w:rPr>
        <w:t>admit</w:t>
      </w:r>
      <w:r w:rsidR="000C6706" w:rsidRPr="005B1ED4">
        <w:rPr>
          <w:rFonts w:ascii="Book Antiqua" w:hAnsi="Book Antiqua" w:cs="Times New Roman"/>
          <w:sz w:val="28"/>
          <w:szCs w:val="28"/>
        </w:rPr>
        <w:t>s</w:t>
      </w:r>
      <w:r w:rsidR="00D4320D" w:rsidRPr="005B1ED4">
        <w:rPr>
          <w:rFonts w:ascii="Book Antiqua" w:hAnsi="Book Antiqua" w:cs="Times New Roman"/>
          <w:sz w:val="28"/>
          <w:szCs w:val="28"/>
        </w:rPr>
        <w:t xml:space="preserve"> that the</w:t>
      </w:r>
      <w:r w:rsidR="00A323BF" w:rsidRPr="005B1ED4">
        <w:rPr>
          <w:rFonts w:ascii="Book Antiqua" w:hAnsi="Book Antiqua" w:cs="Times New Roman"/>
          <w:sz w:val="28"/>
          <w:szCs w:val="28"/>
        </w:rPr>
        <w:t xml:space="preserve"> Arizona</w:t>
      </w:r>
      <w:r w:rsidR="00D4320D" w:rsidRPr="005B1ED4">
        <w:rPr>
          <w:rFonts w:ascii="Book Antiqua" w:hAnsi="Book Antiqua" w:cs="Times New Roman"/>
          <w:sz w:val="28"/>
          <w:szCs w:val="28"/>
        </w:rPr>
        <w:t xml:space="preserve"> Bar </w:t>
      </w:r>
      <w:r w:rsidR="00D4320D" w:rsidRPr="005B1ED4">
        <w:rPr>
          <w:rFonts w:ascii="Book Antiqua" w:hAnsi="Book Antiqua" w:cs="Times New Roman"/>
          <w:i/>
          <w:iCs/>
          <w:sz w:val="28"/>
          <w:szCs w:val="28"/>
        </w:rPr>
        <w:t>does</w:t>
      </w:r>
      <w:r w:rsidR="00A323BF" w:rsidRPr="005B1ED4">
        <w:rPr>
          <w:rFonts w:ascii="Book Antiqua" w:hAnsi="Book Antiqua" w:cs="Times New Roman"/>
          <w:sz w:val="28"/>
          <w:szCs w:val="28"/>
        </w:rPr>
        <w:t xml:space="preserve"> </w:t>
      </w:r>
      <w:r w:rsidR="00D4320D" w:rsidRPr="005B1ED4">
        <w:rPr>
          <w:rFonts w:ascii="Book Antiqua" w:hAnsi="Book Antiqua" w:cs="Times New Roman"/>
          <w:sz w:val="28"/>
          <w:szCs w:val="28"/>
        </w:rPr>
        <w:t>engage in political activities</w:t>
      </w:r>
      <w:r w:rsidR="00A323BF" w:rsidRPr="005B1ED4">
        <w:rPr>
          <w:rFonts w:ascii="Book Antiqua" w:hAnsi="Book Antiqua" w:cs="Times New Roman"/>
          <w:sz w:val="28"/>
          <w:szCs w:val="28"/>
        </w:rPr>
        <w:t xml:space="preserve">; </w:t>
      </w:r>
      <w:r w:rsidR="009C35D4" w:rsidRPr="005B1ED4">
        <w:rPr>
          <w:rFonts w:ascii="Book Antiqua" w:hAnsi="Book Antiqua" w:cs="Times New Roman"/>
          <w:sz w:val="28"/>
          <w:szCs w:val="28"/>
        </w:rPr>
        <w:t>but</w:t>
      </w:r>
      <w:r w:rsidR="00A323BF" w:rsidRPr="005B1ED4">
        <w:rPr>
          <w:rFonts w:ascii="Book Antiqua" w:hAnsi="Book Antiqua" w:cs="Times New Roman"/>
          <w:sz w:val="28"/>
          <w:szCs w:val="28"/>
        </w:rPr>
        <w:t xml:space="preserve">, she </w:t>
      </w:r>
      <w:r w:rsidR="009C35D4" w:rsidRPr="005B1ED4">
        <w:rPr>
          <w:rFonts w:ascii="Book Antiqua" w:hAnsi="Book Antiqua" w:cs="Times New Roman"/>
          <w:sz w:val="28"/>
          <w:szCs w:val="28"/>
        </w:rPr>
        <w:t>argues</w:t>
      </w:r>
      <w:r w:rsidR="000B361D" w:rsidRPr="005B1ED4">
        <w:rPr>
          <w:rFonts w:ascii="Book Antiqua" w:hAnsi="Book Antiqua" w:cs="Times New Roman"/>
          <w:sz w:val="28"/>
          <w:szCs w:val="28"/>
        </w:rPr>
        <w:t>,</w:t>
      </w:r>
      <w:r w:rsidR="00D4320D" w:rsidRPr="005B1ED4">
        <w:rPr>
          <w:rFonts w:ascii="Book Antiqua" w:hAnsi="Book Antiqua" w:cs="Times New Roman"/>
          <w:sz w:val="28"/>
          <w:szCs w:val="28"/>
        </w:rPr>
        <w:t xml:space="preserve"> </w:t>
      </w:r>
      <w:r w:rsidR="00237EF2" w:rsidRPr="005B1ED4">
        <w:rPr>
          <w:rFonts w:ascii="Book Antiqua" w:hAnsi="Book Antiqua" w:cs="Times New Roman"/>
          <w:sz w:val="28"/>
          <w:szCs w:val="28"/>
        </w:rPr>
        <w:t>those</w:t>
      </w:r>
      <w:r w:rsidR="009C35D4" w:rsidRPr="005B1ED4">
        <w:rPr>
          <w:rFonts w:ascii="Book Antiqua" w:hAnsi="Book Antiqua" w:cs="Times New Roman"/>
          <w:sz w:val="28"/>
          <w:szCs w:val="28"/>
        </w:rPr>
        <w:t xml:space="preserve"> topics are</w:t>
      </w:r>
      <w:r w:rsidR="00237EF2" w:rsidRPr="005B1ED4">
        <w:rPr>
          <w:rFonts w:ascii="Book Antiqua" w:hAnsi="Book Antiqua" w:cs="Times New Roman"/>
          <w:sz w:val="28"/>
          <w:szCs w:val="28"/>
        </w:rPr>
        <w:t xml:space="preserve"> </w:t>
      </w:r>
      <w:r w:rsidR="009C35D4" w:rsidRPr="005B1ED4">
        <w:rPr>
          <w:rFonts w:ascii="Book Antiqua" w:hAnsi="Book Antiqua" w:cs="Times New Roman"/>
          <w:sz w:val="28"/>
          <w:szCs w:val="28"/>
        </w:rPr>
        <w:t>“germane” to the legal profession based</w:t>
      </w:r>
      <w:r w:rsidR="00237EF2" w:rsidRPr="005B1ED4">
        <w:rPr>
          <w:rFonts w:ascii="Book Antiqua" w:hAnsi="Book Antiqua" w:cs="Times New Roman"/>
          <w:sz w:val="28"/>
          <w:szCs w:val="28"/>
        </w:rPr>
        <w:t xml:space="preserve"> on</w:t>
      </w:r>
      <w:r w:rsidR="009C35D4" w:rsidRPr="005B1ED4">
        <w:rPr>
          <w:rFonts w:ascii="Book Antiqua" w:hAnsi="Book Antiqua" w:cs="Times New Roman"/>
          <w:sz w:val="28"/>
          <w:szCs w:val="28"/>
        </w:rPr>
        <w:t xml:space="preserve"> the “</w:t>
      </w:r>
      <w:proofErr w:type="gramStart"/>
      <w:r w:rsidR="009C35D4" w:rsidRPr="005B1ED4">
        <w:rPr>
          <w:rFonts w:ascii="Book Antiqua" w:hAnsi="Book Antiqua" w:cs="Times New Roman"/>
          <w:sz w:val="28"/>
          <w:szCs w:val="28"/>
        </w:rPr>
        <w:t>consistent[</w:t>
      </w:r>
      <w:proofErr w:type="gramEnd"/>
      <w:r w:rsidR="009C35D4" w:rsidRPr="005B1ED4">
        <w:rPr>
          <w:rFonts w:ascii="Book Antiqua" w:hAnsi="Book Antiqua" w:cs="Times New Roman"/>
          <w:sz w:val="28"/>
          <w:szCs w:val="28"/>
        </w:rPr>
        <w:t xml:space="preserve">]” decisions of several courts. </w:t>
      </w:r>
      <w:r w:rsidR="009C35D4" w:rsidRPr="005B1ED4">
        <w:rPr>
          <w:rFonts w:ascii="Book Antiqua" w:hAnsi="Book Antiqua" w:cs="Times New Roman"/>
          <w:i/>
          <w:iCs/>
          <w:sz w:val="28"/>
          <w:szCs w:val="28"/>
        </w:rPr>
        <w:t>See</w:t>
      </w:r>
      <w:r w:rsidR="009C35D4" w:rsidRPr="005B1ED4">
        <w:rPr>
          <w:rFonts w:ascii="Book Antiqua" w:hAnsi="Book Antiqua" w:cs="Times New Roman"/>
          <w:sz w:val="28"/>
          <w:szCs w:val="28"/>
        </w:rPr>
        <w:t xml:space="preserve"> </w:t>
      </w:r>
      <w:r w:rsidR="0054357F" w:rsidRPr="005B1ED4">
        <w:rPr>
          <w:rFonts w:ascii="Book Antiqua" w:hAnsi="Book Antiqua" w:cs="Times New Roman"/>
          <w:sz w:val="28"/>
          <w:szCs w:val="28"/>
        </w:rPr>
        <w:t>A</w:t>
      </w:r>
      <w:r w:rsidR="00D45CAC" w:rsidRPr="005B1ED4">
        <w:rPr>
          <w:rFonts w:ascii="Book Antiqua" w:hAnsi="Book Antiqua" w:cs="Times New Roman"/>
          <w:sz w:val="28"/>
          <w:szCs w:val="28"/>
        </w:rPr>
        <w:t xml:space="preserve">G Comm. at </w:t>
      </w:r>
      <w:r w:rsidR="009C35D4" w:rsidRPr="005B1ED4">
        <w:rPr>
          <w:rFonts w:ascii="Book Antiqua" w:hAnsi="Book Antiqua" w:cs="Times New Roman"/>
          <w:sz w:val="28"/>
          <w:szCs w:val="28"/>
        </w:rPr>
        <w:t>8</w:t>
      </w:r>
      <w:r w:rsidR="00D45CAC" w:rsidRPr="005B1ED4">
        <w:rPr>
          <w:rFonts w:ascii="Book Antiqua" w:hAnsi="Book Antiqua" w:cs="Times New Roman"/>
          <w:sz w:val="28"/>
          <w:szCs w:val="28"/>
        </w:rPr>
        <w:t>.</w:t>
      </w:r>
      <w:r w:rsidR="009C35D4" w:rsidRPr="005B1ED4">
        <w:rPr>
          <w:rFonts w:ascii="Book Antiqua" w:hAnsi="Book Antiqua" w:cs="Times New Roman"/>
          <w:sz w:val="28"/>
          <w:szCs w:val="28"/>
        </w:rPr>
        <w:t xml:space="preserve"> The</w:t>
      </w:r>
      <w:r w:rsidR="00450207" w:rsidRPr="005B1ED4">
        <w:rPr>
          <w:rFonts w:ascii="Book Antiqua" w:hAnsi="Book Antiqua" w:cs="Times New Roman"/>
          <w:sz w:val="28"/>
          <w:szCs w:val="28"/>
        </w:rPr>
        <w:t xml:space="preserve"> </w:t>
      </w:r>
      <w:r w:rsidR="0054357F" w:rsidRPr="005B1ED4">
        <w:rPr>
          <w:rFonts w:ascii="Book Antiqua" w:hAnsi="Book Antiqua" w:cs="Times New Roman"/>
          <w:sz w:val="28"/>
          <w:szCs w:val="28"/>
        </w:rPr>
        <w:t xml:space="preserve">Attorney </w:t>
      </w:r>
      <w:r w:rsidR="008321F4" w:rsidRPr="005B1ED4">
        <w:rPr>
          <w:rFonts w:ascii="Book Antiqua" w:hAnsi="Book Antiqua" w:cs="Times New Roman"/>
          <w:sz w:val="28"/>
          <w:szCs w:val="28"/>
        </w:rPr>
        <w:t>G</w:t>
      </w:r>
      <w:r w:rsidR="0054357F" w:rsidRPr="005B1ED4">
        <w:rPr>
          <w:rFonts w:ascii="Book Antiqua" w:hAnsi="Book Antiqua" w:cs="Times New Roman"/>
          <w:sz w:val="28"/>
          <w:szCs w:val="28"/>
        </w:rPr>
        <w:t>eneral</w:t>
      </w:r>
      <w:r w:rsidR="009C35D4" w:rsidRPr="005B1ED4">
        <w:rPr>
          <w:rFonts w:ascii="Book Antiqua" w:hAnsi="Book Antiqua" w:cs="Times New Roman"/>
          <w:sz w:val="28"/>
          <w:szCs w:val="28"/>
        </w:rPr>
        <w:t xml:space="preserve"> relies only on one decision</w:t>
      </w:r>
      <w:r w:rsidR="00237EF2" w:rsidRPr="005B1ED4">
        <w:rPr>
          <w:rFonts w:ascii="Book Antiqua" w:hAnsi="Book Antiqua" w:cs="Times New Roman"/>
          <w:sz w:val="28"/>
          <w:szCs w:val="28"/>
        </w:rPr>
        <w:t>,</w:t>
      </w:r>
      <w:r w:rsidR="009C35D4" w:rsidRPr="005B1ED4">
        <w:rPr>
          <w:rFonts w:ascii="Book Antiqua" w:hAnsi="Book Antiqua" w:cs="Times New Roman"/>
          <w:sz w:val="28"/>
          <w:szCs w:val="28"/>
        </w:rPr>
        <w:t xml:space="preserve"> however—</w:t>
      </w:r>
      <w:r w:rsidR="009C35D4" w:rsidRPr="005B1ED4">
        <w:rPr>
          <w:rFonts w:ascii="Book Antiqua" w:hAnsi="Book Antiqua" w:cs="Times New Roman"/>
          <w:i/>
          <w:iCs/>
          <w:sz w:val="28"/>
          <w:szCs w:val="28"/>
        </w:rPr>
        <w:t>Schell v. Chief Just. &amp; Justs. of Oklahoma Supreme Ct.</w:t>
      </w:r>
      <w:r w:rsidR="009C35D4" w:rsidRPr="005B1ED4">
        <w:rPr>
          <w:rFonts w:ascii="Book Antiqua" w:hAnsi="Book Antiqua" w:cs="Times New Roman"/>
          <w:sz w:val="28"/>
          <w:szCs w:val="28"/>
        </w:rPr>
        <w:t xml:space="preserve">, 11 F.4th 1178, 1193 (10th Cir. 2021)—which did </w:t>
      </w:r>
      <w:r w:rsidR="009C35D4" w:rsidRPr="005B1ED4">
        <w:rPr>
          <w:rFonts w:ascii="Book Antiqua" w:hAnsi="Book Antiqua" w:cs="Times New Roman"/>
          <w:i/>
          <w:iCs/>
          <w:sz w:val="28"/>
          <w:szCs w:val="28"/>
        </w:rPr>
        <w:t xml:space="preserve">not </w:t>
      </w:r>
      <w:r w:rsidR="009C35D4" w:rsidRPr="005B1ED4">
        <w:rPr>
          <w:rFonts w:ascii="Book Antiqua" w:hAnsi="Book Antiqua" w:cs="Times New Roman"/>
          <w:sz w:val="28"/>
          <w:szCs w:val="28"/>
        </w:rPr>
        <w:t>address gender and DEI</w:t>
      </w:r>
      <w:r w:rsidR="000B361D" w:rsidRPr="005B1ED4">
        <w:rPr>
          <w:rFonts w:ascii="Book Antiqua" w:hAnsi="Book Antiqua" w:cs="Times New Roman"/>
          <w:sz w:val="28"/>
          <w:szCs w:val="28"/>
        </w:rPr>
        <w:t xml:space="preserve">, or anything </w:t>
      </w:r>
      <w:r w:rsidR="00237EF2" w:rsidRPr="005B1ED4">
        <w:rPr>
          <w:rFonts w:ascii="Book Antiqua" w:hAnsi="Book Antiqua" w:cs="Times New Roman"/>
          <w:sz w:val="28"/>
          <w:szCs w:val="28"/>
        </w:rPr>
        <w:t xml:space="preserve">resembling </w:t>
      </w:r>
      <w:r w:rsidR="000B361D" w:rsidRPr="005B1ED4">
        <w:rPr>
          <w:rFonts w:ascii="Book Antiqua" w:hAnsi="Book Antiqua" w:cs="Times New Roman"/>
          <w:sz w:val="28"/>
          <w:szCs w:val="28"/>
        </w:rPr>
        <w:t xml:space="preserve">the </w:t>
      </w:r>
      <w:r w:rsidR="00237EF2" w:rsidRPr="005B1ED4">
        <w:rPr>
          <w:rFonts w:ascii="Book Antiqua" w:hAnsi="Book Antiqua" w:cs="Times New Roman"/>
          <w:sz w:val="28"/>
          <w:szCs w:val="28"/>
        </w:rPr>
        <w:t>Arizona Bar’s activities</w:t>
      </w:r>
      <w:r w:rsidR="009C35D4" w:rsidRPr="005B1ED4">
        <w:rPr>
          <w:rFonts w:ascii="Book Antiqua" w:hAnsi="Book Antiqua" w:cs="Times New Roman"/>
          <w:sz w:val="28"/>
          <w:szCs w:val="28"/>
        </w:rPr>
        <w:t xml:space="preserve">. </w:t>
      </w:r>
    </w:p>
    <w:p w14:paraId="00E33504" w14:textId="5E1B139C" w:rsidR="00460EC2" w:rsidRPr="005B1ED4" w:rsidRDefault="004A15C9" w:rsidP="00872FB2">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Moreover</w:t>
      </w:r>
      <w:r w:rsidR="009C35D4" w:rsidRPr="005B1ED4">
        <w:rPr>
          <w:rFonts w:ascii="Book Antiqua" w:hAnsi="Book Antiqua" w:cs="Times New Roman"/>
          <w:sz w:val="28"/>
          <w:szCs w:val="28"/>
        </w:rPr>
        <w:t xml:space="preserve">, </w:t>
      </w:r>
      <w:r w:rsidR="009C35D4" w:rsidRPr="005B1ED4">
        <w:rPr>
          <w:rFonts w:ascii="Book Antiqua" w:hAnsi="Book Antiqua" w:cs="Times New Roman"/>
          <w:i/>
          <w:iCs/>
          <w:sz w:val="28"/>
          <w:szCs w:val="28"/>
        </w:rPr>
        <w:t>Schell</w:t>
      </w:r>
      <w:r w:rsidRPr="005B1ED4">
        <w:rPr>
          <w:rFonts w:ascii="Book Antiqua" w:hAnsi="Book Antiqua" w:cs="Times New Roman"/>
          <w:i/>
          <w:iCs/>
          <w:sz w:val="28"/>
          <w:szCs w:val="28"/>
        </w:rPr>
        <w:t xml:space="preserve"> </w:t>
      </w:r>
      <w:r w:rsidRPr="005B1ED4">
        <w:rPr>
          <w:rFonts w:ascii="Book Antiqua" w:hAnsi="Book Antiqua" w:cs="Times New Roman"/>
          <w:sz w:val="28"/>
          <w:szCs w:val="28"/>
        </w:rPr>
        <w:t>supports Petitioners insofar as it</w:t>
      </w:r>
      <w:r w:rsidR="009C35D4" w:rsidRPr="005B1ED4">
        <w:rPr>
          <w:rFonts w:ascii="Book Antiqua" w:hAnsi="Book Antiqua" w:cs="Times New Roman"/>
          <w:i/>
          <w:iCs/>
          <w:sz w:val="28"/>
          <w:szCs w:val="28"/>
        </w:rPr>
        <w:t xml:space="preserve"> </w:t>
      </w:r>
      <w:r w:rsidR="009C35D4" w:rsidRPr="005B1ED4">
        <w:rPr>
          <w:rFonts w:ascii="Book Antiqua" w:hAnsi="Book Antiqua" w:cs="Times New Roman"/>
          <w:sz w:val="28"/>
          <w:szCs w:val="28"/>
        </w:rPr>
        <w:t>recognized</w:t>
      </w:r>
      <w:r w:rsidR="008321F4" w:rsidRPr="005B1ED4">
        <w:rPr>
          <w:rFonts w:ascii="Book Antiqua" w:hAnsi="Book Antiqua" w:cs="Times New Roman"/>
          <w:sz w:val="28"/>
          <w:szCs w:val="28"/>
        </w:rPr>
        <w:t>, for example,</w:t>
      </w:r>
      <w:r w:rsidR="009C35D4" w:rsidRPr="005B1ED4">
        <w:rPr>
          <w:rFonts w:ascii="Book Antiqua" w:hAnsi="Book Antiqua" w:cs="Times New Roman"/>
          <w:sz w:val="28"/>
          <w:szCs w:val="28"/>
        </w:rPr>
        <w:t xml:space="preserve"> </w:t>
      </w:r>
      <w:r w:rsidR="00BE0286" w:rsidRPr="005B1ED4">
        <w:rPr>
          <w:rFonts w:ascii="Book Antiqua" w:hAnsi="Book Antiqua" w:cs="Times New Roman"/>
          <w:sz w:val="28"/>
          <w:szCs w:val="28"/>
        </w:rPr>
        <w:t>which</w:t>
      </w:r>
      <w:r w:rsidR="009C35D4" w:rsidRPr="005B1ED4">
        <w:rPr>
          <w:rFonts w:ascii="Book Antiqua" w:hAnsi="Book Antiqua" w:cs="Times New Roman"/>
          <w:sz w:val="28"/>
          <w:szCs w:val="28"/>
        </w:rPr>
        <w:t xml:space="preserve"> criticizing “big money special interest groups” and </w:t>
      </w:r>
      <w:r w:rsidR="004B6648" w:rsidRPr="005B1ED4">
        <w:rPr>
          <w:rFonts w:ascii="Book Antiqua" w:hAnsi="Book Antiqua" w:cs="Times New Roman"/>
          <w:sz w:val="28"/>
          <w:szCs w:val="28"/>
        </w:rPr>
        <w:t xml:space="preserve">prison tort reform </w:t>
      </w:r>
      <w:r w:rsidR="003D10D5" w:rsidRPr="005B1ED4">
        <w:rPr>
          <w:rFonts w:ascii="Book Antiqua" w:hAnsi="Book Antiqua" w:cs="Times New Roman"/>
          <w:sz w:val="28"/>
          <w:szCs w:val="28"/>
        </w:rPr>
        <w:t>are</w:t>
      </w:r>
      <w:r w:rsidR="004B6648" w:rsidRPr="005B1ED4">
        <w:rPr>
          <w:rFonts w:ascii="Book Antiqua" w:hAnsi="Book Antiqua" w:cs="Times New Roman"/>
          <w:sz w:val="28"/>
          <w:szCs w:val="28"/>
        </w:rPr>
        <w:t xml:space="preserve"> </w:t>
      </w:r>
      <w:r w:rsidR="004B6648" w:rsidRPr="005B1ED4">
        <w:rPr>
          <w:rFonts w:ascii="Book Antiqua" w:hAnsi="Book Antiqua" w:cs="Times New Roman"/>
          <w:i/>
          <w:iCs/>
          <w:sz w:val="28"/>
          <w:szCs w:val="28"/>
        </w:rPr>
        <w:t xml:space="preserve">not </w:t>
      </w:r>
      <w:r w:rsidR="004B6648" w:rsidRPr="005B1ED4">
        <w:rPr>
          <w:rFonts w:ascii="Book Antiqua" w:hAnsi="Book Antiqua" w:cs="Times New Roman"/>
          <w:sz w:val="28"/>
          <w:szCs w:val="28"/>
        </w:rPr>
        <w:t xml:space="preserve">germane. </w:t>
      </w:r>
      <w:r w:rsidR="004B6648" w:rsidRPr="005B1ED4">
        <w:rPr>
          <w:rFonts w:ascii="Book Antiqua" w:hAnsi="Book Antiqua" w:cs="Times New Roman"/>
          <w:i/>
          <w:iCs/>
          <w:sz w:val="28"/>
          <w:szCs w:val="28"/>
        </w:rPr>
        <w:t xml:space="preserve">Id. </w:t>
      </w:r>
      <w:r w:rsidR="00FD7D4F" w:rsidRPr="005B1ED4">
        <w:rPr>
          <w:rFonts w:ascii="Book Antiqua" w:hAnsi="Book Antiqua" w:cs="Times New Roman"/>
          <w:sz w:val="28"/>
          <w:szCs w:val="28"/>
        </w:rPr>
        <w:t>Thus</w:t>
      </w:r>
      <w:r w:rsidR="0042486E" w:rsidRPr="005B1ED4">
        <w:rPr>
          <w:rFonts w:ascii="Book Antiqua" w:hAnsi="Book Antiqua" w:cs="Times New Roman"/>
          <w:sz w:val="28"/>
          <w:szCs w:val="28"/>
        </w:rPr>
        <w:t>, like the Arizona Bar,</w:t>
      </w:r>
      <w:r w:rsidR="00781302" w:rsidRPr="005B1ED4">
        <w:rPr>
          <w:rFonts w:ascii="Book Antiqua" w:hAnsi="Book Antiqua" w:cs="Times New Roman"/>
          <w:sz w:val="28"/>
          <w:szCs w:val="28"/>
        </w:rPr>
        <w:t xml:space="preserve"> </w:t>
      </w:r>
      <w:r w:rsidR="0054357F" w:rsidRPr="005B1ED4">
        <w:rPr>
          <w:rFonts w:ascii="Book Antiqua" w:hAnsi="Book Antiqua" w:cs="Times New Roman"/>
          <w:sz w:val="28"/>
          <w:szCs w:val="28"/>
        </w:rPr>
        <w:t xml:space="preserve">Attorney </w:t>
      </w:r>
      <w:r w:rsidR="00781302" w:rsidRPr="005B1ED4">
        <w:rPr>
          <w:rFonts w:ascii="Book Antiqua" w:hAnsi="Book Antiqua" w:cs="Times New Roman"/>
          <w:sz w:val="28"/>
          <w:szCs w:val="28"/>
        </w:rPr>
        <w:t>G</w:t>
      </w:r>
      <w:r w:rsidR="0054357F" w:rsidRPr="005B1ED4">
        <w:rPr>
          <w:rFonts w:ascii="Book Antiqua" w:hAnsi="Book Antiqua" w:cs="Times New Roman"/>
          <w:sz w:val="28"/>
          <w:szCs w:val="28"/>
        </w:rPr>
        <w:t>eneral</w:t>
      </w:r>
      <w:r w:rsidR="0042486E" w:rsidRPr="005B1ED4">
        <w:rPr>
          <w:rFonts w:ascii="Book Antiqua" w:hAnsi="Book Antiqua" w:cs="Times New Roman"/>
          <w:sz w:val="28"/>
          <w:szCs w:val="28"/>
        </w:rPr>
        <w:t xml:space="preserve"> does not </w:t>
      </w:r>
      <w:r w:rsidR="0096619F" w:rsidRPr="005B1ED4">
        <w:rPr>
          <w:rFonts w:ascii="Book Antiqua" w:hAnsi="Book Antiqua" w:cs="Times New Roman"/>
          <w:sz w:val="28"/>
          <w:szCs w:val="28"/>
        </w:rPr>
        <w:t>even try to</w:t>
      </w:r>
      <w:r w:rsidR="00FD7D4F" w:rsidRPr="005B1ED4">
        <w:rPr>
          <w:rFonts w:ascii="Book Antiqua" w:hAnsi="Book Antiqua" w:cs="Times New Roman"/>
          <w:sz w:val="28"/>
          <w:szCs w:val="28"/>
        </w:rPr>
        <w:t xml:space="preserve"> explain why</w:t>
      </w:r>
      <w:r w:rsidR="0042486E" w:rsidRPr="005B1ED4">
        <w:rPr>
          <w:rFonts w:ascii="Book Antiqua" w:hAnsi="Book Antiqua" w:cs="Times New Roman"/>
          <w:sz w:val="28"/>
          <w:szCs w:val="28"/>
        </w:rPr>
        <w:t xml:space="preserve"> DEI initiatives, gender identity</w:t>
      </w:r>
      <w:r w:rsidR="00FD7D4F" w:rsidRPr="005B1ED4">
        <w:rPr>
          <w:rFonts w:ascii="Book Antiqua" w:hAnsi="Book Antiqua" w:cs="Times New Roman"/>
          <w:sz w:val="28"/>
          <w:szCs w:val="28"/>
        </w:rPr>
        <w:t xml:space="preserve"> education</w:t>
      </w:r>
      <w:r w:rsidR="0042486E" w:rsidRPr="005B1ED4">
        <w:rPr>
          <w:rFonts w:ascii="Book Antiqua" w:hAnsi="Book Antiqua" w:cs="Times New Roman"/>
          <w:sz w:val="28"/>
          <w:szCs w:val="28"/>
        </w:rPr>
        <w:t>,</w:t>
      </w:r>
      <w:r w:rsidR="00FD7D4F" w:rsidRPr="005B1ED4">
        <w:rPr>
          <w:rFonts w:ascii="Book Antiqua" w:hAnsi="Book Antiqua" w:cs="Times New Roman"/>
          <w:sz w:val="28"/>
          <w:szCs w:val="28"/>
        </w:rPr>
        <w:t xml:space="preserve"> and art shows are “germane</w:t>
      </w:r>
      <w:r w:rsidR="00953D58" w:rsidRPr="005B1ED4">
        <w:rPr>
          <w:rFonts w:ascii="Book Antiqua" w:hAnsi="Book Antiqua" w:cs="Times New Roman"/>
          <w:sz w:val="28"/>
          <w:szCs w:val="28"/>
        </w:rPr>
        <w:t>,</w:t>
      </w:r>
      <w:r w:rsidR="00FD7D4F" w:rsidRPr="005B1ED4">
        <w:rPr>
          <w:rFonts w:ascii="Book Antiqua" w:hAnsi="Book Antiqua" w:cs="Times New Roman"/>
          <w:sz w:val="28"/>
          <w:szCs w:val="28"/>
        </w:rPr>
        <w:t>”</w:t>
      </w:r>
      <w:r w:rsidR="00953D58" w:rsidRPr="005B1ED4">
        <w:rPr>
          <w:rFonts w:ascii="Book Antiqua" w:hAnsi="Book Antiqua" w:cs="Times New Roman"/>
          <w:sz w:val="28"/>
          <w:szCs w:val="28"/>
        </w:rPr>
        <w:t xml:space="preserve"> when prison tort reform is not.</w:t>
      </w:r>
      <w:r w:rsidR="00FD7D4F" w:rsidRPr="005B1ED4">
        <w:rPr>
          <w:rFonts w:ascii="Book Antiqua" w:hAnsi="Book Antiqua" w:cs="Times New Roman"/>
          <w:sz w:val="28"/>
          <w:szCs w:val="28"/>
        </w:rPr>
        <w:t xml:space="preserve"> Nor </w:t>
      </w:r>
      <w:r w:rsidR="00C72244" w:rsidRPr="005B1ED4">
        <w:rPr>
          <w:rFonts w:ascii="Book Antiqua" w:hAnsi="Book Antiqua" w:cs="Times New Roman"/>
          <w:sz w:val="28"/>
          <w:szCs w:val="28"/>
        </w:rPr>
        <w:t>can they</w:t>
      </w:r>
      <w:r w:rsidR="00FD7D4F" w:rsidRPr="005B1ED4">
        <w:rPr>
          <w:rFonts w:ascii="Book Antiqua" w:hAnsi="Book Antiqua" w:cs="Times New Roman"/>
          <w:sz w:val="28"/>
          <w:szCs w:val="28"/>
        </w:rPr>
        <w:t xml:space="preserve">. </w:t>
      </w:r>
      <w:r w:rsidR="00D525B0" w:rsidRPr="005B1ED4">
        <w:rPr>
          <w:rFonts w:ascii="Book Antiqua" w:hAnsi="Book Antiqua" w:cs="Times New Roman"/>
          <w:i/>
          <w:iCs/>
          <w:sz w:val="28"/>
          <w:szCs w:val="28"/>
        </w:rPr>
        <w:t>See</w:t>
      </w:r>
      <w:r w:rsidR="00B66A9E" w:rsidRPr="005B1ED4">
        <w:rPr>
          <w:rFonts w:ascii="Book Antiqua" w:hAnsi="Book Antiqua" w:cs="Times New Roman"/>
          <w:sz w:val="28"/>
          <w:szCs w:val="28"/>
        </w:rPr>
        <w:t xml:space="preserve"> </w:t>
      </w:r>
      <w:r w:rsidR="00B66A9E" w:rsidRPr="005B1ED4">
        <w:rPr>
          <w:rFonts w:ascii="Book Antiqua" w:hAnsi="Book Antiqua" w:cs="Times New Roman"/>
          <w:i/>
          <w:iCs/>
          <w:sz w:val="28"/>
          <w:szCs w:val="28"/>
        </w:rPr>
        <w:t>Boudreaux</w:t>
      </w:r>
      <w:r w:rsidR="00B66A9E" w:rsidRPr="005B1ED4">
        <w:rPr>
          <w:rFonts w:ascii="Book Antiqua" w:hAnsi="Book Antiqua" w:cs="Times New Roman"/>
          <w:sz w:val="28"/>
          <w:szCs w:val="28"/>
        </w:rPr>
        <w:t xml:space="preserve">, 86 F.4th </w:t>
      </w:r>
      <w:r w:rsidR="00D525B0" w:rsidRPr="005B1ED4">
        <w:rPr>
          <w:rFonts w:ascii="Book Antiqua" w:hAnsi="Book Antiqua" w:cs="Times New Roman"/>
          <w:sz w:val="28"/>
          <w:szCs w:val="28"/>
        </w:rPr>
        <w:t xml:space="preserve">at </w:t>
      </w:r>
      <w:r w:rsidR="00B66A9E" w:rsidRPr="005B1ED4">
        <w:rPr>
          <w:rFonts w:ascii="Book Antiqua" w:hAnsi="Book Antiqua" w:cs="Times New Roman"/>
          <w:sz w:val="28"/>
          <w:szCs w:val="28"/>
        </w:rPr>
        <w:t xml:space="preserve">640 (“We have noted several instances of non-germane speech by the </w:t>
      </w:r>
      <w:r w:rsidR="00B6060F" w:rsidRPr="005B1ED4">
        <w:rPr>
          <w:rFonts w:ascii="Book Antiqua" w:hAnsi="Book Antiqua" w:cs="Times New Roman"/>
          <w:sz w:val="28"/>
          <w:szCs w:val="28"/>
        </w:rPr>
        <w:t>[bar]</w:t>
      </w:r>
      <w:r w:rsidR="00B66A9E" w:rsidRPr="005B1ED4">
        <w:rPr>
          <w:rFonts w:ascii="Book Antiqua" w:hAnsi="Book Antiqua" w:cs="Times New Roman"/>
          <w:sz w:val="28"/>
          <w:szCs w:val="28"/>
        </w:rPr>
        <w:t>, including, </w:t>
      </w:r>
      <w:r w:rsidR="00B66A9E" w:rsidRPr="005B1ED4">
        <w:rPr>
          <w:rFonts w:ascii="Book Antiqua" w:hAnsi="Book Antiqua" w:cs="Times New Roman"/>
          <w:i/>
          <w:iCs/>
          <w:sz w:val="28"/>
          <w:szCs w:val="28"/>
        </w:rPr>
        <w:t>inter alia</w:t>
      </w:r>
      <w:r w:rsidR="00B66A9E" w:rsidRPr="005B1ED4">
        <w:rPr>
          <w:rFonts w:ascii="Book Antiqua" w:hAnsi="Book Antiqua" w:cs="Times New Roman"/>
          <w:sz w:val="28"/>
          <w:szCs w:val="28"/>
        </w:rPr>
        <w:t>, its promotion of the article about student loan policy and its icon and link celebrating Pride Month.”)</w:t>
      </w:r>
      <w:r w:rsidR="004B06D7" w:rsidRPr="005B1ED4">
        <w:rPr>
          <w:rFonts w:ascii="Book Antiqua" w:hAnsi="Book Antiqua" w:cs="Times New Roman"/>
          <w:sz w:val="28"/>
          <w:szCs w:val="28"/>
        </w:rPr>
        <w:t xml:space="preserve">. If those </w:t>
      </w:r>
      <w:r w:rsidR="001D64A7" w:rsidRPr="005B1ED4">
        <w:rPr>
          <w:rFonts w:ascii="Book Antiqua" w:hAnsi="Book Antiqua" w:cs="Times New Roman"/>
          <w:sz w:val="28"/>
          <w:szCs w:val="28"/>
        </w:rPr>
        <w:t xml:space="preserve">highly </w:t>
      </w:r>
      <w:r w:rsidR="00953D58" w:rsidRPr="005B1ED4">
        <w:rPr>
          <w:rFonts w:ascii="Book Antiqua" w:hAnsi="Book Antiqua" w:cs="Times New Roman"/>
          <w:sz w:val="28"/>
          <w:szCs w:val="28"/>
        </w:rPr>
        <w:t xml:space="preserve">ideological </w:t>
      </w:r>
      <w:r w:rsidR="004B06D7" w:rsidRPr="005B1ED4">
        <w:rPr>
          <w:rFonts w:ascii="Book Antiqua" w:hAnsi="Book Antiqua" w:cs="Times New Roman"/>
          <w:sz w:val="28"/>
          <w:szCs w:val="28"/>
        </w:rPr>
        <w:t>topics are “germane,” then there is no line that could possibly be drawn. Anything political would become legal</w:t>
      </w:r>
      <w:r w:rsidR="00D65A10" w:rsidRPr="005B1ED4">
        <w:rPr>
          <w:rFonts w:ascii="Book Antiqua" w:hAnsi="Book Antiqua" w:cs="Times New Roman"/>
          <w:sz w:val="28"/>
          <w:szCs w:val="28"/>
        </w:rPr>
        <w:t>, swallowing the rule altogether.</w:t>
      </w:r>
    </w:p>
    <w:p w14:paraId="070FE1D7" w14:textId="6E79C445" w:rsidR="000308F0" w:rsidRPr="005B1ED4" w:rsidRDefault="000308F0" w:rsidP="009F4742">
      <w:pPr>
        <w:spacing w:after="0" w:line="480" w:lineRule="auto"/>
        <w:ind w:firstLine="720"/>
        <w:jc w:val="both"/>
        <w:rPr>
          <w:rFonts w:ascii="Book Antiqua" w:hAnsi="Book Antiqua" w:cs="Times New Roman"/>
          <w:kern w:val="0"/>
          <w:sz w:val="28"/>
          <w:szCs w:val="28"/>
        </w:rPr>
      </w:pPr>
      <w:r w:rsidRPr="005B1ED4">
        <w:rPr>
          <w:rFonts w:ascii="Book Antiqua" w:hAnsi="Book Antiqua" w:cs="Times New Roman"/>
          <w:sz w:val="28"/>
          <w:szCs w:val="28"/>
        </w:rPr>
        <w:lastRenderedPageBreak/>
        <w:t xml:space="preserve">Finally, the </w:t>
      </w:r>
      <w:r w:rsidR="0054357F" w:rsidRPr="005B1ED4">
        <w:rPr>
          <w:rFonts w:ascii="Book Antiqua" w:hAnsi="Book Antiqua" w:cs="Times New Roman"/>
          <w:sz w:val="28"/>
          <w:szCs w:val="28"/>
        </w:rPr>
        <w:t xml:space="preserve">Attorney </w:t>
      </w:r>
      <w:r w:rsidR="00781302" w:rsidRPr="005B1ED4">
        <w:rPr>
          <w:rFonts w:ascii="Book Antiqua" w:hAnsi="Book Antiqua" w:cs="Times New Roman"/>
          <w:sz w:val="28"/>
          <w:szCs w:val="28"/>
        </w:rPr>
        <w:t>G</w:t>
      </w:r>
      <w:r w:rsidR="0054357F" w:rsidRPr="005B1ED4">
        <w:rPr>
          <w:rFonts w:ascii="Book Antiqua" w:hAnsi="Book Antiqua" w:cs="Times New Roman"/>
          <w:sz w:val="28"/>
          <w:szCs w:val="28"/>
        </w:rPr>
        <w:t>eneral</w:t>
      </w:r>
      <w:r w:rsidR="00781302" w:rsidRPr="005B1ED4">
        <w:rPr>
          <w:rFonts w:ascii="Book Antiqua" w:hAnsi="Book Antiqua" w:cs="Times New Roman"/>
          <w:sz w:val="28"/>
          <w:szCs w:val="28"/>
        </w:rPr>
        <w:t xml:space="preserve"> </w:t>
      </w:r>
      <w:r w:rsidRPr="005B1ED4">
        <w:rPr>
          <w:rFonts w:ascii="Book Antiqua" w:hAnsi="Book Antiqua" w:cs="Times New Roman"/>
          <w:sz w:val="28"/>
          <w:szCs w:val="28"/>
        </w:rPr>
        <w:t xml:space="preserve">suggests that the opt-out provisions </w:t>
      </w:r>
      <w:r w:rsidR="00781302" w:rsidRPr="005B1ED4">
        <w:rPr>
          <w:rFonts w:ascii="Book Antiqua" w:hAnsi="Book Antiqua" w:cs="Times New Roman"/>
          <w:sz w:val="28"/>
          <w:szCs w:val="28"/>
        </w:rPr>
        <w:t>make this</w:t>
      </w:r>
      <w:r w:rsidRPr="005B1ED4">
        <w:rPr>
          <w:rFonts w:ascii="Book Antiqua" w:hAnsi="Book Antiqua" w:cs="Times New Roman"/>
          <w:sz w:val="28"/>
          <w:szCs w:val="28"/>
        </w:rPr>
        <w:t xml:space="preserve"> non-</w:t>
      </w:r>
      <w:proofErr w:type="gramStart"/>
      <w:r w:rsidRPr="005B1ED4">
        <w:rPr>
          <w:rFonts w:ascii="Book Antiqua" w:hAnsi="Book Antiqua" w:cs="Times New Roman"/>
          <w:sz w:val="28"/>
          <w:szCs w:val="28"/>
        </w:rPr>
        <w:t>germane</w:t>
      </w:r>
      <w:proofErr w:type="gramEnd"/>
      <w:r w:rsidRPr="005B1ED4">
        <w:rPr>
          <w:rFonts w:ascii="Book Antiqua" w:hAnsi="Book Antiqua" w:cs="Times New Roman"/>
          <w:sz w:val="28"/>
          <w:szCs w:val="28"/>
        </w:rPr>
        <w:t xml:space="preserve"> speech</w:t>
      </w:r>
      <w:r w:rsidR="00781302" w:rsidRPr="005B1ED4">
        <w:rPr>
          <w:rFonts w:ascii="Book Antiqua" w:hAnsi="Book Antiqua" w:cs="Times New Roman"/>
          <w:sz w:val="28"/>
          <w:szCs w:val="28"/>
        </w:rPr>
        <w:t xml:space="preserve"> acceptable</w:t>
      </w:r>
      <w:r w:rsidRPr="005B1ED4">
        <w:rPr>
          <w:rFonts w:ascii="Book Antiqua" w:hAnsi="Book Antiqua" w:cs="Times New Roman"/>
          <w:sz w:val="28"/>
          <w:szCs w:val="28"/>
        </w:rPr>
        <w:t xml:space="preserve">. </w:t>
      </w:r>
      <w:r w:rsidRPr="005B1ED4">
        <w:rPr>
          <w:rFonts w:ascii="Book Antiqua" w:hAnsi="Book Antiqua" w:cs="Times New Roman"/>
          <w:i/>
          <w:iCs/>
          <w:sz w:val="28"/>
          <w:szCs w:val="28"/>
        </w:rPr>
        <w:t xml:space="preserve">See </w:t>
      </w:r>
      <w:r w:rsidR="0054357F" w:rsidRPr="005B1ED4">
        <w:rPr>
          <w:rFonts w:ascii="Book Antiqua" w:hAnsi="Book Antiqua" w:cs="Times New Roman"/>
          <w:sz w:val="28"/>
          <w:szCs w:val="28"/>
        </w:rPr>
        <w:t>A</w:t>
      </w:r>
      <w:r w:rsidRPr="005B1ED4">
        <w:rPr>
          <w:rFonts w:ascii="Book Antiqua" w:hAnsi="Book Antiqua" w:cs="Times New Roman"/>
          <w:sz w:val="28"/>
          <w:szCs w:val="28"/>
        </w:rPr>
        <w:t xml:space="preserve">G Comm. at 8. </w:t>
      </w:r>
      <w:r w:rsidR="00F4502D" w:rsidRPr="005B1ED4">
        <w:rPr>
          <w:rFonts w:ascii="Book Antiqua" w:hAnsi="Book Antiqua" w:cs="Times New Roman"/>
          <w:sz w:val="28"/>
          <w:szCs w:val="28"/>
        </w:rPr>
        <w:t xml:space="preserve">No so. </w:t>
      </w:r>
      <w:r w:rsidR="00072344" w:rsidRPr="005B1ED4">
        <w:rPr>
          <w:rFonts w:ascii="Book Antiqua" w:hAnsi="Book Antiqua" w:cs="Times New Roman"/>
          <w:sz w:val="28"/>
          <w:szCs w:val="28"/>
        </w:rPr>
        <w:t>S</w:t>
      </w:r>
      <w:r w:rsidR="00F4502D" w:rsidRPr="005B1ED4">
        <w:rPr>
          <w:rFonts w:ascii="Book Antiqua" w:hAnsi="Book Antiqua" w:cs="Times New Roman"/>
          <w:sz w:val="28"/>
          <w:szCs w:val="28"/>
        </w:rPr>
        <w:t>o-called</w:t>
      </w:r>
      <w:r w:rsidRPr="005B1ED4">
        <w:rPr>
          <w:rFonts w:ascii="Book Antiqua" w:hAnsi="Book Antiqua" w:cs="Times New Roman"/>
          <w:sz w:val="28"/>
          <w:szCs w:val="28"/>
        </w:rPr>
        <w:t xml:space="preserve"> “</w:t>
      </w:r>
      <w:r w:rsidRPr="005B1ED4">
        <w:rPr>
          <w:rFonts w:ascii="Book Antiqua" w:hAnsi="Book Antiqua" w:cs="Times New Roman"/>
          <w:i/>
          <w:iCs/>
          <w:sz w:val="28"/>
          <w:szCs w:val="28"/>
        </w:rPr>
        <w:t xml:space="preserve">Keller </w:t>
      </w:r>
      <w:r w:rsidRPr="005B1ED4">
        <w:rPr>
          <w:rFonts w:ascii="Book Antiqua" w:hAnsi="Book Antiqua" w:cs="Times New Roman"/>
          <w:sz w:val="28"/>
          <w:szCs w:val="28"/>
        </w:rPr>
        <w:t>dues reductions” are unmanageable</w:t>
      </w:r>
      <w:r w:rsidR="006701FF" w:rsidRPr="005B1ED4">
        <w:rPr>
          <w:rFonts w:ascii="Book Antiqua" w:hAnsi="Book Antiqua" w:cs="Times New Roman"/>
          <w:sz w:val="28"/>
          <w:szCs w:val="28"/>
        </w:rPr>
        <w:t xml:space="preserve">, with </w:t>
      </w:r>
      <w:r w:rsidRPr="005B1ED4">
        <w:rPr>
          <w:rFonts w:ascii="Book Antiqua" w:hAnsi="Book Antiqua" w:cs="Times New Roman"/>
          <w:sz w:val="28"/>
          <w:szCs w:val="28"/>
        </w:rPr>
        <w:t xml:space="preserve">opaque </w:t>
      </w:r>
      <w:r w:rsidR="00F0670D" w:rsidRPr="005B1ED4">
        <w:rPr>
          <w:rFonts w:ascii="Book Antiqua" w:hAnsi="Book Antiqua" w:cs="Times New Roman"/>
          <w:sz w:val="28"/>
          <w:szCs w:val="28"/>
        </w:rPr>
        <w:t xml:space="preserve">and </w:t>
      </w:r>
      <w:r w:rsidR="002C7EBB" w:rsidRPr="005B1ED4">
        <w:rPr>
          <w:rFonts w:ascii="Book Antiqua" w:hAnsi="Book Antiqua" w:cs="Times New Roman"/>
          <w:sz w:val="28"/>
          <w:szCs w:val="28"/>
        </w:rPr>
        <w:t>labyrinthine</w:t>
      </w:r>
      <w:r w:rsidR="00F0670D" w:rsidRPr="005B1ED4">
        <w:rPr>
          <w:rFonts w:ascii="Book Antiqua" w:hAnsi="Book Antiqua" w:cs="Times New Roman"/>
          <w:sz w:val="28"/>
          <w:szCs w:val="28"/>
        </w:rPr>
        <w:t xml:space="preserve"> </w:t>
      </w:r>
      <w:r w:rsidRPr="005B1ED4">
        <w:rPr>
          <w:rFonts w:ascii="Book Antiqua" w:hAnsi="Book Antiqua" w:cs="Times New Roman"/>
          <w:sz w:val="28"/>
          <w:szCs w:val="28"/>
        </w:rPr>
        <w:t>procedures</w:t>
      </w:r>
      <w:r w:rsidR="009F4742" w:rsidRPr="005B1ED4">
        <w:rPr>
          <w:rFonts w:ascii="Book Antiqua" w:hAnsi="Book Antiqua" w:cs="Times New Roman"/>
          <w:sz w:val="28"/>
          <w:szCs w:val="28"/>
        </w:rPr>
        <w:t>. T</w:t>
      </w:r>
      <w:r w:rsidR="00A57058" w:rsidRPr="005B1ED4">
        <w:rPr>
          <w:rFonts w:ascii="Book Antiqua" w:hAnsi="Book Antiqua" w:cs="Times New Roman"/>
          <w:sz w:val="28"/>
          <w:szCs w:val="28"/>
        </w:rPr>
        <w:t xml:space="preserve">hey </w:t>
      </w:r>
      <w:r w:rsidR="002C7EBB" w:rsidRPr="005B1ED4">
        <w:rPr>
          <w:rFonts w:ascii="Book Antiqua" w:hAnsi="Book Antiqua" w:cs="Times New Roman"/>
          <w:sz w:val="28"/>
          <w:szCs w:val="28"/>
        </w:rPr>
        <w:t>do not cure</w:t>
      </w:r>
      <w:r w:rsidRPr="005B1ED4">
        <w:rPr>
          <w:rFonts w:ascii="Book Antiqua" w:hAnsi="Book Antiqua" w:cs="Times New Roman"/>
          <w:sz w:val="28"/>
          <w:szCs w:val="28"/>
        </w:rPr>
        <w:t xml:space="preserve"> </w:t>
      </w:r>
      <w:proofErr w:type="gramStart"/>
      <w:r w:rsidRPr="005B1ED4">
        <w:rPr>
          <w:rFonts w:ascii="Book Antiqua" w:hAnsi="Book Antiqua" w:cs="Times New Roman"/>
          <w:sz w:val="28"/>
          <w:szCs w:val="28"/>
        </w:rPr>
        <w:t>First</w:t>
      </w:r>
      <w:proofErr w:type="gramEnd"/>
      <w:r w:rsidRPr="005B1ED4">
        <w:rPr>
          <w:rFonts w:ascii="Book Antiqua" w:hAnsi="Book Antiqua" w:cs="Times New Roman"/>
          <w:sz w:val="28"/>
          <w:szCs w:val="28"/>
        </w:rPr>
        <w:t xml:space="preserve"> Amendment </w:t>
      </w:r>
      <w:r w:rsidR="002C7EBB" w:rsidRPr="005B1ED4">
        <w:rPr>
          <w:rFonts w:ascii="Book Antiqua" w:hAnsi="Book Antiqua" w:cs="Times New Roman"/>
          <w:sz w:val="28"/>
          <w:szCs w:val="28"/>
        </w:rPr>
        <w:t xml:space="preserve">compelled speech </w:t>
      </w:r>
      <w:r w:rsidR="00C14067" w:rsidRPr="005B1ED4">
        <w:rPr>
          <w:rFonts w:ascii="Book Antiqua" w:hAnsi="Book Antiqua" w:cs="Times New Roman"/>
          <w:sz w:val="28"/>
          <w:szCs w:val="28"/>
        </w:rPr>
        <w:t>problem</w:t>
      </w:r>
      <w:r w:rsidR="00F0670D" w:rsidRPr="005B1ED4">
        <w:rPr>
          <w:rFonts w:ascii="Book Antiqua" w:hAnsi="Book Antiqua" w:cs="Times New Roman"/>
          <w:sz w:val="28"/>
          <w:szCs w:val="28"/>
        </w:rPr>
        <w:t xml:space="preserve"> because it is too much of a </w:t>
      </w:r>
      <w:r w:rsidR="00C14067" w:rsidRPr="005B1ED4">
        <w:rPr>
          <w:rFonts w:ascii="Book Antiqua" w:hAnsi="Book Antiqua" w:cs="Times New Roman"/>
          <w:sz w:val="28"/>
          <w:szCs w:val="28"/>
        </w:rPr>
        <w:t>burden</w:t>
      </w:r>
      <w:r w:rsidR="00BC7DE9" w:rsidRPr="005B1ED4">
        <w:rPr>
          <w:rFonts w:ascii="Book Antiqua" w:hAnsi="Book Antiqua" w:cs="Times New Roman"/>
          <w:sz w:val="28"/>
          <w:szCs w:val="28"/>
        </w:rPr>
        <w:t xml:space="preserve"> for lawyers</w:t>
      </w:r>
      <w:r w:rsidR="00F0670D" w:rsidRPr="005B1ED4">
        <w:rPr>
          <w:rFonts w:ascii="Book Antiqua" w:hAnsi="Book Antiqua" w:cs="Times New Roman"/>
          <w:sz w:val="28"/>
          <w:szCs w:val="28"/>
        </w:rPr>
        <w:t xml:space="preserve"> to challenge violations</w:t>
      </w:r>
      <w:r w:rsidR="00A57058" w:rsidRPr="005B1ED4">
        <w:rPr>
          <w:rFonts w:ascii="Book Antiqua" w:hAnsi="Book Antiqua" w:cs="Times New Roman"/>
          <w:sz w:val="28"/>
          <w:szCs w:val="28"/>
        </w:rPr>
        <w:t xml:space="preserve"> and bar members </w:t>
      </w:r>
      <w:r w:rsidR="009F4742" w:rsidRPr="005B1ED4">
        <w:rPr>
          <w:rFonts w:ascii="Book Antiqua" w:hAnsi="Book Antiqua" w:cs="Times New Roman"/>
          <w:sz w:val="28"/>
          <w:szCs w:val="28"/>
        </w:rPr>
        <w:t>are</w:t>
      </w:r>
      <w:r w:rsidR="00A57058" w:rsidRPr="005B1ED4">
        <w:rPr>
          <w:rFonts w:ascii="Book Antiqua" w:hAnsi="Book Antiqua" w:cs="Times New Roman"/>
          <w:sz w:val="28"/>
          <w:szCs w:val="28"/>
        </w:rPr>
        <w:t xml:space="preserve"> afraid to upset their regulator</w:t>
      </w:r>
      <w:r w:rsidRPr="005B1ED4">
        <w:rPr>
          <w:rFonts w:ascii="Book Antiqua" w:hAnsi="Book Antiqua" w:cs="Times New Roman"/>
          <w:sz w:val="28"/>
          <w:szCs w:val="28"/>
        </w:rPr>
        <w:t xml:space="preserve">. </w:t>
      </w:r>
      <w:r w:rsidR="00A65670" w:rsidRPr="005B1ED4">
        <w:rPr>
          <w:rFonts w:ascii="Book Antiqua" w:hAnsi="Book Antiqua" w:cs="Times New Roman"/>
          <w:i/>
          <w:iCs/>
          <w:sz w:val="28"/>
          <w:szCs w:val="28"/>
        </w:rPr>
        <w:t xml:space="preserve">See </w:t>
      </w:r>
      <w:r w:rsidR="001803A0" w:rsidRPr="005B1ED4">
        <w:rPr>
          <w:rFonts w:ascii="Book Antiqua" w:hAnsi="Book Antiqua" w:cs="Times New Roman"/>
          <w:sz w:val="28"/>
          <w:szCs w:val="28"/>
        </w:rPr>
        <w:t>Goldwater Inst. Comm. at</w:t>
      </w:r>
      <w:r w:rsidR="00A65670" w:rsidRPr="005B1ED4">
        <w:rPr>
          <w:rFonts w:ascii="Book Antiqua" w:hAnsi="Book Antiqua" w:cs="Times New Roman"/>
          <w:sz w:val="28"/>
          <w:szCs w:val="28"/>
        </w:rPr>
        <w:t xml:space="preserve"> 5–8 </w:t>
      </w:r>
      <w:r w:rsidR="001E4798" w:rsidRPr="005B1ED4">
        <w:rPr>
          <w:rFonts w:ascii="Book Antiqua" w:hAnsi="Book Antiqua" w:cs="Times New Roman"/>
          <w:sz w:val="28"/>
          <w:szCs w:val="28"/>
        </w:rPr>
        <w:t xml:space="preserve">(May 1, 2025) </w:t>
      </w:r>
      <w:r w:rsidR="00A65670" w:rsidRPr="005B1ED4">
        <w:rPr>
          <w:rFonts w:ascii="Book Antiqua" w:hAnsi="Book Antiqua" w:cs="Times New Roman"/>
          <w:sz w:val="28"/>
          <w:szCs w:val="28"/>
        </w:rPr>
        <w:t>(“The current ‘opt out’ system</w:t>
      </w:r>
      <w:r w:rsidR="003B4249" w:rsidRPr="005B1ED4">
        <w:rPr>
          <w:rFonts w:ascii="Book Antiqua" w:hAnsi="Book Antiqua" w:cs="Times New Roman"/>
          <w:sz w:val="28"/>
          <w:szCs w:val="28"/>
        </w:rPr>
        <w:t xml:space="preserve"> . . .</w:t>
      </w:r>
      <w:r w:rsidR="00A65670" w:rsidRPr="005B1ED4">
        <w:rPr>
          <w:rFonts w:ascii="Book Antiqua" w:hAnsi="Book Antiqua" w:cs="Times New Roman"/>
          <w:sz w:val="28"/>
          <w:szCs w:val="28"/>
        </w:rPr>
        <w:t xml:space="preserve"> cannot be said to protect members from having their dues used to fund speech with which they disagree.”); </w:t>
      </w:r>
      <w:r w:rsidR="00A65670" w:rsidRPr="005B1ED4">
        <w:rPr>
          <w:rFonts w:ascii="Book Antiqua" w:hAnsi="Book Antiqua" w:cs="Times New Roman"/>
          <w:i/>
          <w:iCs/>
          <w:sz w:val="28"/>
          <w:szCs w:val="28"/>
        </w:rPr>
        <w:t>s</w:t>
      </w:r>
      <w:r w:rsidRPr="005B1ED4">
        <w:rPr>
          <w:rFonts w:ascii="Book Antiqua" w:hAnsi="Book Antiqua" w:cs="Times New Roman"/>
          <w:i/>
          <w:iCs/>
          <w:sz w:val="28"/>
          <w:szCs w:val="28"/>
        </w:rPr>
        <w:t>ee</w:t>
      </w:r>
      <w:r w:rsidR="00A65670" w:rsidRPr="005B1ED4">
        <w:rPr>
          <w:rFonts w:ascii="Book Antiqua" w:hAnsi="Book Antiqua" w:cs="Times New Roman"/>
          <w:i/>
          <w:iCs/>
          <w:sz w:val="28"/>
          <w:szCs w:val="28"/>
        </w:rPr>
        <w:t xml:space="preserve"> also</w:t>
      </w:r>
      <w:r w:rsidRPr="005B1ED4">
        <w:rPr>
          <w:rFonts w:ascii="Book Antiqua" w:hAnsi="Book Antiqua" w:cs="Times New Roman"/>
          <w:i/>
          <w:iCs/>
          <w:sz w:val="28"/>
          <w:szCs w:val="28"/>
        </w:rPr>
        <w:t xml:space="preserve"> McDonald, </w:t>
      </w:r>
      <w:r w:rsidRPr="005B1ED4">
        <w:rPr>
          <w:rFonts w:ascii="Book Antiqua" w:hAnsi="Book Antiqua" w:cs="Times New Roman"/>
          <w:sz w:val="28"/>
          <w:szCs w:val="28"/>
        </w:rPr>
        <w:t>4 F.4th at 254 (</w:t>
      </w:r>
      <w:r w:rsidR="00F542C6" w:rsidRPr="005B1ED4">
        <w:rPr>
          <w:rFonts w:ascii="Book Antiqua" w:hAnsi="Book Antiqua" w:cs="Times New Roman"/>
          <w:sz w:val="28"/>
          <w:szCs w:val="28"/>
        </w:rPr>
        <w:t>the bar “</w:t>
      </w:r>
      <w:r w:rsidRPr="005B1ED4">
        <w:rPr>
          <w:rFonts w:ascii="Book Antiqua" w:hAnsi="Book Antiqua" w:cs="Times New Roman"/>
          <w:sz w:val="28"/>
          <w:szCs w:val="28"/>
        </w:rPr>
        <w:t>places the onus on objecting attorneys to parse the Bar’s proposed budget”).</w:t>
      </w:r>
      <w:r w:rsidRPr="005B1ED4">
        <w:rPr>
          <w:rFonts w:ascii="Book Antiqua" w:hAnsi="Book Antiqua" w:cs="Times New Roman"/>
          <w:kern w:val="0"/>
          <w:sz w:val="28"/>
          <w:szCs w:val="28"/>
        </w:rPr>
        <w:t xml:space="preserve"> </w:t>
      </w:r>
      <w:r w:rsidRPr="005B1ED4">
        <w:rPr>
          <w:rFonts w:ascii="Book Antiqua" w:hAnsi="Book Antiqua" w:cs="Times New Roman"/>
          <w:sz w:val="28"/>
          <w:szCs w:val="28"/>
        </w:rPr>
        <w:t xml:space="preserve">Moreover, money is fungible, so an attorney cannot support only </w:t>
      </w:r>
      <w:r w:rsidRPr="005B1ED4">
        <w:rPr>
          <w:rFonts w:ascii="Book Antiqua" w:hAnsi="Book Antiqua" w:cs="Times New Roman"/>
          <w:i/>
          <w:iCs/>
          <w:sz w:val="28"/>
          <w:szCs w:val="28"/>
        </w:rPr>
        <w:t>some</w:t>
      </w:r>
      <w:r w:rsidRPr="005B1ED4">
        <w:rPr>
          <w:rFonts w:ascii="Book Antiqua" w:hAnsi="Book Antiqua" w:cs="Times New Roman"/>
          <w:sz w:val="28"/>
          <w:szCs w:val="28"/>
        </w:rPr>
        <w:t xml:space="preserve"> of a bar’s activities. An attorney who </w:t>
      </w:r>
      <w:r w:rsidR="008D491A" w:rsidRPr="005B1ED4">
        <w:rPr>
          <w:rFonts w:ascii="Book Antiqua" w:hAnsi="Book Antiqua" w:cs="Times New Roman"/>
          <w:sz w:val="28"/>
          <w:szCs w:val="28"/>
        </w:rPr>
        <w:t>funds</w:t>
      </w:r>
      <w:r w:rsidRPr="005B1ED4">
        <w:rPr>
          <w:rFonts w:ascii="Book Antiqua" w:hAnsi="Book Antiqua" w:cs="Times New Roman"/>
          <w:sz w:val="28"/>
          <w:szCs w:val="28"/>
        </w:rPr>
        <w:t xml:space="preserve"> a mandatory bar—for any of its activities—necessarily promotes the bar</w:t>
      </w:r>
      <w:r w:rsidR="00F542C6" w:rsidRPr="005B1ED4">
        <w:rPr>
          <w:rFonts w:ascii="Book Antiqua" w:hAnsi="Book Antiqua" w:cs="Times New Roman"/>
          <w:sz w:val="28"/>
          <w:szCs w:val="28"/>
        </w:rPr>
        <w:t xml:space="preserve"> </w:t>
      </w:r>
      <w:r w:rsidR="00FE55F1" w:rsidRPr="005B1ED4">
        <w:rPr>
          <w:rFonts w:ascii="Book Antiqua" w:hAnsi="Book Antiqua" w:cs="Times New Roman"/>
          <w:sz w:val="28"/>
          <w:szCs w:val="28"/>
        </w:rPr>
        <w:t>overall</w:t>
      </w:r>
      <w:r w:rsidR="0005740C" w:rsidRPr="005B1ED4">
        <w:rPr>
          <w:rFonts w:ascii="Book Antiqua" w:hAnsi="Book Antiqua" w:cs="Times New Roman"/>
          <w:sz w:val="28"/>
          <w:szCs w:val="28"/>
        </w:rPr>
        <w:t xml:space="preserve"> and frees up money </w:t>
      </w:r>
      <w:r w:rsidR="00EA50D9" w:rsidRPr="005B1ED4">
        <w:rPr>
          <w:rFonts w:ascii="Book Antiqua" w:hAnsi="Book Antiqua" w:cs="Times New Roman"/>
          <w:sz w:val="28"/>
          <w:szCs w:val="28"/>
        </w:rPr>
        <w:t>for</w:t>
      </w:r>
      <w:r w:rsidR="0005740C" w:rsidRPr="005B1ED4">
        <w:rPr>
          <w:rFonts w:ascii="Book Antiqua" w:hAnsi="Book Antiqua" w:cs="Times New Roman"/>
          <w:sz w:val="28"/>
          <w:szCs w:val="28"/>
        </w:rPr>
        <w:t xml:space="preserve"> the bar to support political activit</w:t>
      </w:r>
      <w:r w:rsidR="00F542C6" w:rsidRPr="005B1ED4">
        <w:rPr>
          <w:rFonts w:ascii="Book Antiqua" w:hAnsi="Book Antiqua" w:cs="Times New Roman"/>
          <w:sz w:val="28"/>
          <w:szCs w:val="28"/>
        </w:rPr>
        <w:t>ies</w:t>
      </w:r>
      <w:r w:rsidRPr="005B1ED4">
        <w:rPr>
          <w:rFonts w:ascii="Book Antiqua" w:hAnsi="Book Antiqua" w:cs="Times New Roman"/>
          <w:sz w:val="28"/>
          <w:szCs w:val="28"/>
        </w:rPr>
        <w:t>.</w:t>
      </w:r>
      <w:r w:rsidR="00F542C6" w:rsidRPr="005B1ED4">
        <w:rPr>
          <w:rFonts w:ascii="Book Antiqua" w:hAnsi="Book Antiqua" w:cs="Times New Roman"/>
          <w:sz w:val="28"/>
          <w:szCs w:val="28"/>
        </w:rPr>
        <w:t xml:space="preserve"> </w:t>
      </w:r>
      <w:r w:rsidR="00F542C6" w:rsidRPr="005B1ED4">
        <w:rPr>
          <w:rFonts w:ascii="Book Antiqua" w:hAnsi="Book Antiqua" w:cs="Times New Roman"/>
          <w:i/>
          <w:iCs/>
          <w:sz w:val="28"/>
          <w:szCs w:val="28"/>
        </w:rPr>
        <w:t>See Retail Clerks Int’l Ass’n, Local 1625 v. Schermerhorn</w:t>
      </w:r>
      <w:r w:rsidR="00F542C6" w:rsidRPr="005B1ED4">
        <w:rPr>
          <w:rFonts w:ascii="Book Antiqua" w:hAnsi="Book Antiqua" w:cs="Times New Roman"/>
          <w:sz w:val="28"/>
          <w:szCs w:val="28"/>
        </w:rPr>
        <w:t>, 373</w:t>
      </w:r>
      <w:r w:rsidR="00F542C6" w:rsidRPr="005B1ED4">
        <w:rPr>
          <w:rFonts w:ascii="Book Antiqua" w:hAnsi="Book Antiqua" w:cs="Times New Roman"/>
          <w:i/>
          <w:iCs/>
          <w:sz w:val="28"/>
          <w:szCs w:val="28"/>
        </w:rPr>
        <w:t xml:space="preserve"> </w:t>
      </w:r>
      <w:r w:rsidR="00F542C6" w:rsidRPr="005B1ED4">
        <w:rPr>
          <w:rFonts w:ascii="Book Antiqua" w:hAnsi="Book Antiqua" w:cs="Times New Roman"/>
          <w:sz w:val="28"/>
          <w:szCs w:val="28"/>
        </w:rPr>
        <w:t>U.S. 746, 753 (1963) (“[O]ur cases have recognized</w:t>
      </w:r>
      <w:r w:rsidR="00F542C6" w:rsidRPr="005B1ED4">
        <w:rPr>
          <w:rFonts w:ascii="Book Antiqua" w:hAnsi="Book Antiqua" w:cs="Times New Roman"/>
          <w:i/>
          <w:iCs/>
          <w:sz w:val="28"/>
          <w:szCs w:val="28"/>
        </w:rPr>
        <w:t xml:space="preserve"> </w:t>
      </w:r>
      <w:r w:rsidR="00F542C6" w:rsidRPr="005B1ED4">
        <w:rPr>
          <w:rFonts w:ascii="Book Antiqua" w:hAnsi="Book Antiqua" w:cs="Times New Roman"/>
          <w:sz w:val="28"/>
          <w:szCs w:val="28"/>
        </w:rPr>
        <w:t>that a union’s money is fungible, so even if the new fee</w:t>
      </w:r>
      <w:r w:rsidR="00F542C6" w:rsidRPr="005B1ED4">
        <w:rPr>
          <w:rFonts w:ascii="Book Antiqua" w:hAnsi="Book Antiqua" w:cs="Times New Roman"/>
          <w:i/>
          <w:iCs/>
          <w:sz w:val="28"/>
          <w:szCs w:val="28"/>
        </w:rPr>
        <w:t xml:space="preserve"> </w:t>
      </w:r>
      <w:r w:rsidR="00F542C6" w:rsidRPr="005B1ED4">
        <w:rPr>
          <w:rFonts w:ascii="Book Antiqua" w:hAnsi="Book Antiqua" w:cs="Times New Roman"/>
          <w:sz w:val="28"/>
          <w:szCs w:val="28"/>
        </w:rPr>
        <w:t>were spent entirely for nonpolitical activities, it would</w:t>
      </w:r>
      <w:r w:rsidR="00F542C6" w:rsidRPr="005B1ED4">
        <w:rPr>
          <w:rFonts w:ascii="Book Antiqua" w:hAnsi="Book Antiqua" w:cs="Times New Roman"/>
          <w:i/>
          <w:iCs/>
          <w:sz w:val="28"/>
          <w:szCs w:val="28"/>
        </w:rPr>
        <w:t xml:space="preserve"> </w:t>
      </w:r>
      <w:r w:rsidR="00F542C6" w:rsidRPr="005B1ED4">
        <w:rPr>
          <w:rFonts w:ascii="Book Antiqua" w:hAnsi="Book Antiqua" w:cs="Times New Roman"/>
          <w:sz w:val="28"/>
          <w:szCs w:val="28"/>
        </w:rPr>
        <w:t>free up funds to be spent for political purposes.”).</w:t>
      </w:r>
      <w:r w:rsidR="000D7079" w:rsidRPr="005B1ED4">
        <w:rPr>
          <w:rFonts w:ascii="Book Antiqua" w:hAnsi="Book Antiqua" w:cs="Times New Roman"/>
          <w:sz w:val="28"/>
          <w:szCs w:val="28"/>
        </w:rPr>
        <w:t xml:space="preserve"> </w:t>
      </w:r>
    </w:p>
    <w:p w14:paraId="7034003D" w14:textId="17418A07" w:rsidR="00775DF0" w:rsidRPr="005B1ED4" w:rsidRDefault="00F20739" w:rsidP="008F339F">
      <w:pPr>
        <w:pStyle w:val="ListParagraph"/>
        <w:keepNext/>
        <w:numPr>
          <w:ilvl w:val="0"/>
          <w:numId w:val="3"/>
        </w:numPr>
        <w:spacing w:after="240" w:line="240" w:lineRule="auto"/>
        <w:contextualSpacing w:val="0"/>
        <w:jc w:val="both"/>
        <w:rPr>
          <w:rFonts w:ascii="Book Antiqua" w:hAnsi="Book Antiqua" w:cs="Times New Roman"/>
          <w:b/>
          <w:bCs/>
          <w:sz w:val="28"/>
          <w:szCs w:val="28"/>
        </w:rPr>
      </w:pPr>
      <w:proofErr w:type="gramStart"/>
      <w:r w:rsidRPr="005B1ED4">
        <w:rPr>
          <w:rFonts w:ascii="Book Antiqua" w:hAnsi="Book Antiqua" w:cs="Times New Roman"/>
          <w:b/>
          <w:bCs/>
          <w:sz w:val="28"/>
          <w:szCs w:val="28"/>
        </w:rPr>
        <w:lastRenderedPageBreak/>
        <w:t>T</w:t>
      </w:r>
      <w:r w:rsidR="008F339F" w:rsidRPr="005B1ED4">
        <w:rPr>
          <w:rFonts w:ascii="Book Antiqua" w:hAnsi="Book Antiqua" w:cs="Times New Roman"/>
          <w:b/>
          <w:bCs/>
          <w:sz w:val="28"/>
          <w:szCs w:val="28"/>
        </w:rPr>
        <w:t xml:space="preserve">he </w:t>
      </w:r>
      <w:r w:rsidR="00782D94" w:rsidRPr="005B1ED4">
        <w:rPr>
          <w:rFonts w:ascii="Book Antiqua" w:hAnsi="Book Antiqua" w:cs="Times New Roman"/>
          <w:b/>
          <w:bCs/>
          <w:sz w:val="28"/>
          <w:szCs w:val="28"/>
        </w:rPr>
        <w:t>Petition</w:t>
      </w:r>
      <w:proofErr w:type="gramEnd"/>
      <w:r w:rsidR="00782D94" w:rsidRPr="005B1ED4">
        <w:rPr>
          <w:rFonts w:ascii="Book Antiqua" w:hAnsi="Book Antiqua" w:cs="Times New Roman"/>
          <w:b/>
          <w:bCs/>
          <w:sz w:val="28"/>
          <w:szCs w:val="28"/>
        </w:rPr>
        <w:t xml:space="preserve"> </w:t>
      </w:r>
      <w:r w:rsidR="008F339F" w:rsidRPr="005B1ED4">
        <w:rPr>
          <w:rFonts w:ascii="Book Antiqua" w:hAnsi="Book Antiqua" w:cs="Times New Roman"/>
          <w:b/>
          <w:bCs/>
          <w:sz w:val="28"/>
          <w:szCs w:val="28"/>
        </w:rPr>
        <w:t xml:space="preserve">Opponents Fail </w:t>
      </w:r>
      <w:proofErr w:type="gramStart"/>
      <w:r w:rsidR="008F339F" w:rsidRPr="005B1ED4">
        <w:rPr>
          <w:rFonts w:ascii="Book Antiqua" w:hAnsi="Book Antiqua" w:cs="Times New Roman"/>
          <w:b/>
          <w:bCs/>
          <w:sz w:val="28"/>
          <w:szCs w:val="28"/>
        </w:rPr>
        <w:t>To</w:t>
      </w:r>
      <w:proofErr w:type="gramEnd"/>
      <w:r w:rsidR="008F339F" w:rsidRPr="005B1ED4">
        <w:rPr>
          <w:rFonts w:ascii="Book Antiqua" w:hAnsi="Book Antiqua" w:cs="Times New Roman"/>
          <w:b/>
          <w:bCs/>
          <w:sz w:val="28"/>
          <w:szCs w:val="28"/>
        </w:rPr>
        <w:t xml:space="preserve"> Show That the Mandatory Bar Is Better </w:t>
      </w:r>
      <w:proofErr w:type="gramStart"/>
      <w:r w:rsidR="008F339F" w:rsidRPr="005B1ED4">
        <w:rPr>
          <w:rFonts w:ascii="Book Antiqua" w:hAnsi="Book Antiqua" w:cs="Times New Roman"/>
          <w:b/>
          <w:bCs/>
          <w:sz w:val="28"/>
          <w:szCs w:val="28"/>
        </w:rPr>
        <w:t>For</w:t>
      </w:r>
      <w:proofErr w:type="gramEnd"/>
      <w:r w:rsidR="008F339F" w:rsidRPr="005B1ED4">
        <w:rPr>
          <w:rFonts w:ascii="Book Antiqua" w:hAnsi="Book Antiqua" w:cs="Times New Roman"/>
          <w:b/>
          <w:bCs/>
          <w:sz w:val="28"/>
          <w:szCs w:val="28"/>
        </w:rPr>
        <w:t xml:space="preserve"> the Arizona Public and Lawyers</w:t>
      </w:r>
    </w:p>
    <w:p w14:paraId="68A5F65B" w14:textId="52508695" w:rsidR="001B6217" w:rsidRPr="005B1ED4" w:rsidRDefault="00810193" w:rsidP="00872FB2">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 xml:space="preserve">Petitioners and supporters </w:t>
      </w:r>
      <w:r w:rsidR="00A63E5A" w:rsidRPr="005B1ED4">
        <w:rPr>
          <w:rFonts w:ascii="Book Antiqua" w:hAnsi="Book Antiqua" w:cs="Times New Roman"/>
          <w:sz w:val="28"/>
          <w:szCs w:val="28"/>
        </w:rPr>
        <w:t>persuasively explain why a voluntary bar is better for the Arizona public and its attorneys</w:t>
      </w:r>
      <w:r w:rsidR="005A4A06" w:rsidRPr="005B1ED4">
        <w:rPr>
          <w:rFonts w:ascii="Book Antiqua" w:hAnsi="Book Antiqua" w:cs="Times New Roman"/>
          <w:sz w:val="28"/>
          <w:szCs w:val="28"/>
        </w:rPr>
        <w:t xml:space="preserve">, including by citing scholarship, empirical evidence, anecdotes, and case studies. </w:t>
      </w:r>
      <w:r w:rsidR="005A4A06" w:rsidRPr="005B1ED4">
        <w:rPr>
          <w:rFonts w:ascii="Book Antiqua" w:hAnsi="Book Antiqua" w:cs="Times New Roman"/>
          <w:i/>
          <w:iCs/>
          <w:sz w:val="28"/>
          <w:szCs w:val="28"/>
        </w:rPr>
        <w:t xml:space="preserve">See </w:t>
      </w:r>
      <w:r w:rsidR="005A4A06" w:rsidRPr="005B1ED4">
        <w:rPr>
          <w:rFonts w:ascii="Book Antiqua" w:hAnsi="Book Antiqua" w:cs="Times New Roman"/>
          <w:sz w:val="28"/>
          <w:szCs w:val="28"/>
        </w:rPr>
        <w:t>Pet. 13–</w:t>
      </w:r>
      <w:r w:rsidR="00BA7851" w:rsidRPr="005B1ED4">
        <w:rPr>
          <w:rFonts w:ascii="Book Antiqua" w:hAnsi="Book Antiqua" w:cs="Times New Roman"/>
          <w:sz w:val="28"/>
          <w:szCs w:val="28"/>
        </w:rPr>
        <w:t>18</w:t>
      </w:r>
      <w:r w:rsidR="005A4A06" w:rsidRPr="005B1ED4">
        <w:rPr>
          <w:rFonts w:ascii="Book Antiqua" w:hAnsi="Book Antiqua" w:cs="Times New Roman"/>
          <w:sz w:val="28"/>
          <w:szCs w:val="28"/>
        </w:rPr>
        <w:t xml:space="preserve">. Among other reasons, the integrated bars are insufficiently accountable to the public. </w:t>
      </w:r>
      <w:r w:rsidR="005F5DC7" w:rsidRPr="005B1ED4">
        <w:rPr>
          <w:rFonts w:ascii="Book Antiqua" w:hAnsi="Book Antiqua" w:cs="Times New Roman"/>
          <w:i/>
          <w:iCs/>
          <w:sz w:val="28"/>
          <w:szCs w:val="28"/>
        </w:rPr>
        <w:t>See i</w:t>
      </w:r>
      <w:r w:rsidR="005A4A06" w:rsidRPr="005B1ED4">
        <w:rPr>
          <w:rFonts w:ascii="Book Antiqua" w:hAnsi="Book Antiqua" w:cs="Times New Roman"/>
          <w:i/>
          <w:iCs/>
          <w:sz w:val="28"/>
          <w:szCs w:val="28"/>
        </w:rPr>
        <w:t xml:space="preserve">d. </w:t>
      </w:r>
      <w:r w:rsidR="005A4A06" w:rsidRPr="005B1ED4">
        <w:rPr>
          <w:rFonts w:ascii="Book Antiqua" w:hAnsi="Book Antiqua" w:cs="Times New Roman"/>
          <w:sz w:val="28"/>
          <w:szCs w:val="28"/>
        </w:rPr>
        <w:t>at 13 (</w:t>
      </w:r>
      <w:r w:rsidR="007972FB" w:rsidRPr="005B1ED4">
        <w:rPr>
          <w:rFonts w:ascii="Book Antiqua" w:hAnsi="Book Antiqua" w:cs="Times New Roman"/>
          <w:sz w:val="28"/>
          <w:szCs w:val="28"/>
        </w:rPr>
        <w:t>citing</w:t>
      </w:r>
      <w:r w:rsidR="005A4A06" w:rsidRPr="005B1ED4">
        <w:rPr>
          <w:rFonts w:ascii="Book Antiqua" w:hAnsi="Book Antiqua" w:cs="Times New Roman"/>
          <w:sz w:val="28"/>
          <w:szCs w:val="28"/>
        </w:rPr>
        <w:t xml:space="preserve"> Theodore Schneyer, </w:t>
      </w:r>
      <w:r w:rsidR="005A4A06" w:rsidRPr="005B1ED4">
        <w:rPr>
          <w:rFonts w:ascii="Book Antiqua" w:hAnsi="Book Antiqua" w:cs="Times New Roman"/>
          <w:i/>
          <w:iCs/>
          <w:sz w:val="28"/>
          <w:szCs w:val="28"/>
        </w:rPr>
        <w:t xml:space="preserve">The Incoherence of the Unified Bar Concept: Generalizing </w:t>
      </w:r>
      <w:proofErr w:type="gramStart"/>
      <w:r w:rsidR="005A4A06" w:rsidRPr="005B1ED4">
        <w:rPr>
          <w:rFonts w:ascii="Book Antiqua" w:hAnsi="Book Antiqua" w:cs="Times New Roman"/>
          <w:i/>
          <w:iCs/>
          <w:sz w:val="28"/>
          <w:szCs w:val="28"/>
        </w:rPr>
        <w:t>From</w:t>
      </w:r>
      <w:proofErr w:type="gramEnd"/>
      <w:r w:rsidR="005A4A06" w:rsidRPr="005B1ED4">
        <w:rPr>
          <w:rFonts w:ascii="Book Antiqua" w:hAnsi="Book Antiqua" w:cs="Times New Roman"/>
          <w:i/>
          <w:iCs/>
          <w:sz w:val="28"/>
          <w:szCs w:val="28"/>
        </w:rPr>
        <w:t xml:space="preserve"> the Wisconsin Case</w:t>
      </w:r>
      <w:r w:rsidR="005A4A06" w:rsidRPr="005B1ED4">
        <w:rPr>
          <w:rFonts w:ascii="Book Antiqua" w:hAnsi="Book Antiqua" w:cs="Times New Roman"/>
          <w:sz w:val="28"/>
          <w:szCs w:val="28"/>
        </w:rPr>
        <w:t xml:space="preserve">, Am. B. Found. Res. J. 1, 47, 48, 89 (1983); Patricia Heim, </w:t>
      </w:r>
      <w:r w:rsidR="005A4A06" w:rsidRPr="005B1ED4">
        <w:rPr>
          <w:rFonts w:ascii="Book Antiqua" w:hAnsi="Book Antiqua" w:cs="Times New Roman"/>
          <w:i/>
          <w:iCs/>
          <w:sz w:val="28"/>
          <w:szCs w:val="28"/>
        </w:rPr>
        <w:t>The Case for a Voluntary Bar</w:t>
      </w:r>
      <w:r w:rsidR="005A4A06" w:rsidRPr="005B1ED4">
        <w:rPr>
          <w:rFonts w:ascii="Book Antiqua" w:hAnsi="Book Antiqua" w:cs="Times New Roman"/>
          <w:sz w:val="28"/>
          <w:szCs w:val="28"/>
        </w:rPr>
        <w:t xml:space="preserve">, 64 Wis. Law. 10, 61 (1991); </w:t>
      </w:r>
      <w:r w:rsidR="005A4A06" w:rsidRPr="005B1ED4">
        <w:rPr>
          <w:rFonts w:ascii="Book Antiqua" w:hAnsi="Book Antiqua" w:cs="Times New Roman"/>
          <w:i/>
          <w:iCs/>
          <w:sz w:val="28"/>
          <w:szCs w:val="28"/>
        </w:rPr>
        <w:t>The End of Mandatory State Bars</w:t>
      </w:r>
      <w:r w:rsidR="005A4A06" w:rsidRPr="005B1ED4">
        <w:rPr>
          <w:rFonts w:ascii="Book Antiqua" w:hAnsi="Book Antiqua" w:cs="Times New Roman"/>
          <w:sz w:val="28"/>
          <w:szCs w:val="28"/>
        </w:rPr>
        <w:t xml:space="preserve">, 109 Geo. L.J. Online 1, 18–20 (2020)). </w:t>
      </w:r>
    </w:p>
    <w:p w14:paraId="2955160D" w14:textId="738DA3FE" w:rsidR="001778D6" w:rsidRPr="005B1ED4" w:rsidRDefault="00BA7851" w:rsidP="00872FB2">
      <w:pPr>
        <w:spacing w:after="0" w:line="480" w:lineRule="auto"/>
        <w:ind w:firstLine="720"/>
        <w:jc w:val="both"/>
        <w:rPr>
          <w:rFonts w:ascii="Book Antiqua" w:hAnsi="Book Antiqua" w:cs="Times New Roman"/>
          <w:sz w:val="28"/>
          <w:szCs w:val="28"/>
        </w:rPr>
      </w:pPr>
      <w:r w:rsidRPr="005B1ED4">
        <w:rPr>
          <w:rFonts w:ascii="Book Antiqua" w:hAnsi="Book Antiqua" w:cs="Times New Roman"/>
          <w:sz w:val="28"/>
          <w:szCs w:val="28"/>
        </w:rPr>
        <w:t xml:space="preserve">Moreover, case studies show that voluntary bar associations work. </w:t>
      </w:r>
      <w:r w:rsidR="00BF1C19" w:rsidRPr="005B1ED4">
        <w:rPr>
          <w:rFonts w:ascii="Book Antiqua" w:hAnsi="Book Antiqua" w:cs="Times New Roman"/>
          <w:sz w:val="28"/>
          <w:szCs w:val="28"/>
        </w:rPr>
        <w:t xml:space="preserve">For example, </w:t>
      </w:r>
      <w:r w:rsidRPr="005B1ED4">
        <w:rPr>
          <w:rFonts w:ascii="Book Antiqua" w:hAnsi="Book Antiqua" w:cs="Times New Roman"/>
          <w:sz w:val="28"/>
          <w:szCs w:val="28"/>
        </w:rPr>
        <w:t xml:space="preserve">California has one of the largest state bars in </w:t>
      </w:r>
      <w:r w:rsidR="00A86BA6" w:rsidRPr="005B1ED4">
        <w:rPr>
          <w:rFonts w:ascii="Book Antiqua" w:hAnsi="Book Antiqua" w:cs="Times New Roman"/>
          <w:sz w:val="28"/>
          <w:szCs w:val="28"/>
        </w:rPr>
        <w:t>America</w:t>
      </w:r>
      <w:r w:rsidR="004546F3" w:rsidRPr="005B1ED4">
        <w:rPr>
          <w:rFonts w:ascii="Book Antiqua" w:hAnsi="Book Antiqua" w:cs="Times New Roman"/>
          <w:sz w:val="28"/>
          <w:szCs w:val="28"/>
        </w:rPr>
        <w:t xml:space="preserve">. It </w:t>
      </w:r>
      <w:r w:rsidRPr="005B1ED4">
        <w:rPr>
          <w:rFonts w:ascii="Book Antiqua" w:hAnsi="Book Antiqua" w:cs="Times New Roman"/>
          <w:sz w:val="28"/>
          <w:szCs w:val="28"/>
        </w:rPr>
        <w:t xml:space="preserve">recently </w:t>
      </w:r>
      <w:r w:rsidR="008F057A" w:rsidRPr="005B1ED4">
        <w:rPr>
          <w:rFonts w:ascii="Book Antiqua" w:hAnsi="Book Antiqua" w:cs="Times New Roman"/>
          <w:sz w:val="28"/>
          <w:szCs w:val="28"/>
        </w:rPr>
        <w:t xml:space="preserve">bifurcated its </w:t>
      </w:r>
      <w:r w:rsidRPr="005B1ED4">
        <w:rPr>
          <w:rFonts w:ascii="Book Antiqua" w:hAnsi="Book Antiqua" w:cs="Times New Roman"/>
          <w:sz w:val="28"/>
          <w:szCs w:val="28"/>
        </w:rPr>
        <w:t xml:space="preserve">mandatory </w:t>
      </w:r>
      <w:r w:rsidR="008F057A" w:rsidRPr="005B1ED4">
        <w:rPr>
          <w:rFonts w:ascii="Book Antiqua" w:hAnsi="Book Antiqua" w:cs="Times New Roman"/>
          <w:sz w:val="28"/>
          <w:szCs w:val="28"/>
        </w:rPr>
        <w:t xml:space="preserve">bar from its </w:t>
      </w:r>
      <w:r w:rsidRPr="005B1ED4">
        <w:rPr>
          <w:rFonts w:ascii="Book Antiqua" w:hAnsi="Book Antiqua" w:cs="Times New Roman"/>
          <w:sz w:val="28"/>
          <w:szCs w:val="28"/>
        </w:rPr>
        <w:t xml:space="preserve">voluntary </w:t>
      </w:r>
      <w:r w:rsidR="008F057A" w:rsidRPr="005B1ED4">
        <w:rPr>
          <w:rFonts w:ascii="Book Antiqua" w:hAnsi="Book Antiqua" w:cs="Times New Roman"/>
          <w:sz w:val="28"/>
          <w:szCs w:val="28"/>
        </w:rPr>
        <w:t xml:space="preserve">bar </w:t>
      </w:r>
      <w:r w:rsidRPr="005B1ED4">
        <w:rPr>
          <w:rFonts w:ascii="Book Antiqua" w:hAnsi="Book Antiqua" w:cs="Times New Roman"/>
          <w:sz w:val="28"/>
          <w:szCs w:val="28"/>
        </w:rPr>
        <w:t>association</w:t>
      </w:r>
      <w:r w:rsidR="004546F3" w:rsidRPr="005B1ED4">
        <w:rPr>
          <w:rFonts w:ascii="Book Antiqua" w:hAnsi="Book Antiqua" w:cs="Times New Roman"/>
          <w:sz w:val="28"/>
          <w:szCs w:val="28"/>
        </w:rPr>
        <w:t xml:space="preserve"> in 2018</w:t>
      </w:r>
      <w:r w:rsidRPr="005B1ED4">
        <w:rPr>
          <w:rFonts w:ascii="Book Antiqua" w:hAnsi="Book Antiqua" w:cs="Times New Roman"/>
          <w:sz w:val="28"/>
          <w:szCs w:val="28"/>
        </w:rPr>
        <w:t>, an</w:t>
      </w:r>
      <w:r w:rsidR="004546F3" w:rsidRPr="005B1ED4">
        <w:rPr>
          <w:rFonts w:ascii="Book Antiqua" w:hAnsi="Book Antiqua" w:cs="Times New Roman"/>
          <w:sz w:val="28"/>
          <w:szCs w:val="28"/>
        </w:rPr>
        <w:t xml:space="preserve">d it has </w:t>
      </w:r>
      <w:r w:rsidR="005C5205" w:rsidRPr="005B1ED4">
        <w:rPr>
          <w:rFonts w:ascii="Book Antiqua" w:hAnsi="Book Antiqua" w:cs="Times New Roman"/>
          <w:sz w:val="28"/>
          <w:szCs w:val="28"/>
        </w:rPr>
        <w:t>thrived</w:t>
      </w:r>
      <w:r w:rsidR="004546F3" w:rsidRPr="005B1ED4">
        <w:rPr>
          <w:rFonts w:ascii="Book Antiqua" w:hAnsi="Book Antiqua" w:cs="Times New Roman"/>
          <w:sz w:val="28"/>
          <w:szCs w:val="28"/>
        </w:rPr>
        <w:t xml:space="preserve"> for seven years, without decreasing quality or access to legal services.</w:t>
      </w:r>
      <w:r w:rsidR="00EE0EE9" w:rsidRPr="005B1ED4">
        <w:rPr>
          <w:rFonts w:ascii="Book Antiqua" w:hAnsi="Book Antiqua" w:cs="Times New Roman"/>
          <w:i/>
          <w:iCs/>
          <w:sz w:val="28"/>
          <w:szCs w:val="28"/>
        </w:rPr>
        <w:t xml:space="preserve"> See </w:t>
      </w:r>
      <w:r w:rsidR="00EE0EE9" w:rsidRPr="005B1ED4">
        <w:rPr>
          <w:rFonts w:ascii="Book Antiqua" w:hAnsi="Book Antiqua" w:cs="Times New Roman"/>
          <w:sz w:val="28"/>
          <w:szCs w:val="28"/>
        </w:rPr>
        <w:t xml:space="preserve">Lyle Moran, </w:t>
      </w:r>
      <w:r w:rsidR="00EE0EE9" w:rsidRPr="005B1ED4">
        <w:rPr>
          <w:rFonts w:ascii="Book Antiqua" w:hAnsi="Book Antiqua" w:cs="Times New Roman"/>
          <w:i/>
          <w:iCs/>
          <w:sz w:val="28"/>
          <w:szCs w:val="28"/>
        </w:rPr>
        <w:t>California Split: 1 Year After Nation’s Largest Bar Became 2 Entities, Observers See Positive Change</w:t>
      </w:r>
      <w:r w:rsidR="00EE0EE9" w:rsidRPr="005B1ED4">
        <w:rPr>
          <w:rFonts w:ascii="Book Antiqua" w:hAnsi="Book Antiqua" w:cs="Times New Roman"/>
          <w:sz w:val="28"/>
          <w:szCs w:val="28"/>
        </w:rPr>
        <w:t>, ABA Journal (Feb. 4, 2019).</w:t>
      </w:r>
      <w:r w:rsidR="00EE0EE9" w:rsidRPr="005B1ED4">
        <w:rPr>
          <w:rStyle w:val="FootnoteReference"/>
          <w:rFonts w:ascii="Book Antiqua" w:hAnsi="Book Antiqua" w:cs="Times New Roman"/>
          <w:sz w:val="28"/>
          <w:szCs w:val="28"/>
        </w:rPr>
        <w:footnoteReference w:id="1"/>
      </w:r>
    </w:p>
    <w:p w14:paraId="303C466D" w14:textId="145EBC87" w:rsidR="005F421A" w:rsidRPr="005B1ED4" w:rsidRDefault="001778D6" w:rsidP="005F421A">
      <w:pPr>
        <w:spacing w:after="0" w:line="480" w:lineRule="auto"/>
        <w:ind w:firstLine="720"/>
        <w:jc w:val="both"/>
        <w:rPr>
          <w:rFonts w:ascii="Book Antiqua" w:hAnsi="Book Antiqua" w:cs="Times New Roman"/>
          <w:i/>
          <w:iCs/>
          <w:sz w:val="28"/>
          <w:szCs w:val="28"/>
        </w:rPr>
      </w:pPr>
      <w:r w:rsidRPr="005B1ED4">
        <w:rPr>
          <w:rFonts w:ascii="Book Antiqua" w:hAnsi="Book Antiqua" w:cs="Times New Roman"/>
          <w:sz w:val="28"/>
          <w:szCs w:val="28"/>
        </w:rPr>
        <w:lastRenderedPageBreak/>
        <w:t xml:space="preserve">By contrast, </w:t>
      </w:r>
      <w:r w:rsidR="00F20739" w:rsidRPr="005B1ED4">
        <w:rPr>
          <w:rFonts w:ascii="Book Antiqua" w:hAnsi="Book Antiqua" w:cs="Times New Roman"/>
          <w:sz w:val="28"/>
          <w:szCs w:val="28"/>
        </w:rPr>
        <w:t>the Petition Opponents</w:t>
      </w:r>
      <w:r w:rsidRPr="005B1ED4">
        <w:rPr>
          <w:rFonts w:ascii="Book Antiqua" w:hAnsi="Book Antiqua" w:cs="Times New Roman"/>
          <w:sz w:val="28"/>
          <w:szCs w:val="28"/>
        </w:rPr>
        <w:t xml:space="preserve"> objecting to the proposed changes rely on platitudes and vague generalizations about “access to justice.” Past Presidents Comm. (Apr. 21, 2025); </w:t>
      </w:r>
      <w:r w:rsidRPr="005B1ED4">
        <w:rPr>
          <w:rFonts w:ascii="Book Antiqua" w:hAnsi="Book Antiqua" w:cs="Times New Roman"/>
          <w:i/>
          <w:iCs/>
          <w:sz w:val="28"/>
          <w:szCs w:val="28"/>
        </w:rPr>
        <w:t xml:space="preserve">see also </w:t>
      </w:r>
      <w:r w:rsidR="0071793C" w:rsidRPr="005B1ED4">
        <w:rPr>
          <w:rFonts w:ascii="Book Antiqua" w:hAnsi="Book Antiqua" w:cs="Times New Roman"/>
          <w:sz w:val="28"/>
          <w:szCs w:val="28"/>
        </w:rPr>
        <w:t xml:space="preserve">Arizona Lawyers for Equal Justice Comm. (“access to justice”); </w:t>
      </w:r>
      <w:r w:rsidR="0054357F" w:rsidRPr="005B1ED4">
        <w:rPr>
          <w:rFonts w:ascii="Book Antiqua" w:hAnsi="Book Antiqua" w:cs="Times New Roman"/>
          <w:sz w:val="28"/>
          <w:szCs w:val="28"/>
        </w:rPr>
        <w:t>A</w:t>
      </w:r>
      <w:r w:rsidR="00AA0BCF" w:rsidRPr="005B1ED4">
        <w:rPr>
          <w:rFonts w:ascii="Book Antiqua" w:hAnsi="Book Antiqua" w:cs="Times New Roman"/>
          <w:sz w:val="28"/>
          <w:szCs w:val="28"/>
        </w:rPr>
        <w:t>G Comm. at 11 (“access to legal assistance”); CLS Comm. (using the phrase “access to justice” ten times). But, a</w:t>
      </w:r>
      <w:r w:rsidR="00C12D3A" w:rsidRPr="005B1ED4">
        <w:rPr>
          <w:rFonts w:ascii="Book Antiqua" w:hAnsi="Book Antiqua" w:cs="Times New Roman"/>
          <w:sz w:val="28"/>
          <w:szCs w:val="28"/>
        </w:rPr>
        <w:t xml:space="preserve">s Professor Bradley A. Smith </w:t>
      </w:r>
      <w:r w:rsidR="002F75DC" w:rsidRPr="005B1ED4">
        <w:rPr>
          <w:rFonts w:ascii="Book Antiqua" w:hAnsi="Book Antiqua" w:cs="Times New Roman"/>
          <w:sz w:val="28"/>
          <w:szCs w:val="28"/>
        </w:rPr>
        <w:t>astutely</w:t>
      </w:r>
      <w:r w:rsidR="00C12D3A" w:rsidRPr="005B1ED4">
        <w:rPr>
          <w:rFonts w:ascii="Book Antiqua" w:hAnsi="Book Antiqua" w:cs="Times New Roman"/>
          <w:sz w:val="28"/>
          <w:szCs w:val="28"/>
        </w:rPr>
        <w:t xml:space="preserve"> observed, “[t]</w:t>
      </w:r>
      <w:r w:rsidR="000308F0" w:rsidRPr="005B1ED4">
        <w:rPr>
          <w:rFonts w:ascii="Book Antiqua" w:hAnsi="Book Antiqua" w:cs="Times New Roman"/>
          <w:sz w:val="28"/>
          <w:szCs w:val="28"/>
        </w:rPr>
        <w:t xml:space="preserve">he advantages of coerced membership in a state bar have always been more rhetorical than real.” </w:t>
      </w:r>
      <w:r w:rsidR="00C12D3A" w:rsidRPr="005B1ED4">
        <w:rPr>
          <w:rFonts w:ascii="Book Antiqua" w:hAnsi="Book Antiqua" w:cs="Times New Roman"/>
          <w:sz w:val="28"/>
          <w:szCs w:val="28"/>
        </w:rPr>
        <w:t>Bradley A. Smith</w:t>
      </w:r>
      <w:r w:rsidR="00C12D3A" w:rsidRPr="005B1ED4">
        <w:rPr>
          <w:rFonts w:ascii="Book Antiqua" w:hAnsi="Book Antiqua" w:cs="Times New Roman"/>
          <w:i/>
          <w:iCs/>
          <w:sz w:val="28"/>
          <w:szCs w:val="28"/>
        </w:rPr>
        <w:t>, The Limits of Compulsory Professionalism: How the Unified Bar Harms the Legal Profession</w:t>
      </w:r>
      <w:r w:rsidR="00C12D3A" w:rsidRPr="005B1ED4">
        <w:rPr>
          <w:rFonts w:ascii="Book Antiqua" w:hAnsi="Book Antiqua" w:cs="Times New Roman"/>
          <w:sz w:val="28"/>
          <w:szCs w:val="28"/>
        </w:rPr>
        <w:t>, 22 Fla. St. U. L. Rev.  58 (1994)</w:t>
      </w:r>
      <w:r w:rsidR="00C02D02" w:rsidRPr="005B1ED4">
        <w:rPr>
          <w:rFonts w:ascii="Book Antiqua" w:hAnsi="Book Antiqua" w:cs="Times New Roman"/>
          <w:sz w:val="28"/>
          <w:szCs w:val="28"/>
        </w:rPr>
        <w:t xml:space="preserve">. </w:t>
      </w:r>
      <w:r w:rsidR="00AB75FC" w:rsidRPr="005B1ED4">
        <w:rPr>
          <w:rFonts w:ascii="Book Antiqua" w:hAnsi="Book Antiqua" w:cs="Times New Roman"/>
          <w:sz w:val="28"/>
          <w:szCs w:val="28"/>
        </w:rPr>
        <w:t xml:space="preserve">These </w:t>
      </w:r>
      <w:r w:rsidR="00F20739" w:rsidRPr="005B1ED4">
        <w:rPr>
          <w:rFonts w:ascii="Book Antiqua" w:hAnsi="Book Antiqua" w:cs="Times New Roman"/>
          <w:sz w:val="28"/>
          <w:szCs w:val="28"/>
        </w:rPr>
        <w:t>Petition Opponents</w:t>
      </w:r>
      <w:r w:rsidR="00AB75FC" w:rsidRPr="005B1ED4">
        <w:rPr>
          <w:rFonts w:ascii="Book Antiqua" w:hAnsi="Book Antiqua" w:cs="Times New Roman"/>
          <w:sz w:val="28"/>
          <w:szCs w:val="28"/>
        </w:rPr>
        <w:t xml:space="preserve"> prove Professor Smith right, as </w:t>
      </w:r>
      <w:r w:rsidR="00AA0BCF" w:rsidRPr="005B1ED4">
        <w:rPr>
          <w:rFonts w:ascii="Book Antiqua" w:hAnsi="Book Antiqua" w:cs="Times New Roman"/>
          <w:sz w:val="28"/>
          <w:szCs w:val="28"/>
        </w:rPr>
        <w:t xml:space="preserve">none </w:t>
      </w:r>
      <w:r w:rsidR="00AB75FC" w:rsidRPr="005B1ED4">
        <w:rPr>
          <w:rFonts w:ascii="Book Antiqua" w:hAnsi="Book Antiqua" w:cs="Times New Roman"/>
          <w:sz w:val="28"/>
          <w:szCs w:val="28"/>
        </w:rPr>
        <w:t>even try to</w:t>
      </w:r>
      <w:r w:rsidR="00AA0BCF" w:rsidRPr="005B1ED4">
        <w:rPr>
          <w:rFonts w:ascii="Book Antiqua" w:hAnsi="Book Antiqua" w:cs="Times New Roman"/>
          <w:sz w:val="28"/>
          <w:szCs w:val="28"/>
        </w:rPr>
        <w:t xml:space="preserve"> explain </w:t>
      </w:r>
      <w:r w:rsidR="00565FB7" w:rsidRPr="005B1ED4">
        <w:rPr>
          <w:rFonts w:ascii="Book Antiqua" w:hAnsi="Book Antiqua" w:cs="Times New Roman"/>
          <w:sz w:val="28"/>
          <w:szCs w:val="28"/>
        </w:rPr>
        <w:t xml:space="preserve">precisely </w:t>
      </w:r>
      <w:r w:rsidR="00565FB7" w:rsidRPr="005B1ED4">
        <w:rPr>
          <w:rFonts w:ascii="Book Antiqua" w:hAnsi="Book Antiqua" w:cs="Times New Roman"/>
          <w:i/>
          <w:iCs/>
          <w:sz w:val="28"/>
          <w:szCs w:val="28"/>
        </w:rPr>
        <w:t>how</w:t>
      </w:r>
      <w:r w:rsidR="00AA0BCF" w:rsidRPr="005B1ED4">
        <w:rPr>
          <w:rFonts w:ascii="Book Antiqua" w:hAnsi="Book Antiqua" w:cs="Times New Roman"/>
          <w:i/>
          <w:iCs/>
          <w:sz w:val="28"/>
          <w:szCs w:val="28"/>
        </w:rPr>
        <w:t xml:space="preserve"> </w:t>
      </w:r>
      <w:r w:rsidR="00AA0BCF" w:rsidRPr="005B1ED4">
        <w:rPr>
          <w:rFonts w:ascii="Book Antiqua" w:hAnsi="Book Antiqua" w:cs="Times New Roman"/>
          <w:sz w:val="28"/>
          <w:szCs w:val="28"/>
        </w:rPr>
        <w:t>a mandatory bar promotes “access to justice” any more than a voluntary bar</w:t>
      </w:r>
      <w:r w:rsidR="00E163A2" w:rsidRPr="005B1ED4">
        <w:rPr>
          <w:rFonts w:ascii="Book Antiqua" w:hAnsi="Book Antiqua" w:cs="Times New Roman"/>
          <w:sz w:val="28"/>
          <w:szCs w:val="28"/>
        </w:rPr>
        <w:t xml:space="preserve">: </w:t>
      </w:r>
      <w:r w:rsidR="000308F0" w:rsidRPr="005B1ED4">
        <w:rPr>
          <w:rFonts w:ascii="Book Antiqua" w:hAnsi="Book Antiqua" w:cs="Times New Roman"/>
          <w:sz w:val="28"/>
          <w:szCs w:val="28"/>
        </w:rPr>
        <w:t>“who could ever seriously suggest that pro bono legal services for the poor and indigent are more readily available in Michigan, with its mandatory bar, than in Ohio or the other voluntary bar states surrounding Michigan?”</w:t>
      </w:r>
      <w:r w:rsidR="00E163A2" w:rsidRPr="005B1ED4">
        <w:rPr>
          <w:rFonts w:ascii="Book Antiqua" w:hAnsi="Book Antiqua" w:cs="Times New Roman"/>
          <w:sz w:val="28"/>
          <w:szCs w:val="28"/>
        </w:rPr>
        <w:t xml:space="preserve"> </w:t>
      </w:r>
      <w:r w:rsidR="00E163A2" w:rsidRPr="005B1ED4">
        <w:rPr>
          <w:rFonts w:ascii="Book Antiqua" w:hAnsi="Book Antiqua" w:cs="Times New Roman"/>
          <w:i/>
          <w:iCs/>
          <w:sz w:val="28"/>
          <w:szCs w:val="28"/>
        </w:rPr>
        <w:t>Id</w:t>
      </w:r>
      <w:r w:rsidR="005F421A" w:rsidRPr="005B1ED4">
        <w:rPr>
          <w:rFonts w:ascii="Book Antiqua" w:hAnsi="Book Antiqua" w:cs="Times New Roman"/>
          <w:i/>
          <w:iCs/>
          <w:sz w:val="28"/>
          <w:szCs w:val="28"/>
        </w:rPr>
        <w:t>.</w:t>
      </w:r>
    </w:p>
    <w:p w14:paraId="3A8244F9" w14:textId="0EA5BE70" w:rsidR="005F421A" w:rsidRPr="005B1ED4" w:rsidRDefault="005F421A" w:rsidP="005F421A">
      <w:pPr>
        <w:keepNext/>
        <w:spacing w:after="240" w:line="240" w:lineRule="auto"/>
        <w:jc w:val="center"/>
        <w:rPr>
          <w:rFonts w:ascii="Book Antiqua" w:hAnsi="Book Antiqua" w:cs="Times New Roman"/>
          <w:b/>
          <w:bCs/>
          <w:smallCaps/>
          <w:sz w:val="28"/>
          <w:szCs w:val="28"/>
        </w:rPr>
      </w:pPr>
      <w:r w:rsidRPr="005B1ED4">
        <w:rPr>
          <w:rFonts w:ascii="Book Antiqua" w:hAnsi="Book Antiqua" w:cs="Times New Roman"/>
          <w:b/>
          <w:bCs/>
          <w:smallCaps/>
          <w:sz w:val="28"/>
          <w:szCs w:val="28"/>
        </w:rPr>
        <w:t>Conclusion</w:t>
      </w:r>
    </w:p>
    <w:p w14:paraId="086CB392" w14:textId="71AB6CF7" w:rsidR="00ED2985" w:rsidRDefault="00B34968" w:rsidP="00B1344F">
      <w:pPr>
        <w:spacing w:after="0" w:line="480" w:lineRule="auto"/>
        <w:jc w:val="both"/>
        <w:rPr>
          <w:rFonts w:ascii="Book Antiqua" w:hAnsi="Book Antiqua" w:cs="Times New Roman"/>
          <w:sz w:val="28"/>
          <w:szCs w:val="28"/>
        </w:rPr>
      </w:pPr>
      <w:r w:rsidRPr="005B1ED4">
        <w:rPr>
          <w:rFonts w:ascii="Book Antiqua" w:hAnsi="Book Antiqua" w:cs="Times New Roman"/>
          <w:sz w:val="28"/>
          <w:szCs w:val="28"/>
        </w:rPr>
        <w:tab/>
      </w:r>
      <w:r w:rsidR="002352AB" w:rsidRPr="005B1ED4">
        <w:rPr>
          <w:rFonts w:ascii="Book Antiqua" w:hAnsi="Book Antiqua" w:cs="Times New Roman"/>
          <w:sz w:val="28"/>
          <w:szCs w:val="28"/>
        </w:rPr>
        <w:t xml:space="preserve">The Petition Opponents </w:t>
      </w:r>
      <w:r w:rsidRPr="005B1ED4">
        <w:rPr>
          <w:rFonts w:ascii="Book Antiqua" w:hAnsi="Book Antiqua" w:cs="Times New Roman"/>
          <w:sz w:val="28"/>
          <w:szCs w:val="28"/>
        </w:rPr>
        <w:t xml:space="preserve">fail to </w:t>
      </w:r>
      <w:r w:rsidR="005F421A" w:rsidRPr="005B1ED4">
        <w:rPr>
          <w:rFonts w:ascii="Book Antiqua" w:hAnsi="Book Antiqua" w:cs="Times New Roman"/>
          <w:sz w:val="28"/>
          <w:szCs w:val="28"/>
        </w:rPr>
        <w:t xml:space="preserve">establish the constitutionality of the mandatory </w:t>
      </w:r>
      <w:r w:rsidR="00997609" w:rsidRPr="005B1ED4">
        <w:rPr>
          <w:rFonts w:ascii="Book Antiqua" w:hAnsi="Book Antiqua" w:cs="Times New Roman"/>
          <w:sz w:val="28"/>
          <w:szCs w:val="28"/>
        </w:rPr>
        <w:t>B</w:t>
      </w:r>
      <w:r w:rsidR="005F421A" w:rsidRPr="005B1ED4">
        <w:rPr>
          <w:rFonts w:ascii="Book Antiqua" w:hAnsi="Book Antiqua" w:cs="Times New Roman"/>
          <w:sz w:val="28"/>
          <w:szCs w:val="28"/>
        </w:rPr>
        <w:t xml:space="preserve">ar, </w:t>
      </w:r>
      <w:r w:rsidR="00A87795" w:rsidRPr="005B1ED4">
        <w:rPr>
          <w:rFonts w:ascii="Book Antiqua" w:hAnsi="Book Antiqua" w:cs="Times New Roman"/>
          <w:sz w:val="28"/>
          <w:szCs w:val="28"/>
        </w:rPr>
        <w:t>considering</w:t>
      </w:r>
      <w:r w:rsidR="005F421A" w:rsidRPr="005B1ED4">
        <w:rPr>
          <w:rFonts w:ascii="Book Antiqua" w:hAnsi="Book Antiqua" w:cs="Times New Roman"/>
          <w:sz w:val="28"/>
          <w:szCs w:val="28"/>
        </w:rPr>
        <w:t xml:space="preserve"> </w:t>
      </w:r>
      <w:r w:rsidR="00A87795" w:rsidRPr="005B1ED4">
        <w:rPr>
          <w:rFonts w:ascii="Book Antiqua" w:hAnsi="Book Antiqua" w:cs="Times New Roman"/>
          <w:sz w:val="28"/>
          <w:szCs w:val="28"/>
        </w:rPr>
        <w:t>the Bar’s</w:t>
      </w:r>
      <w:r w:rsidR="005F421A" w:rsidRPr="005B1ED4">
        <w:rPr>
          <w:rFonts w:ascii="Book Antiqua" w:hAnsi="Book Antiqua" w:cs="Times New Roman"/>
          <w:sz w:val="28"/>
          <w:szCs w:val="28"/>
        </w:rPr>
        <w:t xml:space="preserve"> </w:t>
      </w:r>
      <w:r w:rsidR="002352AB" w:rsidRPr="005B1ED4">
        <w:rPr>
          <w:rFonts w:ascii="Book Antiqua" w:hAnsi="Book Antiqua" w:cs="Times New Roman"/>
          <w:sz w:val="28"/>
          <w:szCs w:val="28"/>
        </w:rPr>
        <w:t xml:space="preserve">subsidization of some </w:t>
      </w:r>
      <w:r w:rsidR="005F421A" w:rsidRPr="005B1ED4">
        <w:rPr>
          <w:rFonts w:ascii="Book Antiqua" w:hAnsi="Book Antiqua" w:cs="Times New Roman"/>
          <w:sz w:val="28"/>
          <w:szCs w:val="28"/>
        </w:rPr>
        <w:t>politic</w:t>
      </w:r>
      <w:r w:rsidR="002352AB" w:rsidRPr="005B1ED4">
        <w:rPr>
          <w:rFonts w:ascii="Book Antiqua" w:hAnsi="Book Antiqua" w:cs="Times New Roman"/>
          <w:sz w:val="28"/>
          <w:szCs w:val="28"/>
        </w:rPr>
        <w:t>al</w:t>
      </w:r>
      <w:r w:rsidR="005F421A" w:rsidRPr="005B1ED4">
        <w:rPr>
          <w:rFonts w:ascii="Book Antiqua" w:hAnsi="Book Antiqua" w:cs="Times New Roman"/>
          <w:sz w:val="28"/>
          <w:szCs w:val="28"/>
        </w:rPr>
        <w:t xml:space="preserve"> messages and ineffective opt-out system. </w:t>
      </w:r>
      <w:r w:rsidR="00A87795" w:rsidRPr="005B1ED4">
        <w:rPr>
          <w:rFonts w:ascii="Book Antiqua" w:hAnsi="Book Antiqua" w:cs="Times New Roman"/>
          <w:sz w:val="28"/>
          <w:szCs w:val="28"/>
        </w:rPr>
        <w:t>They also fail to</w:t>
      </w:r>
      <w:r w:rsidR="005F421A" w:rsidRPr="005B1ED4">
        <w:rPr>
          <w:rFonts w:ascii="Book Antiqua" w:hAnsi="Book Antiqua" w:cs="Times New Roman"/>
          <w:sz w:val="28"/>
          <w:szCs w:val="28"/>
        </w:rPr>
        <w:t xml:space="preserve"> </w:t>
      </w:r>
      <w:r w:rsidRPr="005B1ED4">
        <w:rPr>
          <w:rFonts w:ascii="Book Antiqua" w:hAnsi="Book Antiqua" w:cs="Times New Roman"/>
          <w:sz w:val="28"/>
          <w:szCs w:val="28"/>
        </w:rPr>
        <w:t xml:space="preserve">connect the dots </w:t>
      </w:r>
      <w:r w:rsidRPr="005B1ED4">
        <w:rPr>
          <w:rFonts w:ascii="Book Antiqua" w:hAnsi="Book Antiqua" w:cs="Times New Roman"/>
          <w:sz w:val="28"/>
          <w:szCs w:val="28"/>
        </w:rPr>
        <w:lastRenderedPageBreak/>
        <w:t xml:space="preserve">between their laudable policy goals and mandatory state bars. </w:t>
      </w:r>
      <w:r w:rsidR="00A87795" w:rsidRPr="005B1ED4">
        <w:rPr>
          <w:rFonts w:ascii="Book Antiqua" w:hAnsi="Book Antiqua" w:cs="Times New Roman"/>
          <w:sz w:val="28"/>
          <w:szCs w:val="28"/>
        </w:rPr>
        <w:t xml:space="preserve">Those failures are </w:t>
      </w:r>
      <w:r w:rsidR="00997609" w:rsidRPr="005B1ED4">
        <w:rPr>
          <w:rFonts w:ascii="Book Antiqua" w:hAnsi="Book Antiqua" w:cs="Times New Roman"/>
          <w:sz w:val="28"/>
          <w:szCs w:val="28"/>
        </w:rPr>
        <w:t>telling, if not dispositive</w:t>
      </w:r>
      <w:r w:rsidR="00276C12" w:rsidRPr="005B1ED4">
        <w:rPr>
          <w:rFonts w:ascii="Book Antiqua" w:hAnsi="Book Antiqua" w:cs="Times New Roman"/>
          <w:sz w:val="28"/>
          <w:szCs w:val="28"/>
        </w:rPr>
        <w:t xml:space="preserve">, and counsel in favor of Petitioners’ proposed amendments. This Court should </w:t>
      </w:r>
      <w:r w:rsidR="00997609" w:rsidRPr="005B1ED4">
        <w:rPr>
          <w:rFonts w:ascii="Book Antiqua" w:hAnsi="Book Antiqua" w:cs="Times New Roman"/>
          <w:sz w:val="28"/>
          <w:szCs w:val="28"/>
        </w:rPr>
        <w:t>not</w:t>
      </w:r>
      <w:r w:rsidR="00276C12" w:rsidRPr="005B1ED4">
        <w:rPr>
          <w:rFonts w:ascii="Book Antiqua" w:hAnsi="Book Antiqua" w:cs="Times New Roman"/>
          <w:sz w:val="28"/>
          <w:szCs w:val="28"/>
        </w:rPr>
        <w:t xml:space="preserve"> sacrifice the fundamental right </w:t>
      </w:r>
      <w:r w:rsidR="00997609" w:rsidRPr="005B1ED4">
        <w:rPr>
          <w:rFonts w:ascii="Book Antiqua" w:hAnsi="Book Antiqua" w:cs="Times New Roman"/>
          <w:sz w:val="28"/>
          <w:szCs w:val="28"/>
        </w:rPr>
        <w:t>of citizens</w:t>
      </w:r>
      <w:r w:rsidR="00276C12" w:rsidRPr="005B1ED4">
        <w:rPr>
          <w:rFonts w:ascii="Book Antiqua" w:hAnsi="Book Antiqua" w:cs="Times New Roman"/>
          <w:sz w:val="28"/>
          <w:szCs w:val="28"/>
        </w:rPr>
        <w:t xml:space="preserve"> </w:t>
      </w:r>
      <w:r w:rsidR="00AC7B76" w:rsidRPr="005B1ED4">
        <w:rPr>
          <w:rFonts w:ascii="Book Antiqua" w:hAnsi="Book Antiqua" w:cs="Times New Roman"/>
          <w:sz w:val="28"/>
          <w:szCs w:val="28"/>
        </w:rPr>
        <w:t xml:space="preserve">to </w:t>
      </w:r>
      <w:r w:rsidR="00276C12" w:rsidRPr="005B1ED4">
        <w:rPr>
          <w:rFonts w:ascii="Book Antiqua" w:hAnsi="Book Antiqua" w:cs="Times New Roman"/>
          <w:sz w:val="28"/>
          <w:szCs w:val="28"/>
        </w:rPr>
        <w:t xml:space="preserve">refrain from speech and association, </w:t>
      </w:r>
      <w:r w:rsidR="00997609" w:rsidRPr="005B1ED4">
        <w:rPr>
          <w:rFonts w:ascii="Book Antiqua" w:hAnsi="Book Antiqua" w:cs="Times New Roman"/>
          <w:i/>
          <w:iCs/>
          <w:sz w:val="28"/>
          <w:szCs w:val="28"/>
        </w:rPr>
        <w:t>especially</w:t>
      </w:r>
      <w:r w:rsidR="00997609" w:rsidRPr="005B1ED4">
        <w:rPr>
          <w:rFonts w:ascii="Book Antiqua" w:hAnsi="Book Antiqua" w:cs="Times New Roman"/>
          <w:sz w:val="28"/>
          <w:szCs w:val="28"/>
        </w:rPr>
        <w:t xml:space="preserve"> without any</w:t>
      </w:r>
      <w:r w:rsidR="00276C12" w:rsidRPr="005B1ED4">
        <w:rPr>
          <w:rFonts w:ascii="Book Antiqua" w:hAnsi="Book Antiqua" w:cs="Times New Roman"/>
          <w:sz w:val="28"/>
          <w:szCs w:val="28"/>
        </w:rPr>
        <w:t xml:space="preserve"> countervailing policy benefits. </w:t>
      </w:r>
      <w:r w:rsidR="00997609" w:rsidRPr="005B1ED4">
        <w:rPr>
          <w:rFonts w:ascii="Book Antiqua" w:hAnsi="Book Antiqua" w:cs="Times New Roman"/>
          <w:sz w:val="28"/>
          <w:szCs w:val="28"/>
        </w:rPr>
        <w:t>Petitioners respectfully request that the Court adopt their proposed amendments.</w:t>
      </w:r>
    </w:p>
    <w:p w14:paraId="354AE35C" w14:textId="374A9B77" w:rsidR="005B1ED4" w:rsidRPr="005B1ED4" w:rsidRDefault="005B1ED4" w:rsidP="005B1ED4">
      <w:pPr>
        <w:spacing w:after="0" w:line="480" w:lineRule="exact"/>
        <w:ind w:left="547"/>
        <w:jc w:val="both"/>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Respectfully submitted this 2</w:t>
      </w:r>
      <w:r w:rsidRPr="005B1ED4">
        <w:rPr>
          <w:rFonts w:ascii="Book Antiqua" w:eastAsia="Calibri" w:hAnsi="Book Antiqua" w:cs="Times New Roman"/>
          <w:kern w:val="0"/>
          <w:sz w:val="28"/>
          <w:szCs w:val="28"/>
          <w:vertAlign w:val="superscript"/>
          <w14:ligatures w14:val="none"/>
        </w:rPr>
        <w:t>nd</w:t>
      </w:r>
      <w:r w:rsidRPr="005B1ED4">
        <w:rPr>
          <w:rFonts w:ascii="Book Antiqua" w:eastAsia="Calibri" w:hAnsi="Book Antiqua" w:cs="Times New Roman"/>
          <w:kern w:val="0"/>
          <w:sz w:val="28"/>
          <w:szCs w:val="28"/>
          <w14:ligatures w14:val="none"/>
        </w:rPr>
        <w:t xml:space="preserve"> day of J</w:t>
      </w:r>
      <w:r>
        <w:rPr>
          <w:rFonts w:ascii="Book Antiqua" w:eastAsia="Calibri" w:hAnsi="Book Antiqua" w:cs="Times New Roman"/>
          <w:kern w:val="0"/>
          <w:sz w:val="28"/>
          <w:szCs w:val="28"/>
          <w14:ligatures w14:val="none"/>
        </w:rPr>
        <w:t>une</w:t>
      </w:r>
      <w:r w:rsidRPr="005B1ED4">
        <w:rPr>
          <w:rFonts w:ascii="Book Antiqua" w:eastAsia="Calibri" w:hAnsi="Book Antiqua" w:cs="Times New Roman"/>
          <w:kern w:val="0"/>
          <w:sz w:val="28"/>
          <w:szCs w:val="28"/>
          <w14:ligatures w14:val="none"/>
        </w:rPr>
        <w:t xml:space="preserve"> 2025.</w:t>
      </w:r>
    </w:p>
    <w:p w14:paraId="15010908" w14:textId="77777777" w:rsidR="005B1ED4" w:rsidRPr="005B1ED4" w:rsidRDefault="005B1ED4" w:rsidP="005B1ED4">
      <w:pPr>
        <w:widowControl w:val="0"/>
        <w:spacing w:beforeLines="20" w:before="48" w:after="0" w:line="260" w:lineRule="exact"/>
        <w:ind w:right="360"/>
        <w:rPr>
          <w:rFonts w:ascii="Book Antiqua" w:eastAsia="Calibri" w:hAnsi="Book Antiqua" w:cs="Times New Roman"/>
          <w:kern w:val="0"/>
          <w:sz w:val="28"/>
          <w:szCs w:val="28"/>
          <w14:ligatures w14:val="none"/>
        </w:rPr>
      </w:pPr>
    </w:p>
    <w:p w14:paraId="63C42BC1" w14:textId="77777777" w:rsidR="005B1ED4" w:rsidRPr="005B1ED4" w:rsidRDefault="005B1ED4" w:rsidP="005B1ED4">
      <w:pPr>
        <w:widowControl w:val="0"/>
        <w:spacing w:beforeLines="20" w:before="48" w:after="0" w:line="260" w:lineRule="exact"/>
        <w:ind w:left="4680" w:right="360"/>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 xml:space="preserve">By: </w:t>
      </w:r>
      <w:r w:rsidRPr="005B1ED4">
        <w:rPr>
          <w:rFonts w:ascii="Book Antiqua" w:eastAsia="Calibri" w:hAnsi="Book Antiqua" w:cs="Times New Roman"/>
          <w:i/>
          <w:iCs/>
          <w:kern w:val="0"/>
          <w:sz w:val="28"/>
          <w:szCs w:val="28"/>
          <w:u w:val="single"/>
          <w14:ligatures w14:val="none"/>
        </w:rPr>
        <w:t>/s/ Andrew W. Gould</w:t>
      </w:r>
    </w:p>
    <w:p w14:paraId="77CF7FA0" w14:textId="77777777" w:rsidR="005B1ED4" w:rsidRPr="005B1ED4" w:rsidRDefault="005B1ED4" w:rsidP="005B1ED4">
      <w:pPr>
        <w:widowControl w:val="0"/>
        <w:spacing w:beforeLines="20" w:before="48" w:after="0" w:line="260" w:lineRule="exact"/>
        <w:ind w:left="5040" w:right="360"/>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Andrew W. Gould #013234</w:t>
      </w:r>
    </w:p>
    <w:p w14:paraId="6E600845" w14:textId="77777777" w:rsidR="005B1ED4" w:rsidRPr="005B1ED4" w:rsidRDefault="005B1ED4" w:rsidP="005B1ED4">
      <w:pPr>
        <w:widowControl w:val="0"/>
        <w:spacing w:beforeLines="20" w:before="48" w:after="0" w:line="260" w:lineRule="exact"/>
        <w:ind w:left="5040" w:right="360"/>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Emily G. Gould #036184</w:t>
      </w:r>
    </w:p>
    <w:p w14:paraId="752A35AD" w14:textId="77777777" w:rsidR="005B1ED4" w:rsidRPr="005B1ED4" w:rsidRDefault="005B1ED4" w:rsidP="005B1ED4">
      <w:pPr>
        <w:widowControl w:val="0"/>
        <w:spacing w:beforeLines="20" w:before="48" w:after="0" w:line="260" w:lineRule="exact"/>
        <w:ind w:left="5040" w:right="144"/>
        <w:rPr>
          <w:rFonts w:ascii="Book Antiqua" w:eastAsia="Calibri" w:hAnsi="Book Antiqua" w:cs="Times New Roman"/>
          <w:caps/>
          <w:kern w:val="0"/>
          <w:sz w:val="28"/>
          <w:szCs w:val="28"/>
          <w14:ligatures w14:val="none"/>
        </w:rPr>
      </w:pPr>
      <w:r w:rsidRPr="005B1ED4">
        <w:rPr>
          <w:rFonts w:ascii="Book Antiqua" w:eastAsia="Calibri" w:hAnsi="Book Antiqua" w:cs="Times New Roman"/>
          <w:caps/>
          <w:kern w:val="0"/>
          <w:sz w:val="28"/>
          <w:szCs w:val="28"/>
          <w14:ligatures w14:val="none"/>
        </w:rPr>
        <w:t xml:space="preserve">holtzman vogel baran </w:t>
      </w:r>
    </w:p>
    <w:p w14:paraId="6F5A1C5D" w14:textId="77777777" w:rsidR="005B1ED4" w:rsidRPr="005B1ED4" w:rsidRDefault="005B1ED4" w:rsidP="005B1ED4">
      <w:pPr>
        <w:widowControl w:val="0"/>
        <w:spacing w:beforeLines="20" w:before="48" w:after="0" w:line="260" w:lineRule="exact"/>
        <w:ind w:left="5040" w:right="144"/>
        <w:rPr>
          <w:rFonts w:ascii="Book Antiqua" w:eastAsia="Calibri" w:hAnsi="Book Antiqua" w:cs="Times New Roman"/>
          <w:caps/>
          <w:kern w:val="0"/>
          <w:sz w:val="28"/>
          <w:szCs w:val="28"/>
          <w14:ligatures w14:val="none"/>
        </w:rPr>
      </w:pPr>
      <w:r w:rsidRPr="005B1ED4">
        <w:rPr>
          <w:rFonts w:ascii="Book Antiqua" w:eastAsia="Calibri" w:hAnsi="Book Antiqua" w:cs="Times New Roman"/>
          <w:caps/>
          <w:kern w:val="0"/>
          <w:sz w:val="28"/>
          <w:szCs w:val="28"/>
          <w14:ligatures w14:val="none"/>
        </w:rPr>
        <w:t>torchinsky &amp; josefiak pllc</w:t>
      </w:r>
    </w:p>
    <w:p w14:paraId="6EFF18FD" w14:textId="77777777" w:rsidR="005B1ED4" w:rsidRPr="005B1ED4" w:rsidRDefault="005B1ED4" w:rsidP="005B1ED4">
      <w:pPr>
        <w:widowControl w:val="0"/>
        <w:spacing w:beforeLines="20" w:before="48" w:after="0" w:line="260" w:lineRule="exact"/>
        <w:ind w:left="5040"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2555 East Camelback Road</w:t>
      </w:r>
    </w:p>
    <w:p w14:paraId="4B6E8FD4" w14:textId="77777777" w:rsidR="005B1ED4" w:rsidRPr="005B1ED4" w:rsidRDefault="005B1ED4" w:rsidP="005B1ED4">
      <w:pPr>
        <w:widowControl w:val="0"/>
        <w:spacing w:beforeLines="20" w:before="48" w:after="0" w:line="260" w:lineRule="exact"/>
        <w:ind w:left="5040"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Suite 700</w:t>
      </w:r>
    </w:p>
    <w:p w14:paraId="6B90A3D6" w14:textId="77777777" w:rsidR="005B1ED4" w:rsidRPr="005B1ED4" w:rsidRDefault="005B1ED4" w:rsidP="005B1ED4">
      <w:pPr>
        <w:widowControl w:val="0"/>
        <w:spacing w:beforeLines="20" w:before="48" w:after="0" w:line="260" w:lineRule="exact"/>
        <w:ind w:left="5040" w:right="144"/>
        <w:rPr>
          <w:rFonts w:ascii="Book Antiqua" w:eastAsia="Calibri" w:hAnsi="Book Antiqua" w:cs="Times New Roman"/>
          <w:kern w:val="0"/>
          <w:sz w:val="28"/>
          <w:szCs w:val="28"/>
          <w14:ligatures w14:val="none"/>
        </w:rPr>
      </w:pPr>
      <w:r w:rsidRPr="005B1ED4">
        <w:rPr>
          <w:rFonts w:ascii="Book Antiqua" w:eastAsia="Calibri" w:hAnsi="Book Antiqua" w:cs="Times New Roman"/>
          <w:kern w:val="0"/>
          <w:sz w:val="28"/>
          <w:szCs w:val="28"/>
          <w14:ligatures w14:val="none"/>
        </w:rPr>
        <w:t>Phoenix, Arizona 85016</w:t>
      </w:r>
    </w:p>
    <w:p w14:paraId="26EA3132" w14:textId="77777777" w:rsidR="005B1ED4" w:rsidRPr="005B1ED4" w:rsidRDefault="005B1ED4" w:rsidP="005B1ED4">
      <w:pPr>
        <w:widowControl w:val="0"/>
        <w:spacing w:beforeLines="20" w:before="48" w:after="0" w:line="260" w:lineRule="exact"/>
        <w:ind w:left="5040" w:right="144"/>
        <w:rPr>
          <w:rFonts w:ascii="Book Antiqua" w:eastAsia="Calibri" w:hAnsi="Book Antiqua" w:cs="Times New Roman"/>
          <w:kern w:val="0"/>
          <w:sz w:val="28"/>
          <w:szCs w:val="28"/>
          <w14:ligatures w14:val="none"/>
        </w:rPr>
      </w:pPr>
    </w:p>
    <w:p w14:paraId="016E06BC" w14:textId="77777777" w:rsidR="005B1ED4" w:rsidRPr="005B1ED4" w:rsidRDefault="005B1ED4" w:rsidP="005B1ED4">
      <w:pPr>
        <w:widowControl w:val="0"/>
        <w:spacing w:beforeLines="20" w:before="48" w:after="0" w:line="260" w:lineRule="exact"/>
        <w:ind w:left="5040" w:right="144"/>
        <w:rPr>
          <w:rFonts w:ascii="Book Antiqua" w:eastAsia="Calibri" w:hAnsi="Book Antiqua" w:cs="Times New Roman"/>
          <w:i/>
          <w:iCs/>
          <w:kern w:val="0"/>
          <w:sz w:val="28"/>
          <w:szCs w:val="28"/>
          <w14:ligatures w14:val="none"/>
        </w:rPr>
      </w:pPr>
      <w:r w:rsidRPr="005B1ED4">
        <w:rPr>
          <w:rFonts w:ascii="Book Antiqua" w:eastAsia="Calibri" w:hAnsi="Book Antiqua" w:cs="Times New Roman"/>
          <w:i/>
          <w:iCs/>
          <w:kern w:val="0"/>
          <w:sz w:val="28"/>
          <w:szCs w:val="28"/>
          <w14:ligatures w14:val="none"/>
        </w:rPr>
        <w:t>Attorneys for Petitioners</w:t>
      </w:r>
    </w:p>
    <w:p w14:paraId="31BAA1B8" w14:textId="77777777" w:rsidR="005B1ED4" w:rsidRPr="005B1ED4" w:rsidRDefault="005B1ED4" w:rsidP="00B1344F">
      <w:pPr>
        <w:spacing w:after="0" w:line="480" w:lineRule="auto"/>
        <w:jc w:val="both"/>
        <w:rPr>
          <w:rFonts w:ascii="Book Antiqua" w:hAnsi="Book Antiqua" w:cs="Times New Roman"/>
          <w:sz w:val="28"/>
          <w:szCs w:val="28"/>
        </w:rPr>
      </w:pPr>
    </w:p>
    <w:sectPr w:rsidR="005B1ED4" w:rsidRPr="005B1E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AD72" w14:textId="77777777" w:rsidR="00C5217F" w:rsidRDefault="00C5217F" w:rsidP="00C24E8C">
      <w:pPr>
        <w:spacing w:after="0" w:line="240" w:lineRule="auto"/>
      </w:pPr>
      <w:r>
        <w:separator/>
      </w:r>
    </w:p>
  </w:endnote>
  <w:endnote w:type="continuationSeparator" w:id="0">
    <w:p w14:paraId="10D4CC7F" w14:textId="77777777" w:rsidR="00C5217F" w:rsidRDefault="00C5217F" w:rsidP="00C2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1271085030"/>
      <w:docPartObj>
        <w:docPartGallery w:val="Page Numbers (Bottom of Page)"/>
        <w:docPartUnique/>
      </w:docPartObj>
    </w:sdtPr>
    <w:sdtEndPr>
      <w:rPr>
        <w:rFonts w:ascii="Book Antiqua" w:hAnsi="Book Antiqua"/>
        <w:noProof/>
        <w:sz w:val="28"/>
      </w:rPr>
    </w:sdtEndPr>
    <w:sdtContent>
      <w:p w14:paraId="787CDD98" w14:textId="18FCF994" w:rsidR="00C24E8C" w:rsidRPr="005B1ED4" w:rsidRDefault="000579CB" w:rsidP="000579CB">
        <w:pPr>
          <w:pStyle w:val="Footer"/>
          <w:jc w:val="center"/>
          <w:rPr>
            <w:rFonts w:ascii="Book Antiqua" w:hAnsi="Book Antiqua"/>
            <w:sz w:val="28"/>
          </w:rPr>
        </w:pPr>
        <w:r w:rsidRPr="005B1ED4">
          <w:rPr>
            <w:rFonts w:ascii="Book Antiqua" w:hAnsi="Book Antiqua"/>
            <w:sz w:val="28"/>
          </w:rPr>
          <w:fldChar w:fldCharType="begin"/>
        </w:r>
        <w:r w:rsidRPr="005B1ED4">
          <w:rPr>
            <w:rFonts w:ascii="Book Antiqua" w:hAnsi="Book Antiqua"/>
            <w:sz w:val="28"/>
          </w:rPr>
          <w:instrText xml:space="preserve"> PAGE   \* MERGEFORMAT </w:instrText>
        </w:r>
        <w:r w:rsidRPr="005B1ED4">
          <w:rPr>
            <w:rFonts w:ascii="Book Antiqua" w:hAnsi="Book Antiqua"/>
            <w:sz w:val="28"/>
          </w:rPr>
          <w:fldChar w:fldCharType="separate"/>
        </w:r>
        <w:r w:rsidRPr="005B1ED4">
          <w:rPr>
            <w:rFonts w:ascii="Book Antiqua" w:hAnsi="Book Antiqua"/>
            <w:noProof/>
            <w:sz w:val="28"/>
          </w:rPr>
          <w:t>2</w:t>
        </w:r>
        <w:r w:rsidRPr="005B1ED4">
          <w:rPr>
            <w:rFonts w:ascii="Book Antiqua" w:hAnsi="Book Antiqua"/>
            <w:noProof/>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A6ED" w14:textId="77777777" w:rsidR="00C5217F" w:rsidRDefault="00C5217F" w:rsidP="00C24E8C">
      <w:pPr>
        <w:spacing w:after="0" w:line="240" w:lineRule="auto"/>
      </w:pPr>
      <w:r>
        <w:separator/>
      </w:r>
    </w:p>
  </w:footnote>
  <w:footnote w:type="continuationSeparator" w:id="0">
    <w:p w14:paraId="414103DA" w14:textId="77777777" w:rsidR="00C5217F" w:rsidRDefault="00C5217F" w:rsidP="00C24E8C">
      <w:pPr>
        <w:spacing w:after="0" w:line="240" w:lineRule="auto"/>
      </w:pPr>
      <w:r>
        <w:continuationSeparator/>
      </w:r>
    </w:p>
  </w:footnote>
  <w:footnote w:id="1">
    <w:p w14:paraId="7EC5954C" w14:textId="77777777" w:rsidR="00EE0EE9" w:rsidRPr="005B1ED4" w:rsidRDefault="00EE0EE9" w:rsidP="00EE0EE9">
      <w:pPr>
        <w:pStyle w:val="FootnoteText"/>
        <w:spacing w:after="120"/>
        <w:jc w:val="both"/>
        <w:rPr>
          <w:rFonts w:ascii="Book Antiqua" w:hAnsi="Book Antiqua"/>
          <w:sz w:val="28"/>
          <w:szCs w:val="28"/>
        </w:rPr>
      </w:pPr>
      <w:r w:rsidRPr="00462FC5">
        <w:rPr>
          <w:rStyle w:val="FootnoteReference"/>
          <w:rFonts w:ascii="Georgia" w:hAnsi="Georgia"/>
          <w:sz w:val="24"/>
          <w:szCs w:val="24"/>
        </w:rPr>
        <w:footnoteRef/>
      </w:r>
      <w:r w:rsidRPr="00462FC5">
        <w:rPr>
          <w:rFonts w:ascii="Georgia" w:hAnsi="Georgia"/>
          <w:sz w:val="24"/>
          <w:szCs w:val="24"/>
        </w:rPr>
        <w:t xml:space="preserve"> </w:t>
      </w:r>
      <w:r w:rsidRPr="005B1ED4">
        <w:rPr>
          <w:rFonts w:ascii="Book Antiqua" w:hAnsi="Book Antiqua"/>
          <w:sz w:val="28"/>
          <w:szCs w:val="28"/>
        </w:rPr>
        <w:t>https://www.abajournal.com/web/article/california-split-1-year-after-californias-state-bar-became-2-entities-observers-see-positive-changes.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735DF"/>
    <w:multiLevelType w:val="hybridMultilevel"/>
    <w:tmpl w:val="E3F83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3144B9"/>
    <w:multiLevelType w:val="hybridMultilevel"/>
    <w:tmpl w:val="4C3E4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3245A"/>
    <w:multiLevelType w:val="hybridMultilevel"/>
    <w:tmpl w:val="9BFCAB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06DAC"/>
    <w:multiLevelType w:val="hybridMultilevel"/>
    <w:tmpl w:val="7C9832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4E5CA0"/>
    <w:multiLevelType w:val="hybridMultilevel"/>
    <w:tmpl w:val="A11AF91E"/>
    <w:lvl w:ilvl="0" w:tplc="9DFA0A5E">
      <w:start w:val="1"/>
      <w:numFmt w:val="decimal"/>
      <w:lvlText w:val="%1."/>
      <w:lvlJc w:val="left"/>
      <w:pPr>
        <w:ind w:left="360" w:hanging="360"/>
      </w:pPr>
      <w:rPr>
        <w:rFonts w:ascii="Georgia" w:hAnsi="Georgia" w:hint="default"/>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0549894">
    <w:abstractNumId w:val="4"/>
  </w:num>
  <w:num w:numId="2" w16cid:durableId="1833717456">
    <w:abstractNumId w:val="2"/>
  </w:num>
  <w:num w:numId="3" w16cid:durableId="576326691">
    <w:abstractNumId w:val="1"/>
  </w:num>
  <w:num w:numId="4" w16cid:durableId="473715521">
    <w:abstractNumId w:val="3"/>
  </w:num>
  <w:num w:numId="5" w16cid:durableId="200542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85"/>
    <w:rsid w:val="00003FBC"/>
    <w:rsid w:val="00004919"/>
    <w:rsid w:val="00014174"/>
    <w:rsid w:val="000173B6"/>
    <w:rsid w:val="000176B1"/>
    <w:rsid w:val="000178A3"/>
    <w:rsid w:val="00017D61"/>
    <w:rsid w:val="00023174"/>
    <w:rsid w:val="00024264"/>
    <w:rsid w:val="00024B3F"/>
    <w:rsid w:val="000308F0"/>
    <w:rsid w:val="0003726B"/>
    <w:rsid w:val="000444E5"/>
    <w:rsid w:val="000459CC"/>
    <w:rsid w:val="0004743E"/>
    <w:rsid w:val="000523BC"/>
    <w:rsid w:val="000572BF"/>
    <w:rsid w:val="0005740C"/>
    <w:rsid w:val="000579CB"/>
    <w:rsid w:val="00060762"/>
    <w:rsid w:val="00067AC8"/>
    <w:rsid w:val="00072344"/>
    <w:rsid w:val="00072670"/>
    <w:rsid w:val="0007334B"/>
    <w:rsid w:val="00073F3F"/>
    <w:rsid w:val="00082EDC"/>
    <w:rsid w:val="00084028"/>
    <w:rsid w:val="00085696"/>
    <w:rsid w:val="000B0A95"/>
    <w:rsid w:val="000B0ADF"/>
    <w:rsid w:val="000B0D87"/>
    <w:rsid w:val="000B2E46"/>
    <w:rsid w:val="000B3087"/>
    <w:rsid w:val="000B361D"/>
    <w:rsid w:val="000B3A8C"/>
    <w:rsid w:val="000B48E4"/>
    <w:rsid w:val="000C3C88"/>
    <w:rsid w:val="000C6706"/>
    <w:rsid w:val="000D463C"/>
    <w:rsid w:val="000D4C1E"/>
    <w:rsid w:val="000D7079"/>
    <w:rsid w:val="000E04A0"/>
    <w:rsid w:val="000E3E25"/>
    <w:rsid w:val="000E6DF9"/>
    <w:rsid w:val="000F6010"/>
    <w:rsid w:val="00103985"/>
    <w:rsid w:val="00106A46"/>
    <w:rsid w:val="001073DC"/>
    <w:rsid w:val="00110081"/>
    <w:rsid w:val="00111515"/>
    <w:rsid w:val="00113EED"/>
    <w:rsid w:val="001149BE"/>
    <w:rsid w:val="00116F26"/>
    <w:rsid w:val="00123563"/>
    <w:rsid w:val="001316A6"/>
    <w:rsid w:val="00131B41"/>
    <w:rsid w:val="001415C6"/>
    <w:rsid w:val="00143218"/>
    <w:rsid w:val="0014652A"/>
    <w:rsid w:val="00157D56"/>
    <w:rsid w:val="00160423"/>
    <w:rsid w:val="001610CF"/>
    <w:rsid w:val="001637C3"/>
    <w:rsid w:val="00167FB8"/>
    <w:rsid w:val="001778D6"/>
    <w:rsid w:val="001803A0"/>
    <w:rsid w:val="001862D9"/>
    <w:rsid w:val="00190F53"/>
    <w:rsid w:val="00193B8F"/>
    <w:rsid w:val="00194988"/>
    <w:rsid w:val="00195084"/>
    <w:rsid w:val="0019591F"/>
    <w:rsid w:val="001A5127"/>
    <w:rsid w:val="001A7138"/>
    <w:rsid w:val="001A73BB"/>
    <w:rsid w:val="001B0C9B"/>
    <w:rsid w:val="001B3705"/>
    <w:rsid w:val="001B4132"/>
    <w:rsid w:val="001B45E7"/>
    <w:rsid w:val="001B6217"/>
    <w:rsid w:val="001B7497"/>
    <w:rsid w:val="001C0BB3"/>
    <w:rsid w:val="001C1216"/>
    <w:rsid w:val="001C22AC"/>
    <w:rsid w:val="001C3D8F"/>
    <w:rsid w:val="001D2B25"/>
    <w:rsid w:val="001D3E0F"/>
    <w:rsid w:val="001D64A7"/>
    <w:rsid w:val="001E4798"/>
    <w:rsid w:val="001F0525"/>
    <w:rsid w:val="001F1EDA"/>
    <w:rsid w:val="001F1FD2"/>
    <w:rsid w:val="00200A4D"/>
    <w:rsid w:val="002051D5"/>
    <w:rsid w:val="00205AB9"/>
    <w:rsid w:val="00210E38"/>
    <w:rsid w:val="00212AD8"/>
    <w:rsid w:val="00213754"/>
    <w:rsid w:val="00213A9D"/>
    <w:rsid w:val="00213B14"/>
    <w:rsid w:val="0022010E"/>
    <w:rsid w:val="002231B3"/>
    <w:rsid w:val="00224179"/>
    <w:rsid w:val="00227BA2"/>
    <w:rsid w:val="002352AB"/>
    <w:rsid w:val="0023530B"/>
    <w:rsid w:val="002364EC"/>
    <w:rsid w:val="00237EF2"/>
    <w:rsid w:val="002412DC"/>
    <w:rsid w:val="00241D51"/>
    <w:rsid w:val="0024625B"/>
    <w:rsid w:val="002467C0"/>
    <w:rsid w:val="00253216"/>
    <w:rsid w:val="00256E5E"/>
    <w:rsid w:val="002665EA"/>
    <w:rsid w:val="002709A9"/>
    <w:rsid w:val="002712EA"/>
    <w:rsid w:val="00276C12"/>
    <w:rsid w:val="00277D21"/>
    <w:rsid w:val="002816DC"/>
    <w:rsid w:val="00282D60"/>
    <w:rsid w:val="00292E0E"/>
    <w:rsid w:val="00293DB8"/>
    <w:rsid w:val="00295B3A"/>
    <w:rsid w:val="00297A97"/>
    <w:rsid w:val="002A0FAF"/>
    <w:rsid w:val="002C5BCB"/>
    <w:rsid w:val="002C61BE"/>
    <w:rsid w:val="002C7AB2"/>
    <w:rsid w:val="002C7EBB"/>
    <w:rsid w:val="002D24BA"/>
    <w:rsid w:val="002D3435"/>
    <w:rsid w:val="002E1E7B"/>
    <w:rsid w:val="002E3E6B"/>
    <w:rsid w:val="002F2518"/>
    <w:rsid w:val="002F32F0"/>
    <w:rsid w:val="002F3644"/>
    <w:rsid w:val="002F75DC"/>
    <w:rsid w:val="0030341E"/>
    <w:rsid w:val="00304BC4"/>
    <w:rsid w:val="003155D9"/>
    <w:rsid w:val="00315635"/>
    <w:rsid w:val="003160CF"/>
    <w:rsid w:val="00323FC0"/>
    <w:rsid w:val="00333F8B"/>
    <w:rsid w:val="003374D7"/>
    <w:rsid w:val="00347E91"/>
    <w:rsid w:val="00356A66"/>
    <w:rsid w:val="003571C5"/>
    <w:rsid w:val="00377A78"/>
    <w:rsid w:val="00381F07"/>
    <w:rsid w:val="00383AC3"/>
    <w:rsid w:val="00390125"/>
    <w:rsid w:val="00393968"/>
    <w:rsid w:val="003954A6"/>
    <w:rsid w:val="003A4C72"/>
    <w:rsid w:val="003A4F6E"/>
    <w:rsid w:val="003B04E9"/>
    <w:rsid w:val="003B4249"/>
    <w:rsid w:val="003C096C"/>
    <w:rsid w:val="003C107E"/>
    <w:rsid w:val="003C1524"/>
    <w:rsid w:val="003C1F9E"/>
    <w:rsid w:val="003C3D0E"/>
    <w:rsid w:val="003C7EDF"/>
    <w:rsid w:val="003D05B9"/>
    <w:rsid w:val="003D10D5"/>
    <w:rsid w:val="003D2F3D"/>
    <w:rsid w:val="003D77CC"/>
    <w:rsid w:val="003E0368"/>
    <w:rsid w:val="003E3A89"/>
    <w:rsid w:val="003E620D"/>
    <w:rsid w:val="003E6A1C"/>
    <w:rsid w:val="003F4C55"/>
    <w:rsid w:val="003F651F"/>
    <w:rsid w:val="003F6A64"/>
    <w:rsid w:val="00400C6B"/>
    <w:rsid w:val="004024E6"/>
    <w:rsid w:val="00404F1A"/>
    <w:rsid w:val="0040626C"/>
    <w:rsid w:val="004073B5"/>
    <w:rsid w:val="004146BF"/>
    <w:rsid w:val="00415132"/>
    <w:rsid w:val="004235AF"/>
    <w:rsid w:val="004238B9"/>
    <w:rsid w:val="0042426C"/>
    <w:rsid w:val="0042486E"/>
    <w:rsid w:val="00425B1F"/>
    <w:rsid w:val="00426082"/>
    <w:rsid w:val="00435203"/>
    <w:rsid w:val="00441D90"/>
    <w:rsid w:val="00450207"/>
    <w:rsid w:val="00450A6F"/>
    <w:rsid w:val="004546F3"/>
    <w:rsid w:val="00455D3A"/>
    <w:rsid w:val="00460EC2"/>
    <w:rsid w:val="00462F90"/>
    <w:rsid w:val="00462FC5"/>
    <w:rsid w:val="00466594"/>
    <w:rsid w:val="00472649"/>
    <w:rsid w:val="004733ED"/>
    <w:rsid w:val="00475360"/>
    <w:rsid w:val="00481020"/>
    <w:rsid w:val="004959E4"/>
    <w:rsid w:val="00497BAE"/>
    <w:rsid w:val="004A03FA"/>
    <w:rsid w:val="004A15C9"/>
    <w:rsid w:val="004A5CB6"/>
    <w:rsid w:val="004B06D7"/>
    <w:rsid w:val="004B3FDF"/>
    <w:rsid w:val="004B6648"/>
    <w:rsid w:val="004C34DA"/>
    <w:rsid w:val="004C59B9"/>
    <w:rsid w:val="004C79C8"/>
    <w:rsid w:val="004D348D"/>
    <w:rsid w:val="004D38AC"/>
    <w:rsid w:val="004D7503"/>
    <w:rsid w:val="004D7F12"/>
    <w:rsid w:val="004E29A0"/>
    <w:rsid w:val="004E47A4"/>
    <w:rsid w:val="004E5775"/>
    <w:rsid w:val="004F4EAF"/>
    <w:rsid w:val="004F707C"/>
    <w:rsid w:val="00514A92"/>
    <w:rsid w:val="005159EE"/>
    <w:rsid w:val="00515BD1"/>
    <w:rsid w:val="00516B1D"/>
    <w:rsid w:val="00517E90"/>
    <w:rsid w:val="005209DF"/>
    <w:rsid w:val="0052459D"/>
    <w:rsid w:val="00530741"/>
    <w:rsid w:val="00535E7D"/>
    <w:rsid w:val="0054357F"/>
    <w:rsid w:val="00545C4B"/>
    <w:rsid w:val="0054644B"/>
    <w:rsid w:val="00551088"/>
    <w:rsid w:val="00551311"/>
    <w:rsid w:val="00565FB7"/>
    <w:rsid w:val="00566A30"/>
    <w:rsid w:val="00571096"/>
    <w:rsid w:val="0058031A"/>
    <w:rsid w:val="0058369C"/>
    <w:rsid w:val="0058371C"/>
    <w:rsid w:val="00584CEF"/>
    <w:rsid w:val="0058572D"/>
    <w:rsid w:val="00586C60"/>
    <w:rsid w:val="00595519"/>
    <w:rsid w:val="00595D80"/>
    <w:rsid w:val="005965A6"/>
    <w:rsid w:val="00597F4D"/>
    <w:rsid w:val="005A4A06"/>
    <w:rsid w:val="005B1ED4"/>
    <w:rsid w:val="005B3916"/>
    <w:rsid w:val="005B6A95"/>
    <w:rsid w:val="005B6C5A"/>
    <w:rsid w:val="005C5205"/>
    <w:rsid w:val="005C7356"/>
    <w:rsid w:val="005D68F4"/>
    <w:rsid w:val="005E03D2"/>
    <w:rsid w:val="005E41B5"/>
    <w:rsid w:val="005E5C95"/>
    <w:rsid w:val="005E7350"/>
    <w:rsid w:val="005F138E"/>
    <w:rsid w:val="005F1855"/>
    <w:rsid w:val="005F2D0E"/>
    <w:rsid w:val="005F421A"/>
    <w:rsid w:val="005F5DC7"/>
    <w:rsid w:val="005F6F23"/>
    <w:rsid w:val="00600186"/>
    <w:rsid w:val="00601E99"/>
    <w:rsid w:val="00602F27"/>
    <w:rsid w:val="006031A7"/>
    <w:rsid w:val="00606EA4"/>
    <w:rsid w:val="00611B5D"/>
    <w:rsid w:val="0061274D"/>
    <w:rsid w:val="006160D4"/>
    <w:rsid w:val="00625124"/>
    <w:rsid w:val="00625A70"/>
    <w:rsid w:val="006311C9"/>
    <w:rsid w:val="00631EEA"/>
    <w:rsid w:val="00634D60"/>
    <w:rsid w:val="0063583F"/>
    <w:rsid w:val="00642BD3"/>
    <w:rsid w:val="00643F0A"/>
    <w:rsid w:val="00644902"/>
    <w:rsid w:val="00644A68"/>
    <w:rsid w:val="00644E74"/>
    <w:rsid w:val="00651ABF"/>
    <w:rsid w:val="00652B81"/>
    <w:rsid w:val="00666CA3"/>
    <w:rsid w:val="00666D76"/>
    <w:rsid w:val="006701FF"/>
    <w:rsid w:val="00672274"/>
    <w:rsid w:val="00676737"/>
    <w:rsid w:val="0067759D"/>
    <w:rsid w:val="00677E9B"/>
    <w:rsid w:val="006973CE"/>
    <w:rsid w:val="006A329F"/>
    <w:rsid w:val="006A422B"/>
    <w:rsid w:val="006A767E"/>
    <w:rsid w:val="006B2ADD"/>
    <w:rsid w:val="006B7E27"/>
    <w:rsid w:val="006C283F"/>
    <w:rsid w:val="006C366A"/>
    <w:rsid w:val="006C5CE9"/>
    <w:rsid w:val="006D5E09"/>
    <w:rsid w:val="006E796F"/>
    <w:rsid w:val="006F4373"/>
    <w:rsid w:val="006F5D7C"/>
    <w:rsid w:val="007075CA"/>
    <w:rsid w:val="0071793C"/>
    <w:rsid w:val="007236AF"/>
    <w:rsid w:val="00730510"/>
    <w:rsid w:val="007315D8"/>
    <w:rsid w:val="00735CAE"/>
    <w:rsid w:val="00737FD1"/>
    <w:rsid w:val="00741D6A"/>
    <w:rsid w:val="00741DE0"/>
    <w:rsid w:val="0074635B"/>
    <w:rsid w:val="00751713"/>
    <w:rsid w:val="00754018"/>
    <w:rsid w:val="00763FDB"/>
    <w:rsid w:val="007663E5"/>
    <w:rsid w:val="007664EA"/>
    <w:rsid w:val="00766A3E"/>
    <w:rsid w:val="00770B18"/>
    <w:rsid w:val="0077140A"/>
    <w:rsid w:val="00774A6C"/>
    <w:rsid w:val="00775DF0"/>
    <w:rsid w:val="00780DFD"/>
    <w:rsid w:val="00781302"/>
    <w:rsid w:val="007815EC"/>
    <w:rsid w:val="00782D94"/>
    <w:rsid w:val="007870BE"/>
    <w:rsid w:val="00793C65"/>
    <w:rsid w:val="00795BD5"/>
    <w:rsid w:val="007972FB"/>
    <w:rsid w:val="007A5D85"/>
    <w:rsid w:val="007A6673"/>
    <w:rsid w:val="007A6731"/>
    <w:rsid w:val="007B0810"/>
    <w:rsid w:val="007B0859"/>
    <w:rsid w:val="007C02E5"/>
    <w:rsid w:val="007C3949"/>
    <w:rsid w:val="007C3C75"/>
    <w:rsid w:val="007D0936"/>
    <w:rsid w:val="007D45A8"/>
    <w:rsid w:val="007D4AF3"/>
    <w:rsid w:val="007D63CF"/>
    <w:rsid w:val="007F138A"/>
    <w:rsid w:val="007F1F92"/>
    <w:rsid w:val="007F2B98"/>
    <w:rsid w:val="007F7BE7"/>
    <w:rsid w:val="007F7C05"/>
    <w:rsid w:val="008020B0"/>
    <w:rsid w:val="00810193"/>
    <w:rsid w:val="008121E5"/>
    <w:rsid w:val="00815468"/>
    <w:rsid w:val="008160E1"/>
    <w:rsid w:val="00820A5F"/>
    <w:rsid w:val="0082260B"/>
    <w:rsid w:val="00822ECC"/>
    <w:rsid w:val="0083134A"/>
    <w:rsid w:val="008321F4"/>
    <w:rsid w:val="008365E2"/>
    <w:rsid w:val="00837564"/>
    <w:rsid w:val="00850601"/>
    <w:rsid w:val="00850DCE"/>
    <w:rsid w:val="008573B8"/>
    <w:rsid w:val="0086245F"/>
    <w:rsid w:val="00864F3A"/>
    <w:rsid w:val="008666FE"/>
    <w:rsid w:val="00870B5D"/>
    <w:rsid w:val="00872FB2"/>
    <w:rsid w:val="00881568"/>
    <w:rsid w:val="008839CD"/>
    <w:rsid w:val="0088459E"/>
    <w:rsid w:val="008861CD"/>
    <w:rsid w:val="008907D5"/>
    <w:rsid w:val="00890ECC"/>
    <w:rsid w:val="00892862"/>
    <w:rsid w:val="00895DC9"/>
    <w:rsid w:val="008B2B54"/>
    <w:rsid w:val="008B38C9"/>
    <w:rsid w:val="008B4546"/>
    <w:rsid w:val="008C413E"/>
    <w:rsid w:val="008C6CDB"/>
    <w:rsid w:val="008D491A"/>
    <w:rsid w:val="008D4980"/>
    <w:rsid w:val="008D514D"/>
    <w:rsid w:val="008E4296"/>
    <w:rsid w:val="008E4903"/>
    <w:rsid w:val="008F00EF"/>
    <w:rsid w:val="008F057A"/>
    <w:rsid w:val="008F339F"/>
    <w:rsid w:val="008F3791"/>
    <w:rsid w:val="008F569F"/>
    <w:rsid w:val="0090328C"/>
    <w:rsid w:val="0090385E"/>
    <w:rsid w:val="00906490"/>
    <w:rsid w:val="0090651F"/>
    <w:rsid w:val="009078B1"/>
    <w:rsid w:val="00911EB5"/>
    <w:rsid w:val="009154CF"/>
    <w:rsid w:val="00922134"/>
    <w:rsid w:val="0092509B"/>
    <w:rsid w:val="00925BA9"/>
    <w:rsid w:val="00927C87"/>
    <w:rsid w:val="009305EF"/>
    <w:rsid w:val="0093416B"/>
    <w:rsid w:val="0093471C"/>
    <w:rsid w:val="00935BC0"/>
    <w:rsid w:val="00953D58"/>
    <w:rsid w:val="00954478"/>
    <w:rsid w:val="00956A75"/>
    <w:rsid w:val="00957B94"/>
    <w:rsid w:val="009602B6"/>
    <w:rsid w:val="00960A61"/>
    <w:rsid w:val="00961912"/>
    <w:rsid w:val="00961969"/>
    <w:rsid w:val="009624B4"/>
    <w:rsid w:val="00962A68"/>
    <w:rsid w:val="00963050"/>
    <w:rsid w:val="0096619F"/>
    <w:rsid w:val="00971144"/>
    <w:rsid w:val="009726A5"/>
    <w:rsid w:val="009740D2"/>
    <w:rsid w:val="0097689D"/>
    <w:rsid w:val="00981025"/>
    <w:rsid w:val="00981EA4"/>
    <w:rsid w:val="00982E39"/>
    <w:rsid w:val="00984FE1"/>
    <w:rsid w:val="00993412"/>
    <w:rsid w:val="00994C99"/>
    <w:rsid w:val="009950BF"/>
    <w:rsid w:val="00997609"/>
    <w:rsid w:val="009A154E"/>
    <w:rsid w:val="009A5C18"/>
    <w:rsid w:val="009A751B"/>
    <w:rsid w:val="009B18C0"/>
    <w:rsid w:val="009B4F78"/>
    <w:rsid w:val="009C35D4"/>
    <w:rsid w:val="009C6208"/>
    <w:rsid w:val="009D21FC"/>
    <w:rsid w:val="009D7512"/>
    <w:rsid w:val="009E03D8"/>
    <w:rsid w:val="009E4D6D"/>
    <w:rsid w:val="009E712B"/>
    <w:rsid w:val="009E783E"/>
    <w:rsid w:val="009F0B8A"/>
    <w:rsid w:val="009F0CFD"/>
    <w:rsid w:val="009F14D5"/>
    <w:rsid w:val="009F4588"/>
    <w:rsid w:val="009F4742"/>
    <w:rsid w:val="00A00153"/>
    <w:rsid w:val="00A05ADF"/>
    <w:rsid w:val="00A12B21"/>
    <w:rsid w:val="00A149FF"/>
    <w:rsid w:val="00A323BF"/>
    <w:rsid w:val="00A404A4"/>
    <w:rsid w:val="00A413C9"/>
    <w:rsid w:val="00A459F6"/>
    <w:rsid w:val="00A50A39"/>
    <w:rsid w:val="00A51A29"/>
    <w:rsid w:val="00A56753"/>
    <w:rsid w:val="00A57058"/>
    <w:rsid w:val="00A636DD"/>
    <w:rsid w:val="00A63E5A"/>
    <w:rsid w:val="00A646BB"/>
    <w:rsid w:val="00A65670"/>
    <w:rsid w:val="00A71B13"/>
    <w:rsid w:val="00A73F62"/>
    <w:rsid w:val="00A76AD8"/>
    <w:rsid w:val="00A805F2"/>
    <w:rsid w:val="00A808F3"/>
    <w:rsid w:val="00A86BA6"/>
    <w:rsid w:val="00A87795"/>
    <w:rsid w:val="00A87E3D"/>
    <w:rsid w:val="00A925AC"/>
    <w:rsid w:val="00A940DF"/>
    <w:rsid w:val="00A951B3"/>
    <w:rsid w:val="00A962F1"/>
    <w:rsid w:val="00AA0BCF"/>
    <w:rsid w:val="00AA5614"/>
    <w:rsid w:val="00AB40ED"/>
    <w:rsid w:val="00AB459A"/>
    <w:rsid w:val="00AB75FC"/>
    <w:rsid w:val="00AC1C8C"/>
    <w:rsid w:val="00AC23F8"/>
    <w:rsid w:val="00AC7B76"/>
    <w:rsid w:val="00AD6048"/>
    <w:rsid w:val="00AD7D41"/>
    <w:rsid w:val="00AD7F00"/>
    <w:rsid w:val="00AD7F7C"/>
    <w:rsid w:val="00AE10F9"/>
    <w:rsid w:val="00AE65D4"/>
    <w:rsid w:val="00AF0336"/>
    <w:rsid w:val="00AF2AB9"/>
    <w:rsid w:val="00B03C28"/>
    <w:rsid w:val="00B066B7"/>
    <w:rsid w:val="00B1344F"/>
    <w:rsid w:val="00B17F93"/>
    <w:rsid w:val="00B22AEE"/>
    <w:rsid w:val="00B23503"/>
    <w:rsid w:val="00B262E6"/>
    <w:rsid w:val="00B27D06"/>
    <w:rsid w:val="00B34968"/>
    <w:rsid w:val="00B37172"/>
    <w:rsid w:val="00B476FA"/>
    <w:rsid w:val="00B56322"/>
    <w:rsid w:val="00B6060F"/>
    <w:rsid w:val="00B60BBB"/>
    <w:rsid w:val="00B64C6E"/>
    <w:rsid w:val="00B66A9E"/>
    <w:rsid w:val="00B713E7"/>
    <w:rsid w:val="00B75287"/>
    <w:rsid w:val="00B75684"/>
    <w:rsid w:val="00B86C40"/>
    <w:rsid w:val="00B92A1B"/>
    <w:rsid w:val="00BA12F4"/>
    <w:rsid w:val="00BA233E"/>
    <w:rsid w:val="00BA7851"/>
    <w:rsid w:val="00BA7A28"/>
    <w:rsid w:val="00BB3B80"/>
    <w:rsid w:val="00BB452C"/>
    <w:rsid w:val="00BC2E72"/>
    <w:rsid w:val="00BC3692"/>
    <w:rsid w:val="00BC58EA"/>
    <w:rsid w:val="00BC5E62"/>
    <w:rsid w:val="00BC65EE"/>
    <w:rsid w:val="00BC7DE9"/>
    <w:rsid w:val="00BE0286"/>
    <w:rsid w:val="00BE513F"/>
    <w:rsid w:val="00BE7629"/>
    <w:rsid w:val="00BF0577"/>
    <w:rsid w:val="00BF1C19"/>
    <w:rsid w:val="00BF4B74"/>
    <w:rsid w:val="00BF4EAE"/>
    <w:rsid w:val="00BF5268"/>
    <w:rsid w:val="00BF7346"/>
    <w:rsid w:val="00BF7404"/>
    <w:rsid w:val="00C00A05"/>
    <w:rsid w:val="00C02D02"/>
    <w:rsid w:val="00C11D44"/>
    <w:rsid w:val="00C12D3A"/>
    <w:rsid w:val="00C14067"/>
    <w:rsid w:val="00C151A7"/>
    <w:rsid w:val="00C17CE3"/>
    <w:rsid w:val="00C20D34"/>
    <w:rsid w:val="00C24E8C"/>
    <w:rsid w:val="00C35203"/>
    <w:rsid w:val="00C3748D"/>
    <w:rsid w:val="00C4067E"/>
    <w:rsid w:val="00C46747"/>
    <w:rsid w:val="00C47B7B"/>
    <w:rsid w:val="00C50E5F"/>
    <w:rsid w:val="00C515EF"/>
    <w:rsid w:val="00C5217F"/>
    <w:rsid w:val="00C61D73"/>
    <w:rsid w:val="00C67BAB"/>
    <w:rsid w:val="00C7188B"/>
    <w:rsid w:val="00C72244"/>
    <w:rsid w:val="00C77717"/>
    <w:rsid w:val="00C84E9C"/>
    <w:rsid w:val="00C93BBF"/>
    <w:rsid w:val="00CA3130"/>
    <w:rsid w:val="00CA6263"/>
    <w:rsid w:val="00CA63E8"/>
    <w:rsid w:val="00CB34BA"/>
    <w:rsid w:val="00CB711D"/>
    <w:rsid w:val="00CC0083"/>
    <w:rsid w:val="00CC5C05"/>
    <w:rsid w:val="00CC6A70"/>
    <w:rsid w:val="00CD27AC"/>
    <w:rsid w:val="00CD49E7"/>
    <w:rsid w:val="00CD66B6"/>
    <w:rsid w:val="00CD7480"/>
    <w:rsid w:val="00CD7B19"/>
    <w:rsid w:val="00CE4063"/>
    <w:rsid w:val="00CE65CB"/>
    <w:rsid w:val="00CE76A1"/>
    <w:rsid w:val="00CE7A81"/>
    <w:rsid w:val="00CF08C3"/>
    <w:rsid w:val="00CF20FA"/>
    <w:rsid w:val="00CF2AE1"/>
    <w:rsid w:val="00D00110"/>
    <w:rsid w:val="00D05054"/>
    <w:rsid w:val="00D17109"/>
    <w:rsid w:val="00D23C2C"/>
    <w:rsid w:val="00D25FCB"/>
    <w:rsid w:val="00D327E8"/>
    <w:rsid w:val="00D34F31"/>
    <w:rsid w:val="00D3729E"/>
    <w:rsid w:val="00D37677"/>
    <w:rsid w:val="00D41346"/>
    <w:rsid w:val="00D4320D"/>
    <w:rsid w:val="00D44A92"/>
    <w:rsid w:val="00D45CAC"/>
    <w:rsid w:val="00D46659"/>
    <w:rsid w:val="00D525B0"/>
    <w:rsid w:val="00D553A1"/>
    <w:rsid w:val="00D553CC"/>
    <w:rsid w:val="00D55F43"/>
    <w:rsid w:val="00D563F1"/>
    <w:rsid w:val="00D61E16"/>
    <w:rsid w:val="00D65A10"/>
    <w:rsid w:val="00D7131D"/>
    <w:rsid w:val="00D81657"/>
    <w:rsid w:val="00D81A95"/>
    <w:rsid w:val="00D81B74"/>
    <w:rsid w:val="00D92605"/>
    <w:rsid w:val="00D92C04"/>
    <w:rsid w:val="00D93323"/>
    <w:rsid w:val="00D9449B"/>
    <w:rsid w:val="00DA2E1D"/>
    <w:rsid w:val="00DA32AC"/>
    <w:rsid w:val="00DA3C24"/>
    <w:rsid w:val="00DA5238"/>
    <w:rsid w:val="00DA73D1"/>
    <w:rsid w:val="00DA7E81"/>
    <w:rsid w:val="00DB5D18"/>
    <w:rsid w:val="00DC50D1"/>
    <w:rsid w:val="00DD0EA2"/>
    <w:rsid w:val="00DD7443"/>
    <w:rsid w:val="00DE32FD"/>
    <w:rsid w:val="00DE472E"/>
    <w:rsid w:val="00DF2B40"/>
    <w:rsid w:val="00DF4420"/>
    <w:rsid w:val="00E037D6"/>
    <w:rsid w:val="00E076DB"/>
    <w:rsid w:val="00E149AF"/>
    <w:rsid w:val="00E15292"/>
    <w:rsid w:val="00E16044"/>
    <w:rsid w:val="00E163A2"/>
    <w:rsid w:val="00E16583"/>
    <w:rsid w:val="00E2012E"/>
    <w:rsid w:val="00E31BC6"/>
    <w:rsid w:val="00E33A83"/>
    <w:rsid w:val="00E35D3D"/>
    <w:rsid w:val="00E35F30"/>
    <w:rsid w:val="00E3652D"/>
    <w:rsid w:val="00E3663B"/>
    <w:rsid w:val="00E42BEF"/>
    <w:rsid w:val="00E5193A"/>
    <w:rsid w:val="00E53110"/>
    <w:rsid w:val="00E53653"/>
    <w:rsid w:val="00E60367"/>
    <w:rsid w:val="00E610A8"/>
    <w:rsid w:val="00E630AB"/>
    <w:rsid w:val="00E65190"/>
    <w:rsid w:val="00E6689E"/>
    <w:rsid w:val="00E73915"/>
    <w:rsid w:val="00E81E90"/>
    <w:rsid w:val="00E94323"/>
    <w:rsid w:val="00EA50D9"/>
    <w:rsid w:val="00EA5CD7"/>
    <w:rsid w:val="00EA7009"/>
    <w:rsid w:val="00EB07FC"/>
    <w:rsid w:val="00EB2E69"/>
    <w:rsid w:val="00EC3C76"/>
    <w:rsid w:val="00EC4CF7"/>
    <w:rsid w:val="00ED0DA3"/>
    <w:rsid w:val="00ED2985"/>
    <w:rsid w:val="00EE0EE9"/>
    <w:rsid w:val="00EE4DE2"/>
    <w:rsid w:val="00EE7129"/>
    <w:rsid w:val="00EF13EA"/>
    <w:rsid w:val="00EF2594"/>
    <w:rsid w:val="00F00F1F"/>
    <w:rsid w:val="00F01E03"/>
    <w:rsid w:val="00F04AB1"/>
    <w:rsid w:val="00F04FAC"/>
    <w:rsid w:val="00F0670D"/>
    <w:rsid w:val="00F070BA"/>
    <w:rsid w:val="00F10E1A"/>
    <w:rsid w:val="00F11E72"/>
    <w:rsid w:val="00F17505"/>
    <w:rsid w:val="00F175C5"/>
    <w:rsid w:val="00F17D9E"/>
    <w:rsid w:val="00F20739"/>
    <w:rsid w:val="00F23057"/>
    <w:rsid w:val="00F321E1"/>
    <w:rsid w:val="00F4046B"/>
    <w:rsid w:val="00F40CBA"/>
    <w:rsid w:val="00F4502D"/>
    <w:rsid w:val="00F542C6"/>
    <w:rsid w:val="00F546E8"/>
    <w:rsid w:val="00F612AC"/>
    <w:rsid w:val="00F6420B"/>
    <w:rsid w:val="00F6482E"/>
    <w:rsid w:val="00F72FDC"/>
    <w:rsid w:val="00F77853"/>
    <w:rsid w:val="00F849D9"/>
    <w:rsid w:val="00F84AA1"/>
    <w:rsid w:val="00F9430F"/>
    <w:rsid w:val="00F96A81"/>
    <w:rsid w:val="00FA7964"/>
    <w:rsid w:val="00FB0B57"/>
    <w:rsid w:val="00FB5534"/>
    <w:rsid w:val="00FB5AF1"/>
    <w:rsid w:val="00FC1012"/>
    <w:rsid w:val="00FC2578"/>
    <w:rsid w:val="00FC2B95"/>
    <w:rsid w:val="00FC755B"/>
    <w:rsid w:val="00FD136A"/>
    <w:rsid w:val="00FD22BE"/>
    <w:rsid w:val="00FD3ACE"/>
    <w:rsid w:val="00FD5205"/>
    <w:rsid w:val="00FD7D4F"/>
    <w:rsid w:val="00FE17F4"/>
    <w:rsid w:val="00FE289A"/>
    <w:rsid w:val="00FE55F1"/>
    <w:rsid w:val="00FE7EA1"/>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79A3"/>
  <w15:chartTrackingRefBased/>
  <w15:docId w15:val="{284B9B4A-805A-4779-809D-F694B6A4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3F"/>
  </w:style>
  <w:style w:type="paragraph" w:styleId="Heading1">
    <w:name w:val="heading 1"/>
    <w:basedOn w:val="Normal"/>
    <w:next w:val="Normal"/>
    <w:link w:val="Heading1Char"/>
    <w:uiPriority w:val="9"/>
    <w:qFormat/>
    <w:rsid w:val="00ED2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985"/>
    <w:rPr>
      <w:rFonts w:eastAsiaTheme="majorEastAsia" w:cstheme="majorBidi"/>
      <w:color w:val="272727" w:themeColor="text1" w:themeTint="D8"/>
    </w:rPr>
  </w:style>
  <w:style w:type="paragraph" w:styleId="Title">
    <w:name w:val="Title"/>
    <w:basedOn w:val="Normal"/>
    <w:next w:val="Normal"/>
    <w:link w:val="TitleChar"/>
    <w:uiPriority w:val="10"/>
    <w:qFormat/>
    <w:rsid w:val="00ED2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985"/>
    <w:pPr>
      <w:spacing w:before="160"/>
      <w:jc w:val="center"/>
    </w:pPr>
    <w:rPr>
      <w:i/>
      <w:iCs/>
      <w:color w:val="404040" w:themeColor="text1" w:themeTint="BF"/>
    </w:rPr>
  </w:style>
  <w:style w:type="character" w:customStyle="1" w:styleId="QuoteChar">
    <w:name w:val="Quote Char"/>
    <w:basedOn w:val="DefaultParagraphFont"/>
    <w:link w:val="Quote"/>
    <w:uiPriority w:val="29"/>
    <w:rsid w:val="00ED2985"/>
    <w:rPr>
      <w:i/>
      <w:iCs/>
      <w:color w:val="404040" w:themeColor="text1" w:themeTint="BF"/>
    </w:rPr>
  </w:style>
  <w:style w:type="paragraph" w:styleId="ListParagraph">
    <w:name w:val="List Paragraph"/>
    <w:basedOn w:val="Normal"/>
    <w:uiPriority w:val="34"/>
    <w:qFormat/>
    <w:rsid w:val="00ED2985"/>
    <w:pPr>
      <w:ind w:left="720"/>
      <w:contextualSpacing/>
    </w:pPr>
  </w:style>
  <w:style w:type="character" w:styleId="IntenseEmphasis">
    <w:name w:val="Intense Emphasis"/>
    <w:basedOn w:val="DefaultParagraphFont"/>
    <w:uiPriority w:val="21"/>
    <w:qFormat/>
    <w:rsid w:val="00ED2985"/>
    <w:rPr>
      <w:i/>
      <w:iCs/>
      <w:color w:val="0F4761" w:themeColor="accent1" w:themeShade="BF"/>
    </w:rPr>
  </w:style>
  <w:style w:type="paragraph" w:styleId="IntenseQuote">
    <w:name w:val="Intense Quote"/>
    <w:basedOn w:val="Normal"/>
    <w:next w:val="Normal"/>
    <w:link w:val="IntenseQuoteChar"/>
    <w:uiPriority w:val="30"/>
    <w:qFormat/>
    <w:rsid w:val="00ED2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985"/>
    <w:rPr>
      <w:i/>
      <w:iCs/>
      <w:color w:val="0F4761" w:themeColor="accent1" w:themeShade="BF"/>
    </w:rPr>
  </w:style>
  <w:style w:type="character" w:styleId="IntenseReference">
    <w:name w:val="Intense Reference"/>
    <w:basedOn w:val="DefaultParagraphFont"/>
    <w:uiPriority w:val="32"/>
    <w:qFormat/>
    <w:rsid w:val="00ED2985"/>
    <w:rPr>
      <w:b/>
      <w:bCs/>
      <w:smallCaps/>
      <w:color w:val="0F4761" w:themeColor="accent1" w:themeShade="BF"/>
      <w:spacing w:val="5"/>
    </w:rPr>
  </w:style>
  <w:style w:type="paragraph" w:styleId="Header">
    <w:name w:val="header"/>
    <w:basedOn w:val="Normal"/>
    <w:link w:val="HeaderChar"/>
    <w:uiPriority w:val="99"/>
    <w:unhideWhenUsed/>
    <w:rsid w:val="00C24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E8C"/>
  </w:style>
  <w:style w:type="paragraph" w:styleId="Footer">
    <w:name w:val="footer"/>
    <w:basedOn w:val="Normal"/>
    <w:link w:val="FooterChar"/>
    <w:uiPriority w:val="99"/>
    <w:unhideWhenUsed/>
    <w:rsid w:val="00C24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E8C"/>
  </w:style>
  <w:style w:type="paragraph" w:styleId="FootnoteText">
    <w:name w:val="footnote text"/>
    <w:basedOn w:val="Normal"/>
    <w:link w:val="FootnoteTextChar"/>
    <w:uiPriority w:val="99"/>
    <w:semiHidden/>
    <w:unhideWhenUsed/>
    <w:rsid w:val="00DE4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72E"/>
    <w:rPr>
      <w:sz w:val="20"/>
      <w:szCs w:val="20"/>
    </w:rPr>
  </w:style>
  <w:style w:type="character" w:styleId="FootnoteReference">
    <w:name w:val="footnote reference"/>
    <w:basedOn w:val="DefaultParagraphFont"/>
    <w:uiPriority w:val="99"/>
    <w:semiHidden/>
    <w:unhideWhenUsed/>
    <w:rsid w:val="00DE472E"/>
    <w:rPr>
      <w:vertAlign w:val="superscript"/>
    </w:rPr>
  </w:style>
  <w:style w:type="character" w:styleId="Hyperlink">
    <w:name w:val="Hyperlink"/>
    <w:basedOn w:val="DefaultParagraphFont"/>
    <w:uiPriority w:val="99"/>
    <w:unhideWhenUsed/>
    <w:rsid w:val="00CE4063"/>
    <w:rPr>
      <w:color w:val="467886" w:themeColor="hyperlink"/>
      <w:u w:val="single"/>
    </w:rPr>
  </w:style>
  <w:style w:type="character" w:styleId="UnresolvedMention">
    <w:name w:val="Unresolved Mention"/>
    <w:basedOn w:val="DefaultParagraphFont"/>
    <w:uiPriority w:val="99"/>
    <w:semiHidden/>
    <w:unhideWhenUsed/>
    <w:rsid w:val="00CE4063"/>
    <w:rPr>
      <w:color w:val="605E5C"/>
      <w:shd w:val="clear" w:color="auto" w:fill="E1DFDD"/>
    </w:rPr>
  </w:style>
  <w:style w:type="paragraph" w:styleId="Revision">
    <w:name w:val="Revision"/>
    <w:hidden/>
    <w:uiPriority w:val="99"/>
    <w:semiHidden/>
    <w:rsid w:val="006A767E"/>
    <w:pPr>
      <w:spacing w:after="0" w:line="240" w:lineRule="auto"/>
    </w:pPr>
  </w:style>
  <w:style w:type="character" w:styleId="CommentReference">
    <w:name w:val="annotation reference"/>
    <w:basedOn w:val="DefaultParagraphFont"/>
    <w:uiPriority w:val="99"/>
    <w:semiHidden/>
    <w:unhideWhenUsed/>
    <w:rsid w:val="00565FB7"/>
    <w:rPr>
      <w:sz w:val="16"/>
      <w:szCs w:val="16"/>
    </w:rPr>
  </w:style>
  <w:style w:type="paragraph" w:styleId="CommentText">
    <w:name w:val="annotation text"/>
    <w:basedOn w:val="Normal"/>
    <w:link w:val="CommentTextChar"/>
    <w:uiPriority w:val="99"/>
    <w:unhideWhenUsed/>
    <w:rsid w:val="00565FB7"/>
    <w:pPr>
      <w:spacing w:line="240" w:lineRule="auto"/>
    </w:pPr>
    <w:rPr>
      <w:sz w:val="20"/>
      <w:szCs w:val="20"/>
    </w:rPr>
  </w:style>
  <w:style w:type="character" w:customStyle="1" w:styleId="CommentTextChar">
    <w:name w:val="Comment Text Char"/>
    <w:basedOn w:val="DefaultParagraphFont"/>
    <w:link w:val="CommentText"/>
    <w:uiPriority w:val="99"/>
    <w:rsid w:val="00565FB7"/>
    <w:rPr>
      <w:sz w:val="20"/>
      <w:szCs w:val="20"/>
    </w:rPr>
  </w:style>
  <w:style w:type="paragraph" w:styleId="CommentSubject">
    <w:name w:val="annotation subject"/>
    <w:basedOn w:val="CommentText"/>
    <w:next w:val="CommentText"/>
    <w:link w:val="CommentSubjectChar"/>
    <w:uiPriority w:val="99"/>
    <w:semiHidden/>
    <w:unhideWhenUsed/>
    <w:rsid w:val="00565FB7"/>
    <w:rPr>
      <w:b/>
      <w:bCs/>
    </w:rPr>
  </w:style>
  <w:style w:type="character" w:customStyle="1" w:styleId="CommentSubjectChar">
    <w:name w:val="Comment Subject Char"/>
    <w:basedOn w:val="CommentTextChar"/>
    <w:link w:val="CommentSubject"/>
    <w:uiPriority w:val="99"/>
    <w:semiHidden/>
    <w:rsid w:val="00565FB7"/>
    <w:rPr>
      <w:b/>
      <w:bCs/>
      <w:sz w:val="20"/>
      <w:szCs w:val="20"/>
    </w:rPr>
  </w:style>
  <w:style w:type="table" w:styleId="TableGrid">
    <w:name w:val="Table Grid"/>
    <w:basedOn w:val="TableNormal"/>
    <w:rsid w:val="005B1E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2161">
      <w:bodyDiv w:val="1"/>
      <w:marLeft w:val="0"/>
      <w:marRight w:val="0"/>
      <w:marTop w:val="0"/>
      <w:marBottom w:val="0"/>
      <w:divBdr>
        <w:top w:val="none" w:sz="0" w:space="0" w:color="auto"/>
        <w:left w:val="none" w:sz="0" w:space="0" w:color="auto"/>
        <w:bottom w:val="none" w:sz="0" w:space="0" w:color="auto"/>
        <w:right w:val="none" w:sz="0" w:space="0" w:color="auto"/>
      </w:divBdr>
      <w:divsChild>
        <w:div w:id="1391230031">
          <w:marLeft w:val="0"/>
          <w:marRight w:val="0"/>
          <w:marTop w:val="0"/>
          <w:marBottom w:val="0"/>
          <w:divBdr>
            <w:top w:val="none" w:sz="0" w:space="0" w:color="212121"/>
            <w:left w:val="none" w:sz="0" w:space="0" w:color="212121"/>
            <w:bottom w:val="none" w:sz="0" w:space="0" w:color="212121"/>
            <w:right w:val="none" w:sz="0" w:space="0" w:color="212121"/>
          </w:divBdr>
          <w:divsChild>
            <w:div w:id="12020878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1485415">
      <w:bodyDiv w:val="1"/>
      <w:marLeft w:val="0"/>
      <w:marRight w:val="0"/>
      <w:marTop w:val="0"/>
      <w:marBottom w:val="0"/>
      <w:divBdr>
        <w:top w:val="none" w:sz="0" w:space="0" w:color="auto"/>
        <w:left w:val="none" w:sz="0" w:space="0" w:color="auto"/>
        <w:bottom w:val="none" w:sz="0" w:space="0" w:color="auto"/>
        <w:right w:val="none" w:sz="0" w:space="0" w:color="auto"/>
      </w:divBdr>
      <w:divsChild>
        <w:div w:id="2040429690">
          <w:marLeft w:val="0"/>
          <w:marRight w:val="0"/>
          <w:marTop w:val="0"/>
          <w:marBottom w:val="0"/>
          <w:divBdr>
            <w:top w:val="none" w:sz="0" w:space="0" w:color="212121"/>
            <w:left w:val="none" w:sz="0" w:space="0" w:color="212121"/>
            <w:bottom w:val="none" w:sz="0" w:space="0" w:color="212121"/>
            <w:right w:val="none" w:sz="0" w:space="0" w:color="212121"/>
          </w:divBdr>
          <w:divsChild>
            <w:div w:id="194472150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40405745">
      <w:bodyDiv w:val="1"/>
      <w:marLeft w:val="0"/>
      <w:marRight w:val="0"/>
      <w:marTop w:val="0"/>
      <w:marBottom w:val="0"/>
      <w:divBdr>
        <w:top w:val="none" w:sz="0" w:space="0" w:color="auto"/>
        <w:left w:val="none" w:sz="0" w:space="0" w:color="auto"/>
        <w:bottom w:val="none" w:sz="0" w:space="0" w:color="auto"/>
        <w:right w:val="none" w:sz="0" w:space="0" w:color="auto"/>
      </w:divBdr>
      <w:divsChild>
        <w:div w:id="742726318">
          <w:marLeft w:val="0"/>
          <w:marRight w:val="0"/>
          <w:marTop w:val="0"/>
          <w:marBottom w:val="0"/>
          <w:divBdr>
            <w:top w:val="none" w:sz="0" w:space="0" w:color="212121"/>
            <w:left w:val="none" w:sz="0" w:space="0" w:color="212121"/>
            <w:bottom w:val="none" w:sz="0" w:space="0" w:color="212121"/>
            <w:right w:val="none" w:sz="0" w:space="0" w:color="212121"/>
          </w:divBdr>
          <w:divsChild>
            <w:div w:id="10270198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8979737">
      <w:bodyDiv w:val="1"/>
      <w:marLeft w:val="0"/>
      <w:marRight w:val="0"/>
      <w:marTop w:val="0"/>
      <w:marBottom w:val="0"/>
      <w:divBdr>
        <w:top w:val="none" w:sz="0" w:space="0" w:color="auto"/>
        <w:left w:val="none" w:sz="0" w:space="0" w:color="auto"/>
        <w:bottom w:val="none" w:sz="0" w:space="0" w:color="auto"/>
        <w:right w:val="none" w:sz="0" w:space="0" w:color="auto"/>
      </w:divBdr>
      <w:divsChild>
        <w:div w:id="667633519">
          <w:marLeft w:val="0"/>
          <w:marRight w:val="0"/>
          <w:marTop w:val="0"/>
          <w:marBottom w:val="0"/>
          <w:divBdr>
            <w:top w:val="none" w:sz="0" w:space="0" w:color="212121"/>
            <w:left w:val="none" w:sz="0" w:space="0" w:color="212121"/>
            <w:bottom w:val="none" w:sz="0" w:space="0" w:color="212121"/>
            <w:right w:val="none" w:sz="0" w:space="0" w:color="212121"/>
          </w:divBdr>
          <w:divsChild>
            <w:div w:id="21280385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68720555">
      <w:bodyDiv w:val="1"/>
      <w:marLeft w:val="0"/>
      <w:marRight w:val="0"/>
      <w:marTop w:val="0"/>
      <w:marBottom w:val="0"/>
      <w:divBdr>
        <w:top w:val="none" w:sz="0" w:space="0" w:color="auto"/>
        <w:left w:val="none" w:sz="0" w:space="0" w:color="auto"/>
        <w:bottom w:val="none" w:sz="0" w:space="0" w:color="auto"/>
        <w:right w:val="none" w:sz="0" w:space="0" w:color="auto"/>
      </w:divBdr>
      <w:divsChild>
        <w:div w:id="1629433536">
          <w:marLeft w:val="0"/>
          <w:marRight w:val="0"/>
          <w:marTop w:val="0"/>
          <w:marBottom w:val="0"/>
          <w:divBdr>
            <w:top w:val="none" w:sz="0" w:space="0" w:color="212121"/>
            <w:left w:val="none" w:sz="0" w:space="0" w:color="212121"/>
            <w:bottom w:val="none" w:sz="0" w:space="0" w:color="212121"/>
            <w:right w:val="none" w:sz="0" w:space="0" w:color="212121"/>
          </w:divBdr>
          <w:divsChild>
            <w:div w:id="89550856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11900856">
      <w:bodyDiv w:val="1"/>
      <w:marLeft w:val="0"/>
      <w:marRight w:val="0"/>
      <w:marTop w:val="0"/>
      <w:marBottom w:val="0"/>
      <w:divBdr>
        <w:top w:val="none" w:sz="0" w:space="0" w:color="auto"/>
        <w:left w:val="none" w:sz="0" w:space="0" w:color="auto"/>
        <w:bottom w:val="none" w:sz="0" w:space="0" w:color="auto"/>
        <w:right w:val="none" w:sz="0" w:space="0" w:color="auto"/>
      </w:divBdr>
      <w:divsChild>
        <w:div w:id="194074984">
          <w:marLeft w:val="0"/>
          <w:marRight w:val="0"/>
          <w:marTop w:val="0"/>
          <w:marBottom w:val="0"/>
          <w:divBdr>
            <w:top w:val="none" w:sz="0" w:space="0" w:color="212121"/>
            <w:left w:val="none" w:sz="0" w:space="0" w:color="212121"/>
            <w:bottom w:val="none" w:sz="0" w:space="0" w:color="212121"/>
            <w:right w:val="none" w:sz="0" w:space="0" w:color="212121"/>
          </w:divBdr>
          <w:divsChild>
            <w:div w:id="162531201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83620669">
      <w:bodyDiv w:val="1"/>
      <w:marLeft w:val="0"/>
      <w:marRight w:val="0"/>
      <w:marTop w:val="0"/>
      <w:marBottom w:val="0"/>
      <w:divBdr>
        <w:top w:val="none" w:sz="0" w:space="0" w:color="auto"/>
        <w:left w:val="none" w:sz="0" w:space="0" w:color="auto"/>
        <w:bottom w:val="none" w:sz="0" w:space="0" w:color="auto"/>
        <w:right w:val="none" w:sz="0" w:space="0" w:color="auto"/>
      </w:divBdr>
      <w:divsChild>
        <w:div w:id="70277857">
          <w:marLeft w:val="0"/>
          <w:marRight w:val="0"/>
          <w:marTop w:val="0"/>
          <w:marBottom w:val="0"/>
          <w:divBdr>
            <w:top w:val="none" w:sz="0" w:space="0" w:color="212121"/>
            <w:left w:val="none" w:sz="0" w:space="0" w:color="212121"/>
            <w:bottom w:val="none" w:sz="0" w:space="0" w:color="212121"/>
            <w:right w:val="none" w:sz="0" w:space="0" w:color="212121"/>
          </w:divBdr>
          <w:divsChild>
            <w:div w:id="11275110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06546291">
      <w:bodyDiv w:val="1"/>
      <w:marLeft w:val="0"/>
      <w:marRight w:val="0"/>
      <w:marTop w:val="0"/>
      <w:marBottom w:val="0"/>
      <w:divBdr>
        <w:top w:val="none" w:sz="0" w:space="0" w:color="auto"/>
        <w:left w:val="none" w:sz="0" w:space="0" w:color="auto"/>
        <w:bottom w:val="none" w:sz="0" w:space="0" w:color="auto"/>
        <w:right w:val="none" w:sz="0" w:space="0" w:color="auto"/>
      </w:divBdr>
      <w:divsChild>
        <w:div w:id="1612322168">
          <w:marLeft w:val="0"/>
          <w:marRight w:val="0"/>
          <w:marTop w:val="0"/>
          <w:marBottom w:val="0"/>
          <w:divBdr>
            <w:top w:val="none" w:sz="0" w:space="0" w:color="212121"/>
            <w:left w:val="none" w:sz="0" w:space="0" w:color="212121"/>
            <w:bottom w:val="none" w:sz="0" w:space="0" w:color="212121"/>
            <w:right w:val="none" w:sz="0" w:space="0" w:color="212121"/>
          </w:divBdr>
          <w:divsChild>
            <w:div w:id="163093669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78063403">
      <w:bodyDiv w:val="1"/>
      <w:marLeft w:val="0"/>
      <w:marRight w:val="0"/>
      <w:marTop w:val="0"/>
      <w:marBottom w:val="0"/>
      <w:divBdr>
        <w:top w:val="none" w:sz="0" w:space="0" w:color="auto"/>
        <w:left w:val="none" w:sz="0" w:space="0" w:color="auto"/>
        <w:bottom w:val="none" w:sz="0" w:space="0" w:color="auto"/>
        <w:right w:val="none" w:sz="0" w:space="0" w:color="auto"/>
      </w:divBdr>
      <w:divsChild>
        <w:div w:id="853425798">
          <w:marLeft w:val="0"/>
          <w:marRight w:val="0"/>
          <w:marTop w:val="0"/>
          <w:marBottom w:val="0"/>
          <w:divBdr>
            <w:top w:val="none" w:sz="0" w:space="0" w:color="212121"/>
            <w:left w:val="none" w:sz="0" w:space="0" w:color="212121"/>
            <w:bottom w:val="none" w:sz="0" w:space="0" w:color="212121"/>
            <w:right w:val="none" w:sz="0" w:space="0" w:color="212121"/>
          </w:divBdr>
          <w:divsChild>
            <w:div w:id="127343631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78778926">
      <w:bodyDiv w:val="1"/>
      <w:marLeft w:val="0"/>
      <w:marRight w:val="0"/>
      <w:marTop w:val="0"/>
      <w:marBottom w:val="0"/>
      <w:divBdr>
        <w:top w:val="none" w:sz="0" w:space="0" w:color="auto"/>
        <w:left w:val="none" w:sz="0" w:space="0" w:color="auto"/>
        <w:bottom w:val="none" w:sz="0" w:space="0" w:color="auto"/>
        <w:right w:val="none" w:sz="0" w:space="0" w:color="auto"/>
      </w:divBdr>
      <w:divsChild>
        <w:div w:id="1467774889">
          <w:marLeft w:val="0"/>
          <w:marRight w:val="0"/>
          <w:marTop w:val="0"/>
          <w:marBottom w:val="0"/>
          <w:divBdr>
            <w:top w:val="none" w:sz="0" w:space="0" w:color="212121"/>
            <w:left w:val="none" w:sz="0" w:space="0" w:color="212121"/>
            <w:bottom w:val="none" w:sz="0" w:space="0" w:color="212121"/>
            <w:right w:val="none" w:sz="0" w:space="0" w:color="212121"/>
          </w:divBdr>
          <w:divsChild>
            <w:div w:id="13088238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66945638">
      <w:bodyDiv w:val="1"/>
      <w:marLeft w:val="0"/>
      <w:marRight w:val="0"/>
      <w:marTop w:val="0"/>
      <w:marBottom w:val="0"/>
      <w:divBdr>
        <w:top w:val="none" w:sz="0" w:space="0" w:color="auto"/>
        <w:left w:val="none" w:sz="0" w:space="0" w:color="auto"/>
        <w:bottom w:val="none" w:sz="0" w:space="0" w:color="auto"/>
        <w:right w:val="none" w:sz="0" w:space="0" w:color="auto"/>
      </w:divBdr>
      <w:divsChild>
        <w:div w:id="1284775683">
          <w:marLeft w:val="0"/>
          <w:marRight w:val="0"/>
          <w:marTop w:val="0"/>
          <w:marBottom w:val="0"/>
          <w:divBdr>
            <w:top w:val="none" w:sz="0" w:space="0" w:color="212121"/>
            <w:left w:val="none" w:sz="0" w:space="0" w:color="212121"/>
            <w:bottom w:val="none" w:sz="0" w:space="0" w:color="212121"/>
            <w:right w:val="none" w:sz="0" w:space="0" w:color="212121"/>
          </w:divBdr>
          <w:divsChild>
            <w:div w:id="104270440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77254675">
      <w:bodyDiv w:val="1"/>
      <w:marLeft w:val="0"/>
      <w:marRight w:val="0"/>
      <w:marTop w:val="0"/>
      <w:marBottom w:val="0"/>
      <w:divBdr>
        <w:top w:val="none" w:sz="0" w:space="0" w:color="auto"/>
        <w:left w:val="none" w:sz="0" w:space="0" w:color="auto"/>
        <w:bottom w:val="none" w:sz="0" w:space="0" w:color="auto"/>
        <w:right w:val="none" w:sz="0" w:space="0" w:color="auto"/>
      </w:divBdr>
      <w:divsChild>
        <w:div w:id="1004631607">
          <w:marLeft w:val="0"/>
          <w:marRight w:val="0"/>
          <w:marTop w:val="0"/>
          <w:marBottom w:val="0"/>
          <w:divBdr>
            <w:top w:val="none" w:sz="0" w:space="0" w:color="212121"/>
            <w:left w:val="none" w:sz="0" w:space="0" w:color="212121"/>
            <w:bottom w:val="none" w:sz="0" w:space="0" w:color="212121"/>
            <w:right w:val="none" w:sz="0" w:space="0" w:color="212121"/>
          </w:divBdr>
          <w:divsChild>
            <w:div w:id="5825707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62709009">
      <w:bodyDiv w:val="1"/>
      <w:marLeft w:val="0"/>
      <w:marRight w:val="0"/>
      <w:marTop w:val="0"/>
      <w:marBottom w:val="0"/>
      <w:divBdr>
        <w:top w:val="none" w:sz="0" w:space="0" w:color="auto"/>
        <w:left w:val="none" w:sz="0" w:space="0" w:color="auto"/>
        <w:bottom w:val="none" w:sz="0" w:space="0" w:color="auto"/>
        <w:right w:val="none" w:sz="0" w:space="0" w:color="auto"/>
      </w:divBdr>
      <w:divsChild>
        <w:div w:id="2029479815">
          <w:marLeft w:val="0"/>
          <w:marRight w:val="0"/>
          <w:marTop w:val="0"/>
          <w:marBottom w:val="0"/>
          <w:divBdr>
            <w:top w:val="none" w:sz="0" w:space="0" w:color="212121"/>
            <w:left w:val="none" w:sz="0" w:space="0" w:color="212121"/>
            <w:bottom w:val="none" w:sz="0" w:space="0" w:color="212121"/>
            <w:right w:val="none" w:sz="0" w:space="0" w:color="212121"/>
          </w:divBdr>
          <w:divsChild>
            <w:div w:id="61741712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67484607">
      <w:bodyDiv w:val="1"/>
      <w:marLeft w:val="0"/>
      <w:marRight w:val="0"/>
      <w:marTop w:val="0"/>
      <w:marBottom w:val="0"/>
      <w:divBdr>
        <w:top w:val="none" w:sz="0" w:space="0" w:color="auto"/>
        <w:left w:val="none" w:sz="0" w:space="0" w:color="auto"/>
        <w:bottom w:val="none" w:sz="0" w:space="0" w:color="auto"/>
        <w:right w:val="none" w:sz="0" w:space="0" w:color="auto"/>
      </w:divBdr>
      <w:divsChild>
        <w:div w:id="1157189690">
          <w:marLeft w:val="0"/>
          <w:marRight w:val="0"/>
          <w:marTop w:val="0"/>
          <w:marBottom w:val="0"/>
          <w:divBdr>
            <w:top w:val="none" w:sz="0" w:space="0" w:color="212121"/>
            <w:left w:val="none" w:sz="0" w:space="0" w:color="212121"/>
            <w:bottom w:val="none" w:sz="0" w:space="0" w:color="212121"/>
            <w:right w:val="none" w:sz="0" w:space="0" w:color="212121"/>
          </w:divBdr>
          <w:divsChild>
            <w:div w:id="11830863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75882031">
      <w:bodyDiv w:val="1"/>
      <w:marLeft w:val="0"/>
      <w:marRight w:val="0"/>
      <w:marTop w:val="0"/>
      <w:marBottom w:val="0"/>
      <w:divBdr>
        <w:top w:val="none" w:sz="0" w:space="0" w:color="auto"/>
        <w:left w:val="none" w:sz="0" w:space="0" w:color="auto"/>
        <w:bottom w:val="none" w:sz="0" w:space="0" w:color="auto"/>
        <w:right w:val="none" w:sz="0" w:space="0" w:color="auto"/>
      </w:divBdr>
      <w:divsChild>
        <w:div w:id="1054621389">
          <w:marLeft w:val="0"/>
          <w:marRight w:val="0"/>
          <w:marTop w:val="0"/>
          <w:marBottom w:val="0"/>
          <w:divBdr>
            <w:top w:val="none" w:sz="0" w:space="0" w:color="212121"/>
            <w:left w:val="none" w:sz="0" w:space="0" w:color="212121"/>
            <w:bottom w:val="none" w:sz="0" w:space="0" w:color="212121"/>
            <w:right w:val="none" w:sz="0" w:space="0" w:color="212121"/>
          </w:divBdr>
          <w:divsChild>
            <w:div w:id="25305063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76615376">
      <w:bodyDiv w:val="1"/>
      <w:marLeft w:val="0"/>
      <w:marRight w:val="0"/>
      <w:marTop w:val="0"/>
      <w:marBottom w:val="0"/>
      <w:divBdr>
        <w:top w:val="none" w:sz="0" w:space="0" w:color="auto"/>
        <w:left w:val="none" w:sz="0" w:space="0" w:color="auto"/>
        <w:bottom w:val="none" w:sz="0" w:space="0" w:color="auto"/>
        <w:right w:val="none" w:sz="0" w:space="0" w:color="auto"/>
      </w:divBdr>
      <w:divsChild>
        <w:div w:id="1340305945">
          <w:marLeft w:val="0"/>
          <w:marRight w:val="0"/>
          <w:marTop w:val="0"/>
          <w:marBottom w:val="0"/>
          <w:divBdr>
            <w:top w:val="none" w:sz="0" w:space="0" w:color="212121"/>
            <w:left w:val="none" w:sz="0" w:space="0" w:color="212121"/>
            <w:bottom w:val="none" w:sz="0" w:space="0" w:color="212121"/>
            <w:right w:val="none" w:sz="0" w:space="0" w:color="212121"/>
          </w:divBdr>
          <w:divsChild>
            <w:div w:id="16297053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27653617">
      <w:bodyDiv w:val="1"/>
      <w:marLeft w:val="0"/>
      <w:marRight w:val="0"/>
      <w:marTop w:val="0"/>
      <w:marBottom w:val="0"/>
      <w:divBdr>
        <w:top w:val="none" w:sz="0" w:space="0" w:color="auto"/>
        <w:left w:val="none" w:sz="0" w:space="0" w:color="auto"/>
        <w:bottom w:val="none" w:sz="0" w:space="0" w:color="auto"/>
        <w:right w:val="none" w:sz="0" w:space="0" w:color="auto"/>
      </w:divBdr>
      <w:divsChild>
        <w:div w:id="1509976817">
          <w:marLeft w:val="0"/>
          <w:marRight w:val="0"/>
          <w:marTop w:val="0"/>
          <w:marBottom w:val="0"/>
          <w:divBdr>
            <w:top w:val="none" w:sz="0" w:space="0" w:color="212121"/>
            <w:left w:val="none" w:sz="0" w:space="0" w:color="212121"/>
            <w:bottom w:val="none" w:sz="0" w:space="0" w:color="212121"/>
            <w:right w:val="none" w:sz="0" w:space="0" w:color="212121"/>
          </w:divBdr>
          <w:divsChild>
            <w:div w:id="183992592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80613534">
      <w:bodyDiv w:val="1"/>
      <w:marLeft w:val="0"/>
      <w:marRight w:val="0"/>
      <w:marTop w:val="0"/>
      <w:marBottom w:val="0"/>
      <w:divBdr>
        <w:top w:val="none" w:sz="0" w:space="0" w:color="auto"/>
        <w:left w:val="none" w:sz="0" w:space="0" w:color="auto"/>
        <w:bottom w:val="none" w:sz="0" w:space="0" w:color="auto"/>
        <w:right w:val="none" w:sz="0" w:space="0" w:color="auto"/>
      </w:divBdr>
      <w:divsChild>
        <w:div w:id="1307005359">
          <w:marLeft w:val="0"/>
          <w:marRight w:val="0"/>
          <w:marTop w:val="0"/>
          <w:marBottom w:val="0"/>
          <w:divBdr>
            <w:top w:val="none" w:sz="0" w:space="0" w:color="212121"/>
            <w:left w:val="none" w:sz="0" w:space="0" w:color="212121"/>
            <w:bottom w:val="none" w:sz="0" w:space="0" w:color="212121"/>
            <w:right w:val="none" w:sz="0" w:space="0" w:color="212121"/>
          </w:divBdr>
          <w:divsChild>
            <w:div w:id="168343060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94830233">
      <w:bodyDiv w:val="1"/>
      <w:marLeft w:val="0"/>
      <w:marRight w:val="0"/>
      <w:marTop w:val="0"/>
      <w:marBottom w:val="0"/>
      <w:divBdr>
        <w:top w:val="none" w:sz="0" w:space="0" w:color="auto"/>
        <w:left w:val="none" w:sz="0" w:space="0" w:color="auto"/>
        <w:bottom w:val="none" w:sz="0" w:space="0" w:color="auto"/>
        <w:right w:val="none" w:sz="0" w:space="0" w:color="auto"/>
      </w:divBdr>
      <w:divsChild>
        <w:div w:id="1992900441">
          <w:marLeft w:val="0"/>
          <w:marRight w:val="0"/>
          <w:marTop w:val="0"/>
          <w:marBottom w:val="0"/>
          <w:divBdr>
            <w:top w:val="none" w:sz="0" w:space="0" w:color="212121"/>
            <w:left w:val="none" w:sz="0" w:space="0" w:color="212121"/>
            <w:bottom w:val="none" w:sz="0" w:space="0" w:color="212121"/>
            <w:right w:val="none" w:sz="0" w:space="0" w:color="212121"/>
          </w:divBdr>
          <w:divsChild>
            <w:div w:id="158526560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81214625">
      <w:bodyDiv w:val="1"/>
      <w:marLeft w:val="0"/>
      <w:marRight w:val="0"/>
      <w:marTop w:val="0"/>
      <w:marBottom w:val="0"/>
      <w:divBdr>
        <w:top w:val="none" w:sz="0" w:space="0" w:color="auto"/>
        <w:left w:val="none" w:sz="0" w:space="0" w:color="auto"/>
        <w:bottom w:val="none" w:sz="0" w:space="0" w:color="auto"/>
        <w:right w:val="none" w:sz="0" w:space="0" w:color="auto"/>
      </w:divBdr>
      <w:divsChild>
        <w:div w:id="1410082074">
          <w:marLeft w:val="0"/>
          <w:marRight w:val="0"/>
          <w:marTop w:val="0"/>
          <w:marBottom w:val="0"/>
          <w:divBdr>
            <w:top w:val="none" w:sz="0" w:space="0" w:color="212121"/>
            <w:left w:val="none" w:sz="0" w:space="0" w:color="212121"/>
            <w:bottom w:val="none" w:sz="0" w:space="0" w:color="212121"/>
            <w:right w:val="none" w:sz="0" w:space="0" w:color="212121"/>
          </w:divBdr>
          <w:divsChild>
            <w:div w:id="151160173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39550142">
      <w:bodyDiv w:val="1"/>
      <w:marLeft w:val="0"/>
      <w:marRight w:val="0"/>
      <w:marTop w:val="0"/>
      <w:marBottom w:val="0"/>
      <w:divBdr>
        <w:top w:val="none" w:sz="0" w:space="0" w:color="auto"/>
        <w:left w:val="none" w:sz="0" w:space="0" w:color="auto"/>
        <w:bottom w:val="none" w:sz="0" w:space="0" w:color="auto"/>
        <w:right w:val="none" w:sz="0" w:space="0" w:color="auto"/>
      </w:divBdr>
      <w:divsChild>
        <w:div w:id="1536846294">
          <w:marLeft w:val="0"/>
          <w:marRight w:val="0"/>
          <w:marTop w:val="0"/>
          <w:marBottom w:val="0"/>
          <w:divBdr>
            <w:top w:val="none" w:sz="0" w:space="0" w:color="212121"/>
            <w:left w:val="none" w:sz="0" w:space="0" w:color="212121"/>
            <w:bottom w:val="none" w:sz="0" w:space="0" w:color="212121"/>
            <w:right w:val="none" w:sz="0" w:space="0" w:color="212121"/>
          </w:divBdr>
          <w:divsChild>
            <w:div w:id="36379060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94789337">
      <w:bodyDiv w:val="1"/>
      <w:marLeft w:val="0"/>
      <w:marRight w:val="0"/>
      <w:marTop w:val="0"/>
      <w:marBottom w:val="0"/>
      <w:divBdr>
        <w:top w:val="none" w:sz="0" w:space="0" w:color="auto"/>
        <w:left w:val="none" w:sz="0" w:space="0" w:color="auto"/>
        <w:bottom w:val="none" w:sz="0" w:space="0" w:color="auto"/>
        <w:right w:val="none" w:sz="0" w:space="0" w:color="auto"/>
      </w:divBdr>
      <w:divsChild>
        <w:div w:id="663557685">
          <w:marLeft w:val="0"/>
          <w:marRight w:val="0"/>
          <w:marTop w:val="0"/>
          <w:marBottom w:val="0"/>
          <w:divBdr>
            <w:top w:val="none" w:sz="0" w:space="0" w:color="212121"/>
            <w:left w:val="none" w:sz="0" w:space="0" w:color="212121"/>
            <w:bottom w:val="none" w:sz="0" w:space="0" w:color="212121"/>
            <w:right w:val="none" w:sz="0" w:space="0" w:color="212121"/>
          </w:divBdr>
          <w:divsChild>
            <w:div w:id="60623256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HVLEGAL!1341789.1</documentid>
  <senderid>MPINKERT</senderid>
  <senderemail>MPINKERT@HOLTZMANVOGEL.COM</senderemail>
  <lastmodified>2025-05-29T10:22:00.0000000-04:00</lastmodified>
  <database>HVLEGAL</database>
</properties>
</file>

<file path=customXml/itemProps1.xml><?xml version="1.0" encoding="utf-8"?>
<ds:datastoreItem xmlns:ds="http://schemas.openxmlformats.org/officeDocument/2006/customXml" ds:itemID="{5FF1198C-2E8B-4930-9A2F-EF2208D9CF34}">
  <ds:schemaRefs>
    <ds:schemaRef ds:uri="http://schemas.openxmlformats.org/officeDocument/2006/bibliography"/>
  </ds:schemaRefs>
</ds:datastoreItem>
</file>

<file path=customXml/itemProps2.xml><?xml version="1.0" encoding="utf-8"?>
<ds:datastoreItem xmlns:ds="http://schemas.openxmlformats.org/officeDocument/2006/customXml" ds:itemID="{8B6B48DE-9ED4-4D07-A3AA-8D023A3319C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3162</Words>
  <Characters>17519</Characters>
  <Application>Microsoft Office Word</Application>
  <DocSecurity>4</DocSecurity>
  <Lines>330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Pinkert</dc:creator>
  <cp:keywords/>
  <dc:description/>
  <cp:lastModifiedBy>Lisa Charette</cp:lastModifiedBy>
  <cp:revision>2</cp:revision>
  <cp:lastPrinted>2025-06-02T20:54:00Z</cp:lastPrinted>
  <dcterms:created xsi:type="dcterms:W3CDTF">2025-06-02T21:53:00Z</dcterms:created>
  <dcterms:modified xsi:type="dcterms:W3CDTF">2025-06-02T21:53:00Z</dcterms:modified>
</cp:coreProperties>
</file>