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D7961" w14:textId="77777777" w:rsidR="006E5AA7" w:rsidRDefault="00567971">
      <w:pPr>
        <w:rPr>
          <w:sz w:val="28"/>
          <w:szCs w:val="28"/>
          <w:vertAlign w:val="baseline"/>
        </w:rPr>
      </w:pPr>
      <w:r>
        <w:rPr>
          <w:sz w:val="28"/>
          <w:szCs w:val="28"/>
          <w:vertAlign w:val="baseline"/>
        </w:rPr>
        <w:t>Kevin D. Heade</w:t>
      </w:r>
    </w:p>
    <w:p w14:paraId="75D64591" w14:textId="77777777" w:rsidR="006E5AA7" w:rsidRDefault="009E605E">
      <w:pPr>
        <w:rPr>
          <w:sz w:val="28"/>
          <w:szCs w:val="28"/>
          <w:vertAlign w:val="baseline"/>
        </w:rPr>
      </w:pPr>
      <w:r>
        <w:rPr>
          <w:sz w:val="28"/>
          <w:szCs w:val="28"/>
          <w:vertAlign w:val="baseline"/>
        </w:rPr>
        <w:t xml:space="preserve">AZ State Bar # </w:t>
      </w:r>
      <w:r w:rsidR="00131EB3">
        <w:rPr>
          <w:color w:val="222222"/>
          <w:sz w:val="28"/>
          <w:szCs w:val="28"/>
          <w:highlight w:val="white"/>
          <w:vertAlign w:val="baseline"/>
        </w:rPr>
        <w:t>029909</w:t>
      </w:r>
    </w:p>
    <w:p w14:paraId="3837C8E2" w14:textId="77777777" w:rsidR="006E5AA7" w:rsidRDefault="009E605E">
      <w:pPr>
        <w:rPr>
          <w:sz w:val="28"/>
          <w:szCs w:val="28"/>
          <w:vertAlign w:val="baseline"/>
        </w:rPr>
      </w:pPr>
      <w:r>
        <w:rPr>
          <w:sz w:val="28"/>
          <w:szCs w:val="28"/>
          <w:vertAlign w:val="baseline"/>
        </w:rPr>
        <w:t>P.O. Box 2457</w:t>
      </w:r>
    </w:p>
    <w:p w14:paraId="4F224DA8" w14:textId="77777777" w:rsidR="006E5AA7" w:rsidRDefault="009E605E">
      <w:pPr>
        <w:rPr>
          <w:sz w:val="28"/>
          <w:szCs w:val="28"/>
          <w:vertAlign w:val="baseline"/>
        </w:rPr>
      </w:pPr>
      <w:r>
        <w:rPr>
          <w:sz w:val="28"/>
          <w:szCs w:val="28"/>
          <w:vertAlign w:val="baseline"/>
        </w:rPr>
        <w:t>Florence, AZ 85132</w:t>
      </w:r>
    </w:p>
    <w:p w14:paraId="720A11C7" w14:textId="77777777" w:rsidR="00DF19B4" w:rsidRDefault="00DF19B4">
      <w:pPr>
        <w:rPr>
          <w:sz w:val="28"/>
          <w:szCs w:val="28"/>
          <w:vertAlign w:val="baseline"/>
        </w:rPr>
      </w:pPr>
      <w:r>
        <w:rPr>
          <w:sz w:val="28"/>
          <w:szCs w:val="28"/>
          <w:vertAlign w:val="baseline"/>
        </w:rPr>
        <w:t>(480) 251-8534</w:t>
      </w:r>
    </w:p>
    <w:p w14:paraId="0758E0C7" w14:textId="77777777" w:rsidR="003206D1" w:rsidRDefault="003206D1">
      <w:pPr>
        <w:rPr>
          <w:sz w:val="28"/>
          <w:szCs w:val="28"/>
          <w:vertAlign w:val="baseline"/>
        </w:rPr>
      </w:pPr>
      <w:r>
        <w:rPr>
          <w:sz w:val="28"/>
          <w:szCs w:val="28"/>
          <w:vertAlign w:val="baseline"/>
        </w:rPr>
        <w:t>Kevin.Heade@Gmail.com</w:t>
      </w:r>
    </w:p>
    <w:p w14:paraId="77B3F1E7" w14:textId="77777777" w:rsidR="006E5AA7" w:rsidRDefault="006E5AA7">
      <w:pPr>
        <w:keepNext/>
        <w:jc w:val="center"/>
        <w:rPr>
          <w:b/>
          <w:sz w:val="28"/>
          <w:szCs w:val="28"/>
          <w:vertAlign w:val="baseline"/>
        </w:rPr>
      </w:pPr>
    </w:p>
    <w:p w14:paraId="4D543349" w14:textId="77777777" w:rsidR="006E5AA7" w:rsidRDefault="006E5AA7">
      <w:pPr>
        <w:keepNext/>
        <w:jc w:val="center"/>
        <w:rPr>
          <w:b/>
          <w:sz w:val="28"/>
          <w:szCs w:val="28"/>
          <w:vertAlign w:val="baseline"/>
        </w:rPr>
      </w:pPr>
    </w:p>
    <w:p w14:paraId="324067D7" w14:textId="77777777" w:rsidR="006E5AA7" w:rsidRPr="00DF19B4" w:rsidRDefault="009E605E">
      <w:pPr>
        <w:keepNext/>
        <w:jc w:val="center"/>
        <w:rPr>
          <w:b/>
          <w:sz w:val="36"/>
          <w:szCs w:val="36"/>
          <w:vertAlign w:val="baseline"/>
        </w:rPr>
      </w:pPr>
      <w:r w:rsidRPr="00DF19B4">
        <w:rPr>
          <w:b/>
          <w:sz w:val="36"/>
          <w:szCs w:val="36"/>
          <w:vertAlign w:val="baseline"/>
        </w:rPr>
        <w:t>IN THE SUPREME COURT</w:t>
      </w:r>
    </w:p>
    <w:p w14:paraId="6BDC614B" w14:textId="77777777" w:rsidR="006E5AA7" w:rsidRDefault="009E605E">
      <w:pPr>
        <w:keepNext/>
        <w:jc w:val="center"/>
        <w:rPr>
          <w:b/>
          <w:sz w:val="36"/>
          <w:szCs w:val="36"/>
          <w:vertAlign w:val="baseline"/>
        </w:rPr>
      </w:pPr>
      <w:r w:rsidRPr="00DF19B4">
        <w:rPr>
          <w:b/>
          <w:sz w:val="36"/>
          <w:szCs w:val="36"/>
          <w:vertAlign w:val="baseline"/>
        </w:rPr>
        <w:t>IN AND FOR THE STATE OF ARIZONA</w:t>
      </w:r>
    </w:p>
    <w:p w14:paraId="008D7150" w14:textId="77777777"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14:paraId="391CB242" w14:textId="77777777">
        <w:trPr>
          <w:trHeight w:val="2655"/>
        </w:trPr>
        <w:tc>
          <w:tcPr>
            <w:tcW w:w="4767" w:type="dxa"/>
            <w:tcBorders>
              <w:bottom w:val="single" w:sz="4" w:space="0" w:color="000000"/>
            </w:tcBorders>
          </w:tcPr>
          <w:p w14:paraId="4D40AF4D" w14:textId="77777777" w:rsidR="006E5AA7" w:rsidRDefault="009E605E">
            <w:pPr>
              <w:spacing w:after="120"/>
              <w:ind w:right="87"/>
              <w:rPr>
                <w:sz w:val="28"/>
                <w:szCs w:val="28"/>
                <w:vertAlign w:val="baseline"/>
              </w:rPr>
            </w:pPr>
            <w:bookmarkStart w:id="0" w:name="bookmark=id.gjdgxs" w:colFirst="0" w:colLast="0"/>
            <w:bookmarkEnd w:id="0"/>
            <w:r>
              <w:rPr>
                <w:sz w:val="28"/>
                <w:szCs w:val="28"/>
                <w:vertAlign w:val="baseline"/>
              </w:rPr>
              <w:t>In the matter of:</w:t>
            </w:r>
          </w:p>
          <w:p w14:paraId="45920161" w14:textId="77777777" w:rsidR="006E5AA7" w:rsidRDefault="006E5AA7">
            <w:pPr>
              <w:spacing w:after="120"/>
              <w:ind w:right="87"/>
              <w:rPr>
                <w:sz w:val="28"/>
                <w:szCs w:val="28"/>
                <w:vertAlign w:val="baseline"/>
              </w:rPr>
            </w:pPr>
          </w:p>
          <w:p w14:paraId="0D4BB478" w14:textId="77777777" w:rsidR="006E5AA7" w:rsidRDefault="009E605E" w:rsidP="00567971">
            <w:pPr>
              <w:spacing w:after="120"/>
              <w:ind w:right="87"/>
              <w:rPr>
                <w:sz w:val="28"/>
                <w:szCs w:val="28"/>
                <w:vertAlign w:val="baseline"/>
              </w:rPr>
            </w:pPr>
            <w:r>
              <w:rPr>
                <w:sz w:val="28"/>
                <w:szCs w:val="28"/>
                <w:vertAlign w:val="baseline"/>
              </w:rPr>
              <w:t xml:space="preserve">Petition to </w:t>
            </w:r>
            <w:r w:rsidR="00567971">
              <w:rPr>
                <w:sz w:val="28"/>
                <w:szCs w:val="28"/>
                <w:vertAlign w:val="baseline"/>
              </w:rPr>
              <w:t xml:space="preserve">Amend Ariz. R. Crim. P. </w:t>
            </w:r>
            <w:r w:rsidR="003E5CBB">
              <w:rPr>
                <w:sz w:val="28"/>
                <w:szCs w:val="28"/>
                <w:vertAlign w:val="baseline"/>
              </w:rPr>
              <w:t>31.20 and Ariz. R. Civ. App. P</w:t>
            </w:r>
            <w:r w:rsidR="00027682">
              <w:rPr>
                <w:sz w:val="28"/>
                <w:szCs w:val="28"/>
                <w:vertAlign w:val="baseline"/>
              </w:rPr>
              <w:t>. 22</w:t>
            </w:r>
          </w:p>
        </w:tc>
        <w:tc>
          <w:tcPr>
            <w:tcW w:w="25" w:type="dxa"/>
            <w:tcBorders>
              <w:right w:val="single" w:sz="4" w:space="0" w:color="000000"/>
            </w:tcBorders>
          </w:tcPr>
          <w:p w14:paraId="2C5704FC" w14:textId="77777777" w:rsidR="006E5AA7" w:rsidRDefault="009E605E">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14:paraId="21670387" w14:textId="77777777" w:rsidR="006E5AA7" w:rsidRDefault="009E605E">
            <w:pPr>
              <w:spacing w:line="254" w:lineRule="auto"/>
              <w:ind w:left="248" w:right="-40"/>
              <w:rPr>
                <w:sz w:val="28"/>
                <w:szCs w:val="28"/>
                <w:vertAlign w:val="baseline"/>
              </w:rPr>
            </w:pPr>
            <w:bookmarkStart w:id="1" w:name="bookmark=id.30j0zll" w:colFirst="0" w:colLast="0"/>
            <w:bookmarkEnd w:id="1"/>
            <w:r>
              <w:rPr>
                <w:sz w:val="28"/>
                <w:szCs w:val="28"/>
                <w:vertAlign w:val="baseline"/>
              </w:rPr>
              <w:t xml:space="preserve">Arizona Supreme Court </w:t>
            </w:r>
          </w:p>
          <w:p w14:paraId="07FF0C91" w14:textId="3D1B53F2" w:rsidR="006E5AA7" w:rsidRDefault="00567971">
            <w:pPr>
              <w:spacing w:line="254" w:lineRule="auto"/>
              <w:ind w:left="248" w:right="-40"/>
              <w:rPr>
                <w:b/>
                <w:sz w:val="28"/>
                <w:szCs w:val="28"/>
                <w:vertAlign w:val="baseline"/>
              </w:rPr>
            </w:pPr>
            <w:r>
              <w:rPr>
                <w:sz w:val="28"/>
                <w:szCs w:val="28"/>
                <w:vertAlign w:val="baseline"/>
              </w:rPr>
              <w:t>No. R-2</w:t>
            </w:r>
            <w:r w:rsidR="00DF19B4">
              <w:rPr>
                <w:sz w:val="28"/>
                <w:szCs w:val="28"/>
                <w:vertAlign w:val="baseline"/>
              </w:rPr>
              <w:t>5</w:t>
            </w:r>
            <w:r>
              <w:rPr>
                <w:sz w:val="28"/>
                <w:szCs w:val="28"/>
                <w:vertAlign w:val="baseline"/>
              </w:rPr>
              <w:t>-</w:t>
            </w:r>
            <w:r w:rsidR="00412C8F">
              <w:rPr>
                <w:sz w:val="28"/>
                <w:szCs w:val="28"/>
                <w:vertAlign w:val="baseline"/>
              </w:rPr>
              <w:t>0012</w:t>
            </w:r>
            <w:bookmarkStart w:id="2" w:name="_GoBack"/>
            <w:bookmarkEnd w:id="2"/>
          </w:p>
          <w:p w14:paraId="5E91C4D4" w14:textId="77777777" w:rsidR="006E5AA7" w:rsidRDefault="006E5AA7">
            <w:pPr>
              <w:spacing w:line="254" w:lineRule="auto"/>
              <w:ind w:right="-40"/>
              <w:rPr>
                <w:b/>
                <w:sz w:val="28"/>
                <w:szCs w:val="28"/>
                <w:vertAlign w:val="baseline"/>
              </w:rPr>
            </w:pPr>
          </w:p>
          <w:p w14:paraId="1938F506" w14:textId="77777777" w:rsidR="006E5AA7" w:rsidRPr="00027682" w:rsidRDefault="00D2704F" w:rsidP="00027682">
            <w:pPr>
              <w:ind w:left="248" w:right="-40"/>
              <w:rPr>
                <w:b/>
                <w:sz w:val="28"/>
                <w:szCs w:val="28"/>
                <w:vertAlign w:val="baseline"/>
              </w:rPr>
            </w:pPr>
            <w:bookmarkStart w:id="3" w:name="bookmark=id.tyjcwt" w:colFirst="0" w:colLast="0"/>
            <w:bookmarkEnd w:id="3"/>
            <w:r>
              <w:rPr>
                <w:b/>
                <w:sz w:val="28"/>
                <w:szCs w:val="28"/>
                <w:vertAlign w:val="baseline"/>
              </w:rPr>
              <w:t xml:space="preserve">Petitioner’s Reply: </w:t>
            </w:r>
            <w:r w:rsidR="00027682" w:rsidRPr="00027682">
              <w:rPr>
                <w:b/>
                <w:sz w:val="28"/>
                <w:szCs w:val="28"/>
                <w:vertAlign w:val="baseline"/>
              </w:rPr>
              <w:t>Petition to Amend Ariz. R. Crim. P. 31.20 and Ariz. R. Civ. App. P. 22 to Provide</w:t>
            </w:r>
            <w:r w:rsidR="00A45540">
              <w:rPr>
                <w:b/>
                <w:sz w:val="28"/>
                <w:szCs w:val="28"/>
                <w:vertAlign w:val="baseline"/>
              </w:rPr>
              <w:t xml:space="preserve"> </w:t>
            </w:r>
            <w:r w:rsidR="00027682" w:rsidRPr="00027682">
              <w:rPr>
                <w:b/>
                <w:sz w:val="28"/>
                <w:szCs w:val="28"/>
                <w:vertAlign w:val="baseline"/>
              </w:rPr>
              <w:t>En Banc Reconsideration by the Court of Appeals</w:t>
            </w:r>
          </w:p>
        </w:tc>
      </w:tr>
    </w:tbl>
    <w:p w14:paraId="1CEF67F8" w14:textId="77777777" w:rsidR="002F482A" w:rsidRDefault="002F482A" w:rsidP="00C62BBA">
      <w:pPr>
        <w:ind w:firstLine="720"/>
        <w:jc w:val="both"/>
        <w:rPr>
          <w:sz w:val="28"/>
          <w:szCs w:val="28"/>
          <w:vertAlign w:val="baseline"/>
        </w:rPr>
      </w:pPr>
    </w:p>
    <w:p w14:paraId="27744E57" w14:textId="77777777" w:rsidR="00A45540" w:rsidRPr="00A45540" w:rsidRDefault="009E605E" w:rsidP="00D2704F">
      <w:pPr>
        <w:spacing w:line="480" w:lineRule="auto"/>
        <w:ind w:firstLine="720"/>
        <w:jc w:val="both"/>
        <w:rPr>
          <w:rFonts w:eastAsia="Calibri"/>
          <w:sz w:val="28"/>
          <w:szCs w:val="28"/>
          <w:vertAlign w:val="baseline"/>
        </w:rPr>
      </w:pPr>
      <w:r w:rsidRPr="00C62BBA">
        <w:rPr>
          <w:sz w:val="28"/>
          <w:szCs w:val="28"/>
          <w:vertAlign w:val="baseline"/>
        </w:rPr>
        <w:t xml:space="preserve">Pursuant to </w:t>
      </w:r>
      <w:bookmarkStart w:id="4" w:name="bookmark=id.3dy6vkm" w:colFirst="0" w:colLast="0"/>
      <w:bookmarkEnd w:id="4"/>
      <w:r w:rsidRPr="00C62BBA">
        <w:rPr>
          <w:sz w:val="28"/>
          <w:szCs w:val="28"/>
          <w:vertAlign w:val="baseline"/>
        </w:rPr>
        <w:fldChar w:fldCharType="begin"/>
      </w:r>
      <w:r w:rsidRPr="00C62BBA">
        <w:rPr>
          <w:sz w:val="28"/>
          <w:szCs w:val="28"/>
          <w:vertAlign w:val="baseline"/>
        </w:rPr>
        <w:instrText xml:space="preserve"> HYPERLINK "https://www.westlaw.com/Document/NFC04BF0066DC11DCA632B52023A193A9/View/FullText.html?transitionType=Default&amp;contextData=(sc.Default)&amp;VR=3.0&amp;RS=da3.0" \h </w:instrText>
      </w:r>
      <w:r w:rsidRPr="00C62BBA">
        <w:rPr>
          <w:sz w:val="28"/>
          <w:szCs w:val="28"/>
          <w:vertAlign w:val="baseline"/>
        </w:rPr>
        <w:fldChar w:fldCharType="separate"/>
      </w:r>
      <w:r w:rsidRPr="00C62BBA">
        <w:rPr>
          <w:sz w:val="28"/>
          <w:szCs w:val="28"/>
          <w:vertAlign w:val="baseline"/>
        </w:rPr>
        <w:t>Rule 28(</w:t>
      </w:r>
      <w:r w:rsidR="00322739">
        <w:rPr>
          <w:sz w:val="28"/>
          <w:szCs w:val="28"/>
          <w:vertAlign w:val="baseline"/>
        </w:rPr>
        <w:t>e</w:t>
      </w:r>
      <w:r w:rsidRPr="00C62BBA">
        <w:rPr>
          <w:sz w:val="28"/>
          <w:szCs w:val="28"/>
          <w:vertAlign w:val="baseline"/>
        </w:rPr>
        <w:t>)</w:t>
      </w:r>
      <w:r w:rsidR="00322739">
        <w:rPr>
          <w:sz w:val="28"/>
          <w:szCs w:val="28"/>
          <w:vertAlign w:val="baseline"/>
        </w:rPr>
        <w:t>(5)</w:t>
      </w:r>
      <w:r w:rsidRPr="00C62BBA">
        <w:rPr>
          <w:sz w:val="28"/>
          <w:szCs w:val="28"/>
          <w:vertAlign w:val="baseline"/>
        </w:rPr>
        <w:t xml:space="preserve"> of the Arizona Supreme Court Rules</w:t>
      </w:r>
      <w:r w:rsidRPr="00C62BBA">
        <w:rPr>
          <w:sz w:val="28"/>
          <w:szCs w:val="28"/>
          <w:vertAlign w:val="baseline"/>
        </w:rPr>
        <w:fldChar w:fldCharType="end"/>
      </w:r>
      <w:bookmarkStart w:id="5" w:name="bookmark=id.1t3h5sf" w:colFirst="0" w:colLast="0"/>
      <w:bookmarkEnd w:id="5"/>
      <w:r w:rsidRPr="00C62BBA">
        <w:rPr>
          <w:sz w:val="28"/>
          <w:szCs w:val="28"/>
          <w:vertAlign w:val="baseline"/>
        </w:rPr>
        <w:t xml:space="preserve">, </w:t>
      </w:r>
      <w:r w:rsidR="00DF19B4">
        <w:rPr>
          <w:sz w:val="28"/>
          <w:szCs w:val="28"/>
          <w:vertAlign w:val="baseline"/>
        </w:rPr>
        <w:t xml:space="preserve">undersigned counsel </w:t>
      </w:r>
      <w:r w:rsidR="00D2704F">
        <w:rPr>
          <w:sz w:val="28"/>
          <w:szCs w:val="28"/>
          <w:vertAlign w:val="baseline"/>
        </w:rPr>
        <w:t xml:space="preserve">submits this reply in support of his </w:t>
      </w:r>
      <w:r w:rsidR="00DF19B4">
        <w:rPr>
          <w:sz w:val="28"/>
          <w:szCs w:val="28"/>
          <w:vertAlign w:val="baseline"/>
        </w:rPr>
        <w:t>petition</w:t>
      </w:r>
      <w:r w:rsidR="00D2704F">
        <w:rPr>
          <w:sz w:val="28"/>
          <w:szCs w:val="28"/>
          <w:vertAlign w:val="baseline"/>
        </w:rPr>
        <w:t xml:space="preserve"> asking</w:t>
      </w:r>
      <w:r w:rsidR="00027682">
        <w:rPr>
          <w:sz w:val="28"/>
          <w:szCs w:val="28"/>
          <w:vertAlign w:val="baseline"/>
        </w:rPr>
        <w:t xml:space="preserve"> this Court</w:t>
      </w:r>
      <w:r w:rsidR="00DF19B4">
        <w:rPr>
          <w:sz w:val="28"/>
          <w:szCs w:val="28"/>
          <w:vertAlign w:val="baseline"/>
        </w:rPr>
        <w:t xml:space="preserve"> to</w:t>
      </w:r>
      <w:r w:rsidR="00027682">
        <w:rPr>
          <w:sz w:val="28"/>
          <w:szCs w:val="28"/>
          <w:vertAlign w:val="baseline"/>
        </w:rPr>
        <w:t xml:space="preserve"> provide a procedure for the Arizona Court of Appeals to conduct en banc reconsideration of appeals and other proceedings by</w:t>
      </w:r>
      <w:r w:rsidR="00DF19B4">
        <w:rPr>
          <w:sz w:val="28"/>
          <w:szCs w:val="28"/>
          <w:vertAlign w:val="baseline"/>
        </w:rPr>
        <w:t xml:space="preserve"> amen</w:t>
      </w:r>
      <w:r w:rsidR="00027682">
        <w:rPr>
          <w:sz w:val="28"/>
          <w:szCs w:val="28"/>
          <w:vertAlign w:val="baseline"/>
        </w:rPr>
        <w:t xml:space="preserve">ding Rule 31.20 of the Arizona Rules of Criminal Procedure and Rule 22 of the Arizona Rules of Civil Appellate Procedure.  </w:t>
      </w:r>
    </w:p>
    <w:p w14:paraId="33EE30C1" w14:textId="77777777" w:rsidR="00A45540" w:rsidRDefault="00A45540" w:rsidP="00A45540">
      <w:pPr>
        <w:rPr>
          <w:sz w:val="28"/>
          <w:szCs w:val="28"/>
          <w:vertAlign w:val="baseline"/>
        </w:rPr>
      </w:pPr>
    </w:p>
    <w:p w14:paraId="53D12B16" w14:textId="77777777" w:rsidR="00D2704F" w:rsidRDefault="00D2704F" w:rsidP="00A45540">
      <w:pPr>
        <w:rPr>
          <w:sz w:val="28"/>
          <w:szCs w:val="28"/>
          <w:vertAlign w:val="baseline"/>
        </w:rPr>
      </w:pPr>
    </w:p>
    <w:p w14:paraId="1A6ED611" w14:textId="77777777" w:rsidR="00D2704F" w:rsidRDefault="00D2704F" w:rsidP="00A45540">
      <w:pPr>
        <w:rPr>
          <w:sz w:val="28"/>
          <w:szCs w:val="28"/>
          <w:vertAlign w:val="baseline"/>
        </w:rPr>
      </w:pPr>
    </w:p>
    <w:p w14:paraId="2917134F" w14:textId="77777777" w:rsidR="00D2704F" w:rsidRDefault="00D2704F" w:rsidP="00A45540">
      <w:pPr>
        <w:rPr>
          <w:sz w:val="28"/>
          <w:szCs w:val="28"/>
          <w:vertAlign w:val="baseline"/>
        </w:rPr>
      </w:pPr>
    </w:p>
    <w:p w14:paraId="754C7BF6" w14:textId="77777777" w:rsidR="00D2704F" w:rsidRDefault="00D2704F" w:rsidP="00A45540">
      <w:pPr>
        <w:rPr>
          <w:sz w:val="28"/>
          <w:szCs w:val="28"/>
          <w:vertAlign w:val="baseline"/>
        </w:rPr>
      </w:pPr>
    </w:p>
    <w:p w14:paraId="123C8A66" w14:textId="77777777" w:rsidR="00D2704F" w:rsidRDefault="00D2704F" w:rsidP="00A45540">
      <w:pPr>
        <w:rPr>
          <w:sz w:val="28"/>
          <w:szCs w:val="28"/>
          <w:vertAlign w:val="baseline"/>
        </w:rPr>
      </w:pPr>
    </w:p>
    <w:p w14:paraId="3796329D" w14:textId="77777777" w:rsidR="00D2704F" w:rsidRDefault="00D2704F" w:rsidP="00A45540">
      <w:pPr>
        <w:rPr>
          <w:sz w:val="28"/>
          <w:szCs w:val="28"/>
          <w:vertAlign w:val="baseline"/>
        </w:rPr>
      </w:pPr>
    </w:p>
    <w:p w14:paraId="1820766C" w14:textId="77777777" w:rsidR="00D2704F" w:rsidRDefault="00D2704F" w:rsidP="00A45540">
      <w:pPr>
        <w:rPr>
          <w:sz w:val="28"/>
          <w:szCs w:val="28"/>
          <w:vertAlign w:val="baseline"/>
        </w:rPr>
      </w:pPr>
    </w:p>
    <w:p w14:paraId="306BC85B" w14:textId="77777777" w:rsidR="00D2704F" w:rsidRDefault="00D2704F" w:rsidP="00A45540">
      <w:pPr>
        <w:rPr>
          <w:sz w:val="28"/>
          <w:szCs w:val="28"/>
          <w:vertAlign w:val="baseline"/>
        </w:rPr>
      </w:pPr>
    </w:p>
    <w:p w14:paraId="31F20A99" w14:textId="77777777" w:rsidR="00D2704F" w:rsidRPr="00243135" w:rsidRDefault="00D2704F" w:rsidP="00243135">
      <w:pPr>
        <w:pStyle w:val="NormalWeb"/>
        <w:numPr>
          <w:ilvl w:val="0"/>
          <w:numId w:val="20"/>
        </w:numPr>
        <w:jc w:val="both"/>
        <w:rPr>
          <w:sz w:val="28"/>
          <w:szCs w:val="28"/>
        </w:rPr>
      </w:pPr>
      <w:r w:rsidRPr="00243135">
        <w:rPr>
          <w:rStyle w:val="Strong"/>
          <w:sz w:val="28"/>
          <w:szCs w:val="28"/>
        </w:rPr>
        <w:lastRenderedPageBreak/>
        <w:t xml:space="preserve"> Existing mechanisms fail to provide a complete or sufficient remedy for conflicts within the Court of Appeals.</w:t>
      </w:r>
    </w:p>
    <w:p w14:paraId="2D8D6A9F" w14:textId="77777777" w:rsidR="00243135" w:rsidRDefault="00D2704F" w:rsidP="00243135">
      <w:pPr>
        <w:pStyle w:val="NormalWeb"/>
        <w:spacing w:line="480" w:lineRule="auto"/>
        <w:ind w:firstLine="720"/>
        <w:contextualSpacing/>
        <w:jc w:val="both"/>
        <w:rPr>
          <w:sz w:val="28"/>
          <w:szCs w:val="28"/>
        </w:rPr>
      </w:pPr>
      <w:r w:rsidRPr="00243135">
        <w:rPr>
          <w:sz w:val="28"/>
          <w:szCs w:val="28"/>
        </w:rPr>
        <w:t>Both the Attorney General and State Bar argue that Arizona’s existing appellate tools—selective publication, panel reconsideration, and Supreme Court review—are sufficient to manage conflicts. But these mechanisms are partial and reactive. They do not address the core issue: a single appellate court issuing conflicting, precedential decisions without any internal mechanism to resolve the split.</w:t>
      </w:r>
    </w:p>
    <w:p w14:paraId="254023D7"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The Attorney General concedes this reality when quoting </w:t>
      </w:r>
      <w:r w:rsidRPr="00243135">
        <w:rPr>
          <w:rStyle w:val="Emphasis"/>
          <w:sz w:val="28"/>
          <w:szCs w:val="28"/>
        </w:rPr>
        <w:t>Patterson</w:t>
      </w:r>
      <w:r w:rsidRPr="00243135">
        <w:rPr>
          <w:sz w:val="28"/>
          <w:szCs w:val="28"/>
        </w:rPr>
        <w:t>, which leaves lower courts to choose among conflicting Court of Appeals precedents by adopting whichever decision “most persuasively interprets the law.” That outcome is not judicial uniformity—it is a patchwork of legal standards applied inconsistently throughout the state. The State Bar’s reliance on informal internal circulation of draft opinions (in Division One only) cannot substitute for a formal, transparent, rule-based process that ensures uniformity statewide.</w:t>
      </w:r>
    </w:p>
    <w:p w14:paraId="28ABACEC" w14:textId="77777777" w:rsidR="00D2704F" w:rsidRPr="00243135" w:rsidRDefault="00D2704F" w:rsidP="00243135">
      <w:pPr>
        <w:pStyle w:val="NormalWeb"/>
        <w:spacing w:line="480" w:lineRule="auto"/>
        <w:ind w:firstLine="720"/>
        <w:jc w:val="both"/>
        <w:rPr>
          <w:sz w:val="28"/>
          <w:szCs w:val="28"/>
        </w:rPr>
      </w:pPr>
      <w:r w:rsidRPr="00243135">
        <w:rPr>
          <w:sz w:val="28"/>
          <w:szCs w:val="28"/>
        </w:rPr>
        <w:t xml:space="preserve">Furthermore, the State Bar acknowledges that only published opinions can generate binding precedent and therefore conflict. That point strengthens the need for </w:t>
      </w:r>
      <w:proofErr w:type="spellStart"/>
      <w:r w:rsidRPr="00243135">
        <w:rPr>
          <w:sz w:val="28"/>
          <w:szCs w:val="28"/>
        </w:rPr>
        <w:t>en</w:t>
      </w:r>
      <w:proofErr w:type="spellEnd"/>
      <w:r w:rsidRPr="00243135">
        <w:rPr>
          <w:sz w:val="28"/>
          <w:szCs w:val="28"/>
        </w:rPr>
        <w:t xml:space="preserve"> banc review: where conflict arises in precedential decisions, there is currently no internal judicial mechanism to resolve it before parties must seek this Court’s discretionary review. </w:t>
      </w:r>
      <w:proofErr w:type="spellStart"/>
      <w:r w:rsidRPr="00243135">
        <w:rPr>
          <w:sz w:val="28"/>
          <w:szCs w:val="28"/>
        </w:rPr>
        <w:t>En</w:t>
      </w:r>
      <w:proofErr w:type="spellEnd"/>
      <w:r w:rsidRPr="00243135">
        <w:rPr>
          <w:sz w:val="28"/>
          <w:szCs w:val="28"/>
        </w:rPr>
        <w:t xml:space="preserve"> banc review is an internally available tool to resolve such conflicts efficiently and uniformly.</w:t>
      </w:r>
    </w:p>
    <w:p w14:paraId="5D15ADF4" w14:textId="77777777" w:rsidR="00D2704F" w:rsidRPr="00243135" w:rsidRDefault="00D2704F" w:rsidP="00243135">
      <w:pPr>
        <w:pStyle w:val="NormalWeb"/>
        <w:numPr>
          <w:ilvl w:val="0"/>
          <w:numId w:val="20"/>
        </w:numPr>
        <w:jc w:val="both"/>
        <w:rPr>
          <w:sz w:val="28"/>
          <w:szCs w:val="28"/>
        </w:rPr>
      </w:pPr>
      <w:r w:rsidRPr="00243135">
        <w:rPr>
          <w:rStyle w:val="Strong"/>
          <w:sz w:val="28"/>
          <w:szCs w:val="28"/>
        </w:rPr>
        <w:lastRenderedPageBreak/>
        <w:t>The costs cited are speculative, overstated, and easily mitigated by the narrow scope of the proposed rule.</w:t>
      </w:r>
    </w:p>
    <w:p w14:paraId="23BF49C7"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The Attorney General warns of a flood of </w:t>
      </w:r>
      <w:proofErr w:type="spellStart"/>
      <w:r w:rsidRPr="00243135">
        <w:rPr>
          <w:sz w:val="28"/>
          <w:szCs w:val="28"/>
        </w:rPr>
        <w:t>en</w:t>
      </w:r>
      <w:proofErr w:type="spellEnd"/>
      <w:r w:rsidRPr="00243135">
        <w:rPr>
          <w:sz w:val="28"/>
          <w:szCs w:val="28"/>
        </w:rPr>
        <w:t xml:space="preserve"> banc petitions causing delay and expense. This is speculative and inconsistent with the proposed rule’s built-in limitations. The rule mirrors the federal </w:t>
      </w:r>
      <w:proofErr w:type="spellStart"/>
      <w:r w:rsidRPr="00243135">
        <w:rPr>
          <w:sz w:val="28"/>
          <w:szCs w:val="28"/>
        </w:rPr>
        <w:t>en</w:t>
      </w:r>
      <w:proofErr w:type="spellEnd"/>
      <w:r w:rsidRPr="00243135">
        <w:rPr>
          <w:sz w:val="28"/>
          <w:szCs w:val="28"/>
        </w:rPr>
        <w:t xml:space="preserve"> banc standard, which has</w:t>
      </w:r>
      <w:r w:rsidR="00243135">
        <w:rPr>
          <w:sz w:val="28"/>
          <w:szCs w:val="28"/>
        </w:rPr>
        <w:t xml:space="preserve"> is tested and proven workable</w:t>
      </w:r>
      <w:r w:rsidRPr="00243135">
        <w:rPr>
          <w:sz w:val="28"/>
          <w:szCs w:val="28"/>
        </w:rPr>
        <w:t>. Moreover:</w:t>
      </w:r>
    </w:p>
    <w:p w14:paraId="7C7E0C7D" w14:textId="77777777" w:rsidR="00D2704F" w:rsidRDefault="00D2704F" w:rsidP="00243135">
      <w:pPr>
        <w:pStyle w:val="NormalWeb"/>
        <w:numPr>
          <w:ilvl w:val="0"/>
          <w:numId w:val="18"/>
        </w:numPr>
        <w:ind w:right="720"/>
        <w:contextualSpacing/>
        <w:jc w:val="both"/>
        <w:rPr>
          <w:sz w:val="28"/>
          <w:szCs w:val="28"/>
        </w:rPr>
      </w:pPr>
      <w:r w:rsidRPr="00243135">
        <w:rPr>
          <w:sz w:val="28"/>
          <w:szCs w:val="28"/>
        </w:rPr>
        <w:t xml:space="preserve">The rule clearly states </w:t>
      </w:r>
      <w:proofErr w:type="spellStart"/>
      <w:r w:rsidRPr="00243135">
        <w:rPr>
          <w:sz w:val="28"/>
          <w:szCs w:val="28"/>
        </w:rPr>
        <w:t>en</w:t>
      </w:r>
      <w:proofErr w:type="spellEnd"/>
      <w:r w:rsidRPr="00243135">
        <w:rPr>
          <w:sz w:val="28"/>
          <w:szCs w:val="28"/>
        </w:rPr>
        <w:t xml:space="preserve"> banc reconsideration is “not favored and ordinarily will not be ordered” unless necessary to maintain uniformity or address an issue of “exceptional importance.”</w:t>
      </w:r>
    </w:p>
    <w:p w14:paraId="0AB21644" w14:textId="77777777" w:rsidR="00243135" w:rsidRDefault="00243135" w:rsidP="00243135">
      <w:pPr>
        <w:pStyle w:val="NormalWeb"/>
        <w:ind w:left="720" w:right="720"/>
        <w:contextualSpacing/>
        <w:jc w:val="both"/>
        <w:rPr>
          <w:sz w:val="28"/>
          <w:szCs w:val="28"/>
        </w:rPr>
      </w:pPr>
    </w:p>
    <w:p w14:paraId="6D0CF61B" w14:textId="77777777" w:rsidR="00D2704F" w:rsidRDefault="00D2704F" w:rsidP="00243135">
      <w:pPr>
        <w:pStyle w:val="NormalWeb"/>
        <w:numPr>
          <w:ilvl w:val="0"/>
          <w:numId w:val="18"/>
        </w:numPr>
        <w:ind w:right="720"/>
        <w:contextualSpacing/>
        <w:jc w:val="both"/>
        <w:rPr>
          <w:sz w:val="28"/>
          <w:szCs w:val="28"/>
        </w:rPr>
      </w:pPr>
      <w:r w:rsidRPr="00243135">
        <w:rPr>
          <w:sz w:val="28"/>
          <w:szCs w:val="28"/>
        </w:rPr>
        <w:t>No vote need be taken unless a judge calls for one. Most motions will be summarily denied.</w:t>
      </w:r>
    </w:p>
    <w:p w14:paraId="254A6DFC" w14:textId="77777777" w:rsidR="00243135" w:rsidRDefault="00243135" w:rsidP="00243135">
      <w:pPr>
        <w:pStyle w:val="NormalWeb"/>
        <w:ind w:right="720"/>
        <w:contextualSpacing/>
        <w:jc w:val="both"/>
        <w:rPr>
          <w:sz w:val="28"/>
          <w:szCs w:val="28"/>
        </w:rPr>
      </w:pPr>
    </w:p>
    <w:p w14:paraId="336A1FE9" w14:textId="77777777" w:rsidR="00D2704F" w:rsidRDefault="00D2704F" w:rsidP="00243135">
      <w:pPr>
        <w:pStyle w:val="NormalWeb"/>
        <w:numPr>
          <w:ilvl w:val="0"/>
          <w:numId w:val="18"/>
        </w:numPr>
        <w:ind w:right="720"/>
        <w:contextualSpacing/>
        <w:jc w:val="both"/>
        <w:rPr>
          <w:sz w:val="28"/>
          <w:szCs w:val="28"/>
        </w:rPr>
      </w:pPr>
      <w:r w:rsidRPr="00243135">
        <w:rPr>
          <w:sz w:val="28"/>
          <w:szCs w:val="28"/>
        </w:rPr>
        <w:t>A majority of judges from each division must vote to grant review, ensuring that only issues of genuine statewide importance proceed.</w:t>
      </w:r>
    </w:p>
    <w:p w14:paraId="0956EC70" w14:textId="77777777" w:rsidR="00243135" w:rsidRPr="00243135" w:rsidRDefault="00243135" w:rsidP="00243135">
      <w:pPr>
        <w:pStyle w:val="NormalWeb"/>
        <w:contextualSpacing/>
        <w:jc w:val="both"/>
        <w:rPr>
          <w:sz w:val="28"/>
          <w:szCs w:val="28"/>
        </w:rPr>
      </w:pPr>
    </w:p>
    <w:p w14:paraId="66B94067"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The concern that most motions would be denied is not an argument against the rule—it is a reflection of the rule’s effective screening process. The purpose of the rule is not to increase the volume of litigation but to provide a necessary safety valve for the small number of cases that raise systemic concerns.</w:t>
      </w:r>
    </w:p>
    <w:p w14:paraId="6BE8A6B4" w14:textId="77777777" w:rsidR="00D2704F" w:rsidRPr="00243135" w:rsidRDefault="00D2704F" w:rsidP="00243135">
      <w:pPr>
        <w:pStyle w:val="NormalWeb"/>
        <w:spacing w:line="480" w:lineRule="auto"/>
        <w:ind w:firstLine="720"/>
        <w:jc w:val="both"/>
        <w:rPr>
          <w:sz w:val="28"/>
          <w:szCs w:val="28"/>
        </w:rPr>
      </w:pPr>
      <w:r w:rsidRPr="00243135">
        <w:rPr>
          <w:sz w:val="28"/>
          <w:szCs w:val="28"/>
        </w:rPr>
        <w:t>Moreover, the claim that adding this review level undermines finality ignores the reality that true finality requires public confidence in legal consistency. A fragmented and contradictory intermediate appellate system undermines faith in justice more than the possibility of one more level of discretionary review ever could.</w:t>
      </w:r>
    </w:p>
    <w:p w14:paraId="575027D2" w14:textId="77777777" w:rsidR="00D2704F" w:rsidRPr="00243135" w:rsidRDefault="00D2704F" w:rsidP="00243135">
      <w:pPr>
        <w:pStyle w:val="NormalWeb"/>
        <w:numPr>
          <w:ilvl w:val="0"/>
          <w:numId w:val="20"/>
        </w:numPr>
        <w:jc w:val="both"/>
        <w:rPr>
          <w:sz w:val="28"/>
          <w:szCs w:val="28"/>
        </w:rPr>
      </w:pPr>
      <w:r w:rsidRPr="00243135">
        <w:rPr>
          <w:rStyle w:val="Strong"/>
          <w:sz w:val="28"/>
          <w:szCs w:val="28"/>
        </w:rPr>
        <w:lastRenderedPageBreak/>
        <w:t>The proposed structure is appropriate and modeled on federal best practices.</w:t>
      </w:r>
    </w:p>
    <w:p w14:paraId="39149ACD" w14:textId="77777777" w:rsidR="00D2704F" w:rsidRDefault="00D2704F" w:rsidP="00243135">
      <w:pPr>
        <w:pStyle w:val="NormalWeb"/>
        <w:spacing w:line="480" w:lineRule="auto"/>
        <w:ind w:firstLine="720"/>
        <w:contextualSpacing/>
        <w:jc w:val="both"/>
        <w:rPr>
          <w:sz w:val="28"/>
          <w:szCs w:val="28"/>
        </w:rPr>
      </w:pPr>
      <w:r w:rsidRPr="00243135">
        <w:rPr>
          <w:sz w:val="28"/>
          <w:szCs w:val="28"/>
        </w:rPr>
        <w:t xml:space="preserve">Both comments argue that the proposed rule conflates panel and </w:t>
      </w:r>
      <w:proofErr w:type="spellStart"/>
      <w:r w:rsidRPr="00243135">
        <w:rPr>
          <w:sz w:val="28"/>
          <w:szCs w:val="28"/>
        </w:rPr>
        <w:t>en</w:t>
      </w:r>
      <w:proofErr w:type="spellEnd"/>
      <w:r w:rsidRPr="00243135">
        <w:rPr>
          <w:sz w:val="28"/>
          <w:szCs w:val="28"/>
        </w:rPr>
        <w:t xml:space="preserve"> banc reconsideration. But that is a misreading. The proposed rule adds </w:t>
      </w:r>
      <w:proofErr w:type="spellStart"/>
      <w:r w:rsidRPr="00243135">
        <w:rPr>
          <w:sz w:val="28"/>
          <w:szCs w:val="28"/>
        </w:rPr>
        <w:t>en</w:t>
      </w:r>
      <w:proofErr w:type="spellEnd"/>
      <w:r w:rsidRPr="00243135">
        <w:rPr>
          <w:sz w:val="28"/>
          <w:szCs w:val="28"/>
        </w:rPr>
        <w:t xml:space="preserve"> banc review as an additional path—not a replacement or substitute—for panel reconsideration. It adopts a narrower standard for </w:t>
      </w:r>
      <w:proofErr w:type="spellStart"/>
      <w:r w:rsidRPr="00243135">
        <w:rPr>
          <w:sz w:val="28"/>
          <w:szCs w:val="28"/>
        </w:rPr>
        <w:t>en</w:t>
      </w:r>
      <w:proofErr w:type="spellEnd"/>
      <w:r w:rsidRPr="00243135">
        <w:rPr>
          <w:sz w:val="28"/>
          <w:szCs w:val="28"/>
        </w:rPr>
        <w:t xml:space="preserve"> banc review than for ordinary reconsideration:</w:t>
      </w:r>
    </w:p>
    <w:p w14:paraId="66837972" w14:textId="77777777" w:rsidR="00D2704F" w:rsidRDefault="00D2704F" w:rsidP="00243135">
      <w:pPr>
        <w:pStyle w:val="NormalWeb"/>
        <w:numPr>
          <w:ilvl w:val="0"/>
          <w:numId w:val="19"/>
        </w:numPr>
        <w:ind w:right="720"/>
        <w:contextualSpacing/>
        <w:jc w:val="both"/>
        <w:rPr>
          <w:sz w:val="28"/>
          <w:szCs w:val="28"/>
        </w:rPr>
      </w:pPr>
      <w:r w:rsidRPr="00243135">
        <w:rPr>
          <w:sz w:val="28"/>
          <w:szCs w:val="28"/>
        </w:rPr>
        <w:t>Panel reconsideration may be granted for “erroneous determinations of fact or law.”</w:t>
      </w:r>
    </w:p>
    <w:p w14:paraId="5CD6F57C" w14:textId="77777777" w:rsidR="00243135" w:rsidRPr="00243135" w:rsidRDefault="00243135" w:rsidP="00243135">
      <w:pPr>
        <w:pStyle w:val="NormalWeb"/>
        <w:ind w:left="720" w:right="720"/>
        <w:contextualSpacing/>
        <w:jc w:val="both"/>
        <w:rPr>
          <w:sz w:val="28"/>
          <w:szCs w:val="28"/>
        </w:rPr>
      </w:pPr>
    </w:p>
    <w:p w14:paraId="3D94858A" w14:textId="77777777" w:rsidR="00D2704F" w:rsidRDefault="00D2704F" w:rsidP="00243135">
      <w:pPr>
        <w:pStyle w:val="NormalWeb"/>
        <w:numPr>
          <w:ilvl w:val="0"/>
          <w:numId w:val="19"/>
        </w:numPr>
        <w:ind w:right="720"/>
        <w:contextualSpacing/>
        <w:jc w:val="both"/>
        <w:rPr>
          <w:sz w:val="28"/>
          <w:szCs w:val="28"/>
        </w:rPr>
      </w:pPr>
      <w:proofErr w:type="spellStart"/>
      <w:r w:rsidRPr="00243135">
        <w:rPr>
          <w:sz w:val="28"/>
          <w:szCs w:val="28"/>
        </w:rPr>
        <w:t>En</w:t>
      </w:r>
      <w:proofErr w:type="spellEnd"/>
      <w:r w:rsidRPr="00243135">
        <w:rPr>
          <w:sz w:val="28"/>
          <w:szCs w:val="28"/>
        </w:rPr>
        <w:t xml:space="preserve"> banc review is only appropriate to “maintain uniformity” or resolve questions of “exceptional importance.”</w:t>
      </w:r>
    </w:p>
    <w:p w14:paraId="05D3E3C4" w14:textId="77777777" w:rsidR="00243135" w:rsidRPr="00243135" w:rsidRDefault="00243135" w:rsidP="00243135">
      <w:pPr>
        <w:pStyle w:val="NormalWeb"/>
        <w:ind w:left="720"/>
        <w:contextualSpacing/>
        <w:jc w:val="both"/>
        <w:rPr>
          <w:sz w:val="28"/>
          <w:szCs w:val="28"/>
        </w:rPr>
      </w:pPr>
    </w:p>
    <w:p w14:paraId="2CD58782"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The rule merely allows a party to request either or both forms of review, subject to different standards. This reflects the approach of Federal Rule of Appellate Procedure 40, which the petition explicitly mirrors. The suggestion that this structure will cause confusion or misuse underestimates the clarity of the rule’s language and overestimates the ability of attorneys to exploit it in bad faith, particularly when </w:t>
      </w:r>
      <w:proofErr w:type="spellStart"/>
      <w:r w:rsidRPr="00243135">
        <w:rPr>
          <w:sz w:val="28"/>
          <w:szCs w:val="28"/>
        </w:rPr>
        <w:t>en</w:t>
      </w:r>
      <w:proofErr w:type="spellEnd"/>
      <w:r w:rsidRPr="00243135">
        <w:rPr>
          <w:sz w:val="28"/>
          <w:szCs w:val="28"/>
        </w:rPr>
        <w:t xml:space="preserve"> banc review requires a majority vote of all judges in both divisions.</w:t>
      </w:r>
    </w:p>
    <w:p w14:paraId="16BC4DA3" w14:textId="77777777" w:rsidR="00D2704F" w:rsidRDefault="00D2704F" w:rsidP="00243135">
      <w:pPr>
        <w:pStyle w:val="NormalWeb"/>
        <w:spacing w:line="480" w:lineRule="auto"/>
        <w:ind w:firstLine="720"/>
        <w:contextualSpacing/>
        <w:jc w:val="both"/>
        <w:rPr>
          <w:sz w:val="28"/>
          <w:szCs w:val="28"/>
        </w:rPr>
      </w:pPr>
      <w:r w:rsidRPr="00243135">
        <w:rPr>
          <w:sz w:val="28"/>
          <w:szCs w:val="28"/>
        </w:rPr>
        <w:t>If refinements to language would improve clarity, such amendments are welcome—but they are not reasons to reject the proposal outright.</w:t>
      </w:r>
    </w:p>
    <w:p w14:paraId="50FB1DA9" w14:textId="77777777" w:rsidR="00D2704F" w:rsidRPr="00243135" w:rsidRDefault="00D2704F" w:rsidP="00243135">
      <w:pPr>
        <w:pStyle w:val="NormalWeb"/>
        <w:ind w:left="720" w:hanging="360"/>
        <w:contextualSpacing/>
        <w:jc w:val="both"/>
        <w:rPr>
          <w:sz w:val="28"/>
          <w:szCs w:val="28"/>
        </w:rPr>
      </w:pPr>
      <w:r w:rsidRPr="00243135">
        <w:rPr>
          <w:rStyle w:val="Strong"/>
          <w:sz w:val="28"/>
          <w:szCs w:val="28"/>
        </w:rPr>
        <w:t>D</w:t>
      </w:r>
      <w:r w:rsidRPr="00243135">
        <w:rPr>
          <w:rStyle w:val="Strong"/>
          <w:sz w:val="28"/>
          <w:szCs w:val="28"/>
        </w:rPr>
        <w:t>. The reform addresses a structural gap in Arizona’s appellate process.</w:t>
      </w:r>
    </w:p>
    <w:p w14:paraId="4CADC61E" w14:textId="77777777" w:rsidR="00243135" w:rsidRDefault="00243135" w:rsidP="00243135">
      <w:pPr>
        <w:pStyle w:val="NormalWeb"/>
        <w:contextualSpacing/>
        <w:jc w:val="both"/>
        <w:rPr>
          <w:sz w:val="28"/>
          <w:szCs w:val="28"/>
        </w:rPr>
      </w:pPr>
    </w:p>
    <w:p w14:paraId="4196520D"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Arizona's two-division appellate court lacks a mechanism to resolve internal conflicts between panels or divisions issuing precedential decisions. Unlike other jurisdictions with similarly structured intermediate courts, Arizona provides no </w:t>
      </w:r>
      <w:r w:rsidRPr="00243135">
        <w:rPr>
          <w:sz w:val="28"/>
          <w:szCs w:val="28"/>
        </w:rPr>
        <w:lastRenderedPageBreak/>
        <w:t>method short of Supreme Court intervention to harmonize conflicting legal authority issued within a single appellate body.</w:t>
      </w:r>
    </w:p>
    <w:p w14:paraId="3ED69ECE"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The proposal builds a framework for ensuring the Court of Appeals can resolve intra-court conflicts and clarify questions of statewide legal importance. </w:t>
      </w:r>
      <w:proofErr w:type="spellStart"/>
      <w:r w:rsidRPr="00243135">
        <w:rPr>
          <w:sz w:val="28"/>
          <w:szCs w:val="28"/>
        </w:rPr>
        <w:t>En</w:t>
      </w:r>
      <w:proofErr w:type="spellEnd"/>
      <w:r w:rsidRPr="00243135">
        <w:rPr>
          <w:sz w:val="28"/>
          <w:szCs w:val="28"/>
        </w:rPr>
        <w:t xml:space="preserve"> banc reconsideration will not replace Supreme Court review but will enhance the consistency and coherence of appellate jurisprudence and improve the quality of issues ultimately presented to this Court.</w:t>
      </w:r>
    </w:p>
    <w:p w14:paraId="4A9715C2" w14:textId="77777777" w:rsidR="00D2704F" w:rsidRPr="00243135" w:rsidRDefault="00D2704F" w:rsidP="00243135">
      <w:pPr>
        <w:pStyle w:val="NormalWeb"/>
        <w:numPr>
          <w:ilvl w:val="0"/>
          <w:numId w:val="22"/>
        </w:numPr>
        <w:contextualSpacing/>
        <w:jc w:val="both"/>
        <w:rPr>
          <w:rStyle w:val="Strong"/>
          <w:b w:val="0"/>
          <w:bCs w:val="0"/>
          <w:sz w:val="28"/>
          <w:szCs w:val="28"/>
        </w:rPr>
      </w:pPr>
      <w:r w:rsidRPr="00243135">
        <w:rPr>
          <w:rStyle w:val="Strong"/>
          <w:sz w:val="28"/>
          <w:szCs w:val="28"/>
        </w:rPr>
        <w:t xml:space="preserve">Neither </w:t>
      </w:r>
      <w:r w:rsidR="00243135">
        <w:rPr>
          <w:rStyle w:val="Strong"/>
          <w:sz w:val="28"/>
          <w:szCs w:val="28"/>
        </w:rPr>
        <w:t>c</w:t>
      </w:r>
      <w:r w:rsidRPr="00243135">
        <w:rPr>
          <w:rStyle w:val="Strong"/>
          <w:sz w:val="28"/>
          <w:szCs w:val="28"/>
        </w:rPr>
        <w:t xml:space="preserve">ommenting </w:t>
      </w:r>
      <w:r w:rsidR="00243135">
        <w:rPr>
          <w:rStyle w:val="Strong"/>
          <w:sz w:val="28"/>
          <w:szCs w:val="28"/>
        </w:rPr>
        <w:t>p</w:t>
      </w:r>
      <w:r w:rsidRPr="00243135">
        <w:rPr>
          <w:rStyle w:val="Strong"/>
          <w:sz w:val="28"/>
          <w:szCs w:val="28"/>
        </w:rPr>
        <w:t xml:space="preserve">arty </w:t>
      </w:r>
      <w:r w:rsidR="00113562">
        <w:rPr>
          <w:rStyle w:val="Strong"/>
          <w:sz w:val="28"/>
          <w:szCs w:val="28"/>
        </w:rPr>
        <w:t>d</w:t>
      </w:r>
      <w:r w:rsidRPr="00243135">
        <w:rPr>
          <w:rStyle w:val="Strong"/>
          <w:sz w:val="28"/>
          <w:szCs w:val="28"/>
        </w:rPr>
        <w:t xml:space="preserve">isputes </w:t>
      </w:r>
      <w:r w:rsidR="00243135">
        <w:rPr>
          <w:rStyle w:val="Strong"/>
          <w:sz w:val="28"/>
          <w:szCs w:val="28"/>
        </w:rPr>
        <w:t>t</w:t>
      </w:r>
      <w:r w:rsidRPr="00243135">
        <w:rPr>
          <w:rStyle w:val="Strong"/>
          <w:sz w:val="28"/>
          <w:szCs w:val="28"/>
        </w:rPr>
        <w:t xml:space="preserve">his Court’s </w:t>
      </w:r>
      <w:r w:rsidR="00243135">
        <w:rPr>
          <w:rStyle w:val="Strong"/>
          <w:sz w:val="28"/>
          <w:szCs w:val="28"/>
        </w:rPr>
        <w:t>c</w:t>
      </w:r>
      <w:r w:rsidRPr="00243135">
        <w:rPr>
          <w:rStyle w:val="Strong"/>
          <w:sz w:val="28"/>
          <w:szCs w:val="28"/>
        </w:rPr>
        <w:t xml:space="preserve">onstitutional </w:t>
      </w:r>
      <w:r w:rsidR="00676195">
        <w:rPr>
          <w:rStyle w:val="Strong"/>
          <w:sz w:val="28"/>
          <w:szCs w:val="28"/>
        </w:rPr>
        <w:t>a</w:t>
      </w:r>
      <w:r w:rsidRPr="00243135">
        <w:rPr>
          <w:rStyle w:val="Strong"/>
          <w:sz w:val="28"/>
          <w:szCs w:val="28"/>
        </w:rPr>
        <w:t xml:space="preserve">uthority to </w:t>
      </w:r>
      <w:r w:rsidR="00243135">
        <w:rPr>
          <w:rStyle w:val="Strong"/>
          <w:sz w:val="28"/>
          <w:szCs w:val="28"/>
        </w:rPr>
        <w:t>e</w:t>
      </w:r>
      <w:r w:rsidRPr="00243135">
        <w:rPr>
          <w:rStyle w:val="Strong"/>
          <w:sz w:val="28"/>
          <w:szCs w:val="28"/>
        </w:rPr>
        <w:t xml:space="preserve">nact the </w:t>
      </w:r>
      <w:r w:rsidR="00243135">
        <w:rPr>
          <w:rStyle w:val="Strong"/>
          <w:sz w:val="28"/>
          <w:szCs w:val="28"/>
        </w:rPr>
        <w:t>p</w:t>
      </w:r>
      <w:r w:rsidRPr="00243135">
        <w:rPr>
          <w:rStyle w:val="Strong"/>
          <w:sz w:val="28"/>
          <w:szCs w:val="28"/>
        </w:rPr>
        <w:t xml:space="preserve">roposed </w:t>
      </w:r>
      <w:r w:rsidR="00243135">
        <w:rPr>
          <w:rStyle w:val="Strong"/>
          <w:sz w:val="28"/>
          <w:szCs w:val="28"/>
        </w:rPr>
        <w:t>r</w:t>
      </w:r>
      <w:r w:rsidRPr="00243135">
        <w:rPr>
          <w:rStyle w:val="Strong"/>
          <w:sz w:val="28"/>
          <w:szCs w:val="28"/>
        </w:rPr>
        <w:t>ule</w:t>
      </w:r>
      <w:r w:rsidR="00243135">
        <w:rPr>
          <w:rStyle w:val="Strong"/>
          <w:sz w:val="28"/>
          <w:szCs w:val="28"/>
        </w:rPr>
        <w:t>.</w:t>
      </w:r>
    </w:p>
    <w:p w14:paraId="212A93E9" w14:textId="77777777" w:rsidR="00243135" w:rsidRPr="00243135" w:rsidRDefault="00243135" w:rsidP="00243135">
      <w:pPr>
        <w:pStyle w:val="NormalWeb"/>
        <w:ind w:left="720"/>
        <w:contextualSpacing/>
        <w:jc w:val="both"/>
        <w:rPr>
          <w:sz w:val="28"/>
          <w:szCs w:val="28"/>
        </w:rPr>
      </w:pPr>
    </w:p>
    <w:p w14:paraId="797922B7"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Importantly, neither the Arizona Attorney General’s Office nor the State Bar of Arizona challenges this Court’s authority to adopt a rule permitting </w:t>
      </w:r>
      <w:proofErr w:type="spellStart"/>
      <w:r w:rsidRPr="00243135">
        <w:rPr>
          <w:sz w:val="28"/>
          <w:szCs w:val="28"/>
        </w:rPr>
        <w:t>en</w:t>
      </w:r>
      <w:proofErr w:type="spellEnd"/>
      <w:r w:rsidRPr="00243135">
        <w:rPr>
          <w:sz w:val="28"/>
          <w:szCs w:val="28"/>
        </w:rPr>
        <w:t xml:space="preserve"> banc reconsideration. The Petition grounds its proposal in Article VI, § 5(5) of the Arizona Constitution, which vests this Court with plenary power over procedural matters in Arizona courts. That includes the authority to define the procedures governing appellate review within the Court of Appeals.</w:t>
      </w:r>
    </w:p>
    <w:p w14:paraId="3735B4DA"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The State Bar concedes this point directly:</w:t>
      </w:r>
    </w:p>
    <w:p w14:paraId="2267D81A" w14:textId="77777777" w:rsidR="00D2704F" w:rsidRPr="00243135" w:rsidRDefault="00D2704F" w:rsidP="00243135">
      <w:pPr>
        <w:pStyle w:val="NormalWeb"/>
        <w:ind w:left="720" w:right="720"/>
        <w:contextualSpacing/>
        <w:jc w:val="both"/>
        <w:rPr>
          <w:sz w:val="28"/>
          <w:szCs w:val="28"/>
        </w:rPr>
      </w:pPr>
      <w:r w:rsidRPr="00243135">
        <w:rPr>
          <w:sz w:val="28"/>
          <w:szCs w:val="28"/>
        </w:rPr>
        <w:t xml:space="preserve">“The Petition invokes this Court’s rule-making authority as additional support for its position. [...] The State Bar does not dispute that this Court has the power to create an </w:t>
      </w:r>
      <w:proofErr w:type="spellStart"/>
      <w:r w:rsidRPr="00243135">
        <w:rPr>
          <w:sz w:val="28"/>
          <w:szCs w:val="28"/>
        </w:rPr>
        <w:t>en</w:t>
      </w:r>
      <w:proofErr w:type="spellEnd"/>
      <w:r w:rsidRPr="00243135">
        <w:rPr>
          <w:sz w:val="28"/>
          <w:szCs w:val="28"/>
        </w:rPr>
        <w:t xml:space="preserve"> banc review process, should it so choose.” (State Bar Comment at 3 n.1.)</w:t>
      </w:r>
    </w:p>
    <w:p w14:paraId="04DA2D2C" w14:textId="77777777" w:rsidR="00243135" w:rsidRDefault="00243135" w:rsidP="00243135">
      <w:pPr>
        <w:pStyle w:val="NormalWeb"/>
        <w:ind w:firstLine="720"/>
        <w:contextualSpacing/>
        <w:jc w:val="both"/>
        <w:rPr>
          <w:sz w:val="28"/>
          <w:szCs w:val="28"/>
        </w:rPr>
      </w:pPr>
    </w:p>
    <w:p w14:paraId="4103AEA7"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lastRenderedPageBreak/>
        <w:t>Likewise, the Attorney General’s comment offers no challenge to the Court’s authority. Its concerns are framed exclusively in terms of policy, practical consequences, and procedural structure—not constitutional limits.</w:t>
      </w:r>
    </w:p>
    <w:p w14:paraId="455002F3"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This agreement underscores that the question before the Court is not whether it can adopt the proposed rule, but whether it should. The Court has long exercised its rulemaking power to shape and improve judicial procedure, and </w:t>
      </w:r>
      <w:proofErr w:type="spellStart"/>
      <w:r w:rsidRPr="00243135">
        <w:rPr>
          <w:sz w:val="28"/>
          <w:szCs w:val="28"/>
        </w:rPr>
        <w:t>en</w:t>
      </w:r>
      <w:proofErr w:type="spellEnd"/>
      <w:r w:rsidRPr="00243135">
        <w:rPr>
          <w:sz w:val="28"/>
          <w:szCs w:val="28"/>
        </w:rPr>
        <w:t xml:space="preserve"> banc reconsideration fits squarely within that purview.</w:t>
      </w:r>
    </w:p>
    <w:p w14:paraId="298E0CA7" w14:textId="77777777" w:rsidR="00D2704F" w:rsidRPr="00243135" w:rsidRDefault="00D2704F" w:rsidP="00243135">
      <w:pPr>
        <w:pStyle w:val="NormalWeb"/>
        <w:ind w:left="720" w:hanging="360"/>
        <w:contextualSpacing/>
        <w:jc w:val="both"/>
        <w:rPr>
          <w:sz w:val="28"/>
          <w:szCs w:val="28"/>
        </w:rPr>
      </w:pPr>
      <w:r w:rsidRPr="00243135">
        <w:rPr>
          <w:rStyle w:val="Strong"/>
          <w:sz w:val="28"/>
          <w:szCs w:val="28"/>
        </w:rPr>
        <w:t>F</w:t>
      </w:r>
      <w:r w:rsidRPr="00243135">
        <w:rPr>
          <w:rStyle w:val="Strong"/>
          <w:sz w:val="28"/>
          <w:szCs w:val="28"/>
        </w:rPr>
        <w:t>. Finality must not come at the expense of fairness and the consistent application of law.</w:t>
      </w:r>
    </w:p>
    <w:p w14:paraId="49883D7B" w14:textId="77777777" w:rsidR="00243135" w:rsidRDefault="00243135" w:rsidP="00243135">
      <w:pPr>
        <w:pStyle w:val="NormalWeb"/>
        <w:contextualSpacing/>
        <w:jc w:val="both"/>
        <w:rPr>
          <w:sz w:val="28"/>
          <w:szCs w:val="28"/>
        </w:rPr>
      </w:pPr>
    </w:p>
    <w:p w14:paraId="0AAB7739"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Both comments suggest that the potential for prolonged litigation and lack of finality weighs against </w:t>
      </w:r>
      <w:proofErr w:type="spellStart"/>
      <w:r w:rsidRPr="00243135">
        <w:rPr>
          <w:sz w:val="28"/>
          <w:szCs w:val="28"/>
        </w:rPr>
        <w:t>en</w:t>
      </w:r>
      <w:proofErr w:type="spellEnd"/>
      <w:r w:rsidRPr="00243135">
        <w:rPr>
          <w:sz w:val="28"/>
          <w:szCs w:val="28"/>
        </w:rPr>
        <w:t xml:space="preserve"> banc reconsideration. But finality is not an end in itself—it is a value that must be balanced against the overarching purposes of appellate review: fairness, accuracy, and the uniform application of the law.</w:t>
      </w:r>
    </w:p>
    <w:p w14:paraId="6F096985"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An appellate system that prioritizes </w:t>
      </w:r>
      <w:r w:rsidR="00243135">
        <w:rPr>
          <w:sz w:val="28"/>
          <w:szCs w:val="28"/>
        </w:rPr>
        <w:t xml:space="preserve">efficient finality </w:t>
      </w:r>
      <w:r w:rsidRPr="00243135">
        <w:rPr>
          <w:sz w:val="28"/>
          <w:szCs w:val="28"/>
        </w:rPr>
        <w:t>over justice invites arbitrary outcomes and undermines public trust. When panels within the same appellate court reach materially inconsistent conclusions on questions of law, it is more disruptive to the legal system—and to litigants—to allow those inconsistencies to persist than to provide a mechanism for internal correction.</w:t>
      </w:r>
    </w:p>
    <w:p w14:paraId="57220CC6" w14:textId="77777777" w:rsidR="00D2704F" w:rsidRPr="00243135" w:rsidRDefault="00D2704F" w:rsidP="00243135">
      <w:pPr>
        <w:pStyle w:val="NormalWeb"/>
        <w:spacing w:line="480" w:lineRule="auto"/>
        <w:ind w:firstLine="720"/>
        <w:contextualSpacing/>
        <w:jc w:val="both"/>
        <w:rPr>
          <w:sz w:val="28"/>
          <w:szCs w:val="28"/>
        </w:rPr>
      </w:pPr>
      <w:r w:rsidRPr="00243135">
        <w:rPr>
          <w:sz w:val="28"/>
          <w:szCs w:val="28"/>
        </w:rPr>
        <w:t xml:space="preserve">Moreover, </w:t>
      </w:r>
      <w:proofErr w:type="spellStart"/>
      <w:r w:rsidRPr="00243135">
        <w:rPr>
          <w:sz w:val="28"/>
          <w:szCs w:val="28"/>
        </w:rPr>
        <w:t>en</w:t>
      </w:r>
      <w:proofErr w:type="spellEnd"/>
      <w:r w:rsidRPr="00243135">
        <w:rPr>
          <w:sz w:val="28"/>
          <w:szCs w:val="28"/>
        </w:rPr>
        <w:t xml:space="preserve"> banc reconsideration is not designed to re-litigate every case but to address rare and exceptional circumstances where the integrity and consistency of the appellate process are at stake. Finality that rests on conflicting or erroneous </w:t>
      </w:r>
      <w:r w:rsidRPr="00243135">
        <w:rPr>
          <w:sz w:val="28"/>
          <w:szCs w:val="28"/>
        </w:rPr>
        <w:lastRenderedPageBreak/>
        <w:t>precedent is not true finality—it is the appearance of closure at the cost of confidence in the system.</w:t>
      </w:r>
    </w:p>
    <w:p w14:paraId="5050F2B4" w14:textId="77777777" w:rsidR="00D2704F" w:rsidRDefault="00D2704F" w:rsidP="00243135">
      <w:pPr>
        <w:pStyle w:val="NormalWeb"/>
        <w:ind w:left="2880" w:firstLine="720"/>
        <w:contextualSpacing/>
        <w:rPr>
          <w:rStyle w:val="Strong"/>
          <w:sz w:val="28"/>
          <w:szCs w:val="28"/>
        </w:rPr>
      </w:pPr>
      <w:r w:rsidRPr="00243135">
        <w:rPr>
          <w:rStyle w:val="Strong"/>
          <w:sz w:val="28"/>
          <w:szCs w:val="28"/>
        </w:rPr>
        <w:t>CONCLUSION</w:t>
      </w:r>
    </w:p>
    <w:p w14:paraId="4C7BB703" w14:textId="77777777" w:rsidR="00243135" w:rsidRPr="00243135" w:rsidRDefault="00243135" w:rsidP="00243135">
      <w:pPr>
        <w:pStyle w:val="NormalWeb"/>
        <w:ind w:left="2880" w:firstLine="720"/>
        <w:contextualSpacing/>
        <w:rPr>
          <w:sz w:val="28"/>
          <w:szCs w:val="28"/>
        </w:rPr>
      </w:pPr>
    </w:p>
    <w:p w14:paraId="4128BCD7" w14:textId="77777777" w:rsidR="00D2704F" w:rsidRPr="00243135" w:rsidRDefault="00D2704F" w:rsidP="00243135">
      <w:pPr>
        <w:pStyle w:val="NormalWeb"/>
        <w:spacing w:line="480" w:lineRule="auto"/>
        <w:ind w:firstLine="720"/>
        <w:contextualSpacing/>
        <w:rPr>
          <w:sz w:val="28"/>
          <w:szCs w:val="28"/>
        </w:rPr>
      </w:pPr>
      <w:r w:rsidRPr="00243135">
        <w:rPr>
          <w:sz w:val="28"/>
          <w:szCs w:val="28"/>
        </w:rPr>
        <w:t>For the reasons stated in the Petition</w:t>
      </w:r>
      <w:r w:rsidRPr="00243135">
        <w:rPr>
          <w:rStyle w:val="FootnoteReference"/>
          <w:szCs w:val="28"/>
        </w:rPr>
        <w:footnoteReference w:id="1"/>
      </w:r>
      <w:r w:rsidRPr="00243135">
        <w:rPr>
          <w:sz w:val="28"/>
          <w:szCs w:val="28"/>
        </w:rPr>
        <w:t xml:space="preserve"> and clarified here, the Court should adopt the proposed amendments to Ariz. R. Crim. P. 31.20 and Ariz. R. Civ. App. P. 22 to provide a mechanism for </w:t>
      </w:r>
      <w:proofErr w:type="spellStart"/>
      <w:r w:rsidRPr="00243135">
        <w:rPr>
          <w:sz w:val="28"/>
          <w:szCs w:val="28"/>
        </w:rPr>
        <w:t>en</w:t>
      </w:r>
      <w:proofErr w:type="spellEnd"/>
      <w:r w:rsidRPr="00243135">
        <w:rPr>
          <w:sz w:val="28"/>
          <w:szCs w:val="28"/>
        </w:rPr>
        <w:t xml:space="preserve"> banc reconsideration in the Court of Appeals.</w:t>
      </w:r>
    </w:p>
    <w:p w14:paraId="52E15A46" w14:textId="77777777" w:rsidR="00243135" w:rsidRPr="00243135" w:rsidRDefault="00243135" w:rsidP="00243135">
      <w:pPr>
        <w:contextualSpacing/>
        <w:jc w:val="center"/>
        <w:rPr>
          <w:sz w:val="28"/>
          <w:szCs w:val="28"/>
          <w:vertAlign w:val="baseline"/>
        </w:rPr>
      </w:pPr>
      <w:r w:rsidRPr="00243135">
        <w:rPr>
          <w:sz w:val="28"/>
          <w:szCs w:val="28"/>
          <w:vertAlign w:val="baseline"/>
        </w:rPr>
        <w:t xml:space="preserve">Respectfully submitted this </w:t>
      </w:r>
      <w:r>
        <w:rPr>
          <w:sz w:val="28"/>
          <w:szCs w:val="28"/>
          <w:vertAlign w:val="baseline"/>
        </w:rPr>
        <w:t>29</w:t>
      </w:r>
      <w:r w:rsidRPr="00243135">
        <w:rPr>
          <w:sz w:val="28"/>
          <w:szCs w:val="28"/>
          <w:vertAlign w:val="baseline"/>
        </w:rPr>
        <w:t>th day of</w:t>
      </w:r>
      <w:r>
        <w:rPr>
          <w:sz w:val="28"/>
          <w:szCs w:val="28"/>
          <w:vertAlign w:val="baseline"/>
        </w:rPr>
        <w:t xml:space="preserve"> May</w:t>
      </w:r>
      <w:r w:rsidRPr="00243135">
        <w:rPr>
          <w:sz w:val="28"/>
          <w:szCs w:val="28"/>
          <w:vertAlign w:val="baseline"/>
        </w:rPr>
        <w:t>, 2025</w:t>
      </w:r>
    </w:p>
    <w:p w14:paraId="2A5104ED" w14:textId="77777777" w:rsidR="00243135" w:rsidRDefault="00243135" w:rsidP="00243135">
      <w:pPr>
        <w:ind w:left="3600" w:firstLine="720"/>
        <w:contextualSpacing/>
        <w:rPr>
          <w:sz w:val="28"/>
          <w:szCs w:val="28"/>
          <w:vertAlign w:val="baseline"/>
        </w:rPr>
      </w:pPr>
    </w:p>
    <w:p w14:paraId="0136B53E" w14:textId="77777777" w:rsidR="00243135" w:rsidRPr="00243135" w:rsidRDefault="00243135" w:rsidP="00243135">
      <w:pPr>
        <w:ind w:left="3600" w:firstLine="720"/>
        <w:contextualSpacing/>
        <w:rPr>
          <w:sz w:val="28"/>
          <w:szCs w:val="28"/>
          <w:u w:val="single"/>
          <w:vertAlign w:val="baseline"/>
        </w:rPr>
      </w:pPr>
      <w:r w:rsidRPr="00243135">
        <w:rPr>
          <w:sz w:val="28"/>
          <w:szCs w:val="28"/>
          <w:vertAlign w:val="baseline"/>
        </w:rPr>
        <w:t>By:</w:t>
      </w:r>
      <w:r w:rsidRPr="00243135">
        <w:rPr>
          <w:sz w:val="28"/>
          <w:szCs w:val="28"/>
          <w:u w:val="single"/>
          <w:vertAlign w:val="baseline"/>
        </w:rPr>
        <w:t xml:space="preserve"> /s/ Kevin D. Heade</w:t>
      </w:r>
    </w:p>
    <w:p w14:paraId="2AD3C765" w14:textId="77777777" w:rsidR="00243135" w:rsidRPr="00243135" w:rsidRDefault="00243135" w:rsidP="00243135">
      <w:pPr>
        <w:ind w:left="4320"/>
        <w:contextualSpacing/>
        <w:rPr>
          <w:sz w:val="28"/>
          <w:szCs w:val="28"/>
          <w:vertAlign w:val="baseline"/>
        </w:rPr>
      </w:pPr>
      <w:r>
        <w:rPr>
          <w:sz w:val="28"/>
          <w:szCs w:val="28"/>
          <w:vertAlign w:val="baseline"/>
        </w:rPr>
        <w:t xml:space="preserve">           </w:t>
      </w:r>
      <w:r w:rsidRPr="00243135">
        <w:rPr>
          <w:sz w:val="28"/>
          <w:szCs w:val="28"/>
          <w:vertAlign w:val="baseline"/>
        </w:rPr>
        <w:t>Kevin D. Heade</w:t>
      </w:r>
    </w:p>
    <w:p w14:paraId="19952631" w14:textId="77777777" w:rsidR="00D2704F" w:rsidRPr="00243135" w:rsidRDefault="00243135" w:rsidP="00243135">
      <w:pPr>
        <w:contextualSpacing/>
        <w:rPr>
          <w:sz w:val="28"/>
          <w:szCs w:val="28"/>
          <w:vertAlign w:val="baseline"/>
        </w:rPr>
      </w:pPr>
      <w:r>
        <w:rPr>
          <w:sz w:val="28"/>
          <w:szCs w:val="28"/>
          <w:vertAlign w:val="baseline"/>
        </w:rPr>
        <w:t xml:space="preserve">                                                                        </w:t>
      </w:r>
      <w:r w:rsidRPr="00243135">
        <w:rPr>
          <w:sz w:val="28"/>
          <w:szCs w:val="28"/>
          <w:vertAlign w:val="baseline"/>
        </w:rPr>
        <w:t>AZ State Bar #029909</w:t>
      </w:r>
    </w:p>
    <w:sectPr w:rsidR="00D2704F" w:rsidRPr="0024313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CF2A" w14:textId="77777777" w:rsidR="00F049E2" w:rsidRDefault="00F049E2">
      <w:r>
        <w:separator/>
      </w:r>
    </w:p>
  </w:endnote>
  <w:endnote w:type="continuationSeparator" w:id="0">
    <w:p w14:paraId="5E51211F" w14:textId="77777777" w:rsidR="00F049E2" w:rsidRDefault="00F0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58B2" w14:textId="77777777" w:rsidR="006E5AA7" w:rsidRDefault="009E605E">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131EB3">
      <w:rPr>
        <w:noProof/>
        <w:color w:val="000000"/>
        <w:sz w:val="28"/>
        <w:szCs w:val="28"/>
        <w:vertAlign w:val="baseline"/>
      </w:rPr>
      <w:t>4</w:t>
    </w:r>
    <w:r>
      <w:rPr>
        <w:color w:val="000000"/>
        <w:sz w:val="28"/>
        <w:szCs w:val="28"/>
        <w:vertAlign w:val="baseline"/>
      </w:rPr>
      <w:fldChar w:fldCharType="end"/>
    </w:r>
  </w:p>
  <w:p w14:paraId="6EDF9953" w14:textId="77777777" w:rsidR="006E5AA7" w:rsidRDefault="006E5A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1D278" w14:textId="77777777" w:rsidR="00F049E2" w:rsidRDefault="00F049E2">
      <w:r>
        <w:separator/>
      </w:r>
    </w:p>
  </w:footnote>
  <w:footnote w:type="continuationSeparator" w:id="0">
    <w:p w14:paraId="4B42CDD0" w14:textId="77777777" w:rsidR="00F049E2" w:rsidRDefault="00F049E2">
      <w:r>
        <w:continuationSeparator/>
      </w:r>
    </w:p>
  </w:footnote>
  <w:footnote w:id="1">
    <w:p w14:paraId="086AA4B7" w14:textId="77777777" w:rsidR="00243135" w:rsidRDefault="00D2704F" w:rsidP="00243135">
      <w:pPr>
        <w:pStyle w:val="FootnoteText"/>
        <w:jc w:val="both"/>
        <w:rPr>
          <w:sz w:val="28"/>
          <w:szCs w:val="28"/>
        </w:rPr>
      </w:pPr>
      <w:r>
        <w:rPr>
          <w:rStyle w:val="FootnoteReference"/>
        </w:rPr>
        <w:footnoteRef/>
      </w:r>
      <w:r>
        <w:t xml:space="preserve"> </w:t>
      </w:r>
      <w:r w:rsidRPr="00243135">
        <w:rPr>
          <w:sz w:val="28"/>
          <w:szCs w:val="28"/>
          <w:vertAlign w:val="baseline"/>
        </w:rPr>
        <w:t xml:space="preserve">Since filing the Petition, it has come to undersigned counsel’s attention that the data in the New York survey cited on page 5 of the Petition is likely inaccurate.  The Petition cited the survey as establishing that </w:t>
      </w:r>
      <w:r w:rsidR="00243135" w:rsidRPr="00243135">
        <w:rPr>
          <w:sz w:val="28"/>
          <w:szCs w:val="28"/>
          <w:vertAlign w:val="baseline"/>
        </w:rPr>
        <w:t>“</w:t>
      </w:r>
      <w:r w:rsidRPr="00243135">
        <w:rPr>
          <w:sz w:val="28"/>
          <w:szCs w:val="28"/>
          <w:vertAlign w:val="baseline"/>
        </w:rPr>
        <w:t xml:space="preserve">23 states, the District of Columbia, and the entire federal court system  provide </w:t>
      </w:r>
      <w:proofErr w:type="spellStart"/>
      <w:r w:rsidRPr="00243135">
        <w:rPr>
          <w:sz w:val="28"/>
          <w:szCs w:val="28"/>
          <w:vertAlign w:val="baseline"/>
        </w:rPr>
        <w:t>en</w:t>
      </w:r>
      <w:proofErr w:type="spellEnd"/>
      <w:r w:rsidRPr="00243135">
        <w:rPr>
          <w:sz w:val="28"/>
          <w:szCs w:val="28"/>
          <w:vertAlign w:val="baseline"/>
        </w:rPr>
        <w:t xml:space="preserve"> ban review by their intermediate appellate courts.</w:t>
      </w:r>
      <w:r w:rsidR="00243135" w:rsidRPr="00243135">
        <w:rPr>
          <w:sz w:val="28"/>
          <w:szCs w:val="28"/>
          <w:vertAlign w:val="baseline"/>
        </w:rPr>
        <w:t>”</w:t>
      </w:r>
      <w:r w:rsidRPr="00243135">
        <w:rPr>
          <w:sz w:val="28"/>
          <w:szCs w:val="28"/>
          <w:vertAlign w:val="baseline"/>
        </w:rPr>
        <w:t xml:space="preserve"> </w:t>
      </w:r>
      <w:r w:rsidR="00243135">
        <w:rPr>
          <w:sz w:val="28"/>
          <w:szCs w:val="28"/>
          <w:vertAlign w:val="baseline"/>
        </w:rPr>
        <w:t xml:space="preserve">Petition at 5 (citing </w:t>
      </w:r>
      <w:proofErr w:type="spellStart"/>
      <w:r w:rsidR="00243135" w:rsidRPr="00243135">
        <w:rPr>
          <w:i/>
          <w:iCs/>
          <w:sz w:val="28"/>
          <w:szCs w:val="28"/>
          <w:vertAlign w:val="baseline"/>
        </w:rPr>
        <w:t>En</w:t>
      </w:r>
      <w:proofErr w:type="spellEnd"/>
      <w:r w:rsidR="00243135" w:rsidRPr="00243135">
        <w:rPr>
          <w:i/>
          <w:iCs/>
          <w:sz w:val="28"/>
          <w:szCs w:val="28"/>
          <w:vertAlign w:val="baseline"/>
        </w:rPr>
        <w:t xml:space="preserve"> Banc Review in New York Court</w:t>
      </w:r>
      <w:r w:rsidR="00243135" w:rsidRPr="00243135">
        <w:rPr>
          <w:sz w:val="28"/>
          <w:szCs w:val="28"/>
          <w:vertAlign w:val="baseline"/>
        </w:rPr>
        <w:t xml:space="preserve">, New York City Bar Association Committee on State Courts of Superior Jurisdiction, (available at </w:t>
      </w:r>
      <w:r w:rsidR="00243135" w:rsidRPr="00243135">
        <w:rPr>
          <w:color w:val="3232FF"/>
          <w:sz w:val="28"/>
          <w:szCs w:val="28"/>
          <w:vertAlign w:val="baseline"/>
        </w:rPr>
        <w:t>https://www.nycbar.org/wp-content/uploads/2023/05/En_Banc_Article.pdf</w:t>
      </w:r>
      <w:r w:rsidR="00243135" w:rsidRPr="00243135">
        <w:rPr>
          <w:sz w:val="28"/>
          <w:szCs w:val="28"/>
          <w:vertAlign w:val="baseline"/>
        </w:rPr>
        <w:t>) (last accessed Jan. 03, 2025)</w:t>
      </w:r>
      <w:r w:rsidR="00243135">
        <w:rPr>
          <w:sz w:val="28"/>
          <w:szCs w:val="28"/>
        </w:rPr>
        <w:t xml:space="preserve">. </w:t>
      </w:r>
    </w:p>
    <w:p w14:paraId="7E3DAB1D" w14:textId="77777777" w:rsidR="00D2704F" w:rsidRDefault="00D2704F" w:rsidP="00243135">
      <w:pPr>
        <w:pStyle w:val="FootnoteText"/>
        <w:ind w:firstLine="720"/>
        <w:jc w:val="both"/>
      </w:pPr>
      <w:r w:rsidRPr="00243135">
        <w:rPr>
          <w:sz w:val="28"/>
          <w:szCs w:val="28"/>
          <w:vertAlign w:val="baseline"/>
        </w:rPr>
        <w:t xml:space="preserve">But at a meeting of the State Bar’s Civil Practice and Procedure Committee </w:t>
      </w:r>
      <w:r w:rsidR="00243135" w:rsidRPr="00243135">
        <w:rPr>
          <w:sz w:val="28"/>
          <w:szCs w:val="28"/>
          <w:vertAlign w:val="baseline"/>
        </w:rPr>
        <w:t xml:space="preserve">held on February 06, </w:t>
      </w:r>
      <w:r w:rsidRPr="00243135">
        <w:rPr>
          <w:sz w:val="28"/>
          <w:szCs w:val="28"/>
          <w:vertAlign w:val="baseline"/>
        </w:rPr>
        <w:t>2025, the accuracy of this assertion</w:t>
      </w:r>
      <w:r w:rsidR="00243135">
        <w:rPr>
          <w:sz w:val="28"/>
          <w:szCs w:val="28"/>
          <w:vertAlign w:val="baseline"/>
        </w:rPr>
        <w:t xml:space="preserve"> (“23 states”)</w:t>
      </w:r>
      <w:r w:rsidRPr="00243135">
        <w:rPr>
          <w:sz w:val="28"/>
          <w:szCs w:val="28"/>
          <w:vertAlign w:val="baseline"/>
        </w:rPr>
        <w:t xml:space="preserve"> was disputed. </w:t>
      </w:r>
      <w:r w:rsidR="00243135" w:rsidRPr="00243135">
        <w:rPr>
          <w:sz w:val="28"/>
          <w:szCs w:val="28"/>
          <w:vertAlign w:val="baseline"/>
        </w:rPr>
        <w:t xml:space="preserve"> Based on data collected for the meeting, </w:t>
      </w:r>
      <w:r w:rsidR="00243135">
        <w:rPr>
          <w:sz w:val="28"/>
          <w:szCs w:val="28"/>
          <w:vertAlign w:val="baseline"/>
        </w:rPr>
        <w:t>i</w:t>
      </w:r>
      <w:r w:rsidR="00243135" w:rsidRPr="00243135">
        <w:rPr>
          <w:sz w:val="28"/>
          <w:szCs w:val="28"/>
          <w:vertAlign w:val="baseline"/>
        </w:rPr>
        <w:t xml:space="preserve">t appears that at least 17 states do provide </w:t>
      </w:r>
      <w:proofErr w:type="spellStart"/>
      <w:r w:rsidR="00243135" w:rsidRPr="00243135">
        <w:rPr>
          <w:sz w:val="28"/>
          <w:szCs w:val="28"/>
          <w:vertAlign w:val="baseline"/>
        </w:rPr>
        <w:t>en</w:t>
      </w:r>
      <w:proofErr w:type="spellEnd"/>
      <w:r w:rsidR="00243135" w:rsidRPr="00243135">
        <w:rPr>
          <w:sz w:val="28"/>
          <w:szCs w:val="28"/>
          <w:vertAlign w:val="baseline"/>
        </w:rPr>
        <w:t xml:space="preserve"> banc review at the intermediate level. Whether </w:t>
      </w:r>
      <w:proofErr w:type="spellStart"/>
      <w:r w:rsidR="00243135" w:rsidRPr="00243135">
        <w:rPr>
          <w:sz w:val="28"/>
          <w:szCs w:val="28"/>
          <w:vertAlign w:val="baseline"/>
        </w:rPr>
        <w:t>en</w:t>
      </w:r>
      <w:proofErr w:type="spellEnd"/>
      <w:r w:rsidR="00243135" w:rsidRPr="00243135">
        <w:rPr>
          <w:sz w:val="28"/>
          <w:szCs w:val="28"/>
          <w:vertAlign w:val="baseline"/>
        </w:rPr>
        <w:t xml:space="preserve"> banc review exists for the other 6 jurisdictions cited in the New York survey likely depends on whether the courts at issue ever issue hear cases as panels</w:t>
      </w:r>
      <w:r w:rsidR="00243135">
        <w:rPr>
          <w:sz w:val="28"/>
          <w:szCs w:val="28"/>
          <w:vertAlign w:val="baseline"/>
        </w:rPr>
        <w:t xml:space="preserve">, whether the data </w:t>
      </w:r>
      <w:r w:rsidR="00243135" w:rsidRPr="00243135">
        <w:rPr>
          <w:sz w:val="28"/>
          <w:szCs w:val="28"/>
          <w:vertAlign w:val="baseline"/>
        </w:rPr>
        <w:t xml:space="preserve">errantly includes </w:t>
      </w:r>
      <w:proofErr w:type="spellStart"/>
      <w:r w:rsidR="00243135" w:rsidRPr="00243135">
        <w:rPr>
          <w:sz w:val="28"/>
          <w:szCs w:val="28"/>
          <w:vertAlign w:val="baseline"/>
        </w:rPr>
        <w:t>en</w:t>
      </w:r>
      <w:proofErr w:type="spellEnd"/>
      <w:r w:rsidR="00243135" w:rsidRPr="00243135">
        <w:rPr>
          <w:sz w:val="28"/>
          <w:szCs w:val="28"/>
          <w:vertAlign w:val="baseline"/>
        </w:rPr>
        <w:t xml:space="preserve"> banc review by a state’s highest</w:t>
      </w:r>
      <w:r w:rsidR="00243135">
        <w:rPr>
          <w:sz w:val="28"/>
          <w:szCs w:val="28"/>
          <w:vertAlign w:val="baseline"/>
        </w:rPr>
        <w:t xml:space="preserve"> court</w:t>
      </w:r>
      <w:r w:rsidR="00243135" w:rsidRPr="00243135">
        <w:rPr>
          <w:sz w:val="28"/>
          <w:szCs w:val="28"/>
          <w:vertAlign w:val="baseline"/>
        </w:rPr>
        <w:t>, as opposed to intermediate court, or was erroneous</w:t>
      </w:r>
      <w:r w:rsidR="00243135">
        <w:rPr>
          <w:sz w:val="28"/>
          <w:szCs w:val="28"/>
          <w:vertAlign w:val="baseline"/>
        </w:rPr>
        <w:t xml:space="preserve"> for other reasons</w:t>
      </w:r>
      <w:r w:rsidR="00243135" w:rsidRPr="00243135">
        <w:rPr>
          <w:sz w:val="28"/>
          <w:szCs w:val="28"/>
          <w:vertAlign w:val="baseli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820053"/>
    <w:multiLevelType w:val="hybridMultilevel"/>
    <w:tmpl w:val="A02ADFE0"/>
    <w:lvl w:ilvl="0" w:tplc="68B2D5B2">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5285FF3"/>
    <w:multiLevelType w:val="hybridMultilevel"/>
    <w:tmpl w:val="884651C0"/>
    <w:lvl w:ilvl="0" w:tplc="90C2CC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6705B"/>
    <w:multiLevelType w:val="hybridMultilevel"/>
    <w:tmpl w:val="9D74F874"/>
    <w:lvl w:ilvl="0" w:tplc="F2E28C16">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07607"/>
    <w:multiLevelType w:val="hybridMultilevel"/>
    <w:tmpl w:val="C2AE0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25938"/>
    <w:multiLevelType w:val="hybridMultilevel"/>
    <w:tmpl w:val="A94A2072"/>
    <w:lvl w:ilvl="0" w:tplc="EA6E2F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31664"/>
    <w:multiLevelType w:val="multilevel"/>
    <w:tmpl w:val="7426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002E9"/>
    <w:multiLevelType w:val="multilevel"/>
    <w:tmpl w:val="CB5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209DB"/>
    <w:multiLevelType w:val="hybridMultilevel"/>
    <w:tmpl w:val="749CE4E2"/>
    <w:lvl w:ilvl="0" w:tplc="A93CF6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F2E5F"/>
    <w:multiLevelType w:val="hybridMultilevel"/>
    <w:tmpl w:val="884651C0"/>
    <w:lvl w:ilvl="0" w:tplc="90C2CC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32445EA"/>
    <w:multiLevelType w:val="multilevel"/>
    <w:tmpl w:val="E36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03BE6"/>
    <w:multiLevelType w:val="hybridMultilevel"/>
    <w:tmpl w:val="DA0C7B9C"/>
    <w:lvl w:ilvl="0" w:tplc="DC0E8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E186E"/>
    <w:multiLevelType w:val="hybridMultilevel"/>
    <w:tmpl w:val="AAF05FA0"/>
    <w:lvl w:ilvl="0" w:tplc="C6DC6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5806B5"/>
    <w:multiLevelType w:val="multilevel"/>
    <w:tmpl w:val="F512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1"/>
  </w:num>
  <w:num w:numId="3">
    <w:abstractNumId w:val="16"/>
  </w:num>
  <w:num w:numId="4">
    <w:abstractNumId w:val="4"/>
  </w:num>
  <w:num w:numId="5">
    <w:abstractNumId w:val="3"/>
  </w:num>
  <w:num w:numId="6">
    <w:abstractNumId w:val="2"/>
  </w:num>
  <w:num w:numId="7">
    <w:abstractNumId w:val="1"/>
  </w:num>
  <w:num w:numId="8">
    <w:abstractNumId w:val="0"/>
  </w:num>
  <w:num w:numId="9">
    <w:abstractNumId w:val="11"/>
  </w:num>
  <w:num w:numId="10">
    <w:abstractNumId w:val="19"/>
  </w:num>
  <w:num w:numId="11">
    <w:abstractNumId w:val="18"/>
  </w:num>
  <w:num w:numId="12">
    <w:abstractNumId w:val="7"/>
  </w:num>
  <w:num w:numId="13">
    <w:abstractNumId w:val="15"/>
  </w:num>
  <w:num w:numId="14">
    <w:abstractNumId w:val="13"/>
  </w:num>
  <w:num w:numId="15">
    <w:abstractNumId w:val="20"/>
  </w:num>
  <w:num w:numId="16">
    <w:abstractNumId w:val="10"/>
  </w:num>
  <w:num w:numId="17">
    <w:abstractNumId w:val="9"/>
  </w:num>
  <w:num w:numId="18">
    <w:abstractNumId w:val="12"/>
  </w:num>
  <w:num w:numId="19">
    <w:abstractNumId w:val="17"/>
  </w:num>
  <w:num w:numId="20">
    <w:abstractNumId w:val="14"/>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0380F"/>
    <w:rsid w:val="00022CDB"/>
    <w:rsid w:val="00027682"/>
    <w:rsid w:val="00113562"/>
    <w:rsid w:val="00131EB3"/>
    <w:rsid w:val="00167DF4"/>
    <w:rsid w:val="00243135"/>
    <w:rsid w:val="002F482A"/>
    <w:rsid w:val="002F723A"/>
    <w:rsid w:val="00317F9C"/>
    <w:rsid w:val="003206D1"/>
    <w:rsid w:val="00322739"/>
    <w:rsid w:val="0033192E"/>
    <w:rsid w:val="00335E56"/>
    <w:rsid w:val="00392373"/>
    <w:rsid w:val="003B1748"/>
    <w:rsid w:val="003E5CBB"/>
    <w:rsid w:val="00412C8F"/>
    <w:rsid w:val="004310A4"/>
    <w:rsid w:val="004350F8"/>
    <w:rsid w:val="0051589B"/>
    <w:rsid w:val="00567971"/>
    <w:rsid w:val="00643B04"/>
    <w:rsid w:val="0067433F"/>
    <w:rsid w:val="00676195"/>
    <w:rsid w:val="006E489B"/>
    <w:rsid w:val="006E5AA7"/>
    <w:rsid w:val="007710B6"/>
    <w:rsid w:val="007E1739"/>
    <w:rsid w:val="00803A5A"/>
    <w:rsid w:val="0087276C"/>
    <w:rsid w:val="008831A8"/>
    <w:rsid w:val="00912E6D"/>
    <w:rsid w:val="00913130"/>
    <w:rsid w:val="009E605E"/>
    <w:rsid w:val="00A45540"/>
    <w:rsid w:val="00A46F46"/>
    <w:rsid w:val="00AE1AE4"/>
    <w:rsid w:val="00AE43B7"/>
    <w:rsid w:val="00B20AB0"/>
    <w:rsid w:val="00B21536"/>
    <w:rsid w:val="00B3517F"/>
    <w:rsid w:val="00B412A5"/>
    <w:rsid w:val="00C62BBA"/>
    <w:rsid w:val="00D14F09"/>
    <w:rsid w:val="00D23A44"/>
    <w:rsid w:val="00D2704F"/>
    <w:rsid w:val="00D57639"/>
    <w:rsid w:val="00DC29AA"/>
    <w:rsid w:val="00DF19B4"/>
    <w:rsid w:val="00E00C74"/>
    <w:rsid w:val="00E2039B"/>
    <w:rsid w:val="00E223F6"/>
    <w:rsid w:val="00EB038C"/>
    <w:rsid w:val="00EC4124"/>
    <w:rsid w:val="00F049E2"/>
    <w:rsid w:val="00F51B09"/>
    <w:rsid w:val="00FD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D470"/>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styleId="UnresolvedMention">
    <w:name w:val="Unresolved Mention"/>
    <w:basedOn w:val="DefaultParagraphFont"/>
    <w:uiPriority w:val="99"/>
    <w:semiHidden/>
    <w:unhideWhenUsed/>
    <w:rsid w:val="0043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982">
      <w:bodyDiv w:val="1"/>
      <w:marLeft w:val="0"/>
      <w:marRight w:val="0"/>
      <w:marTop w:val="0"/>
      <w:marBottom w:val="0"/>
      <w:divBdr>
        <w:top w:val="none" w:sz="0" w:space="0" w:color="auto"/>
        <w:left w:val="none" w:sz="0" w:space="0" w:color="auto"/>
        <w:bottom w:val="none" w:sz="0" w:space="0" w:color="auto"/>
        <w:right w:val="none" w:sz="0" w:space="0" w:color="auto"/>
      </w:divBdr>
      <w:divsChild>
        <w:div w:id="1337998550">
          <w:marLeft w:val="0"/>
          <w:marRight w:val="0"/>
          <w:marTop w:val="0"/>
          <w:marBottom w:val="0"/>
          <w:divBdr>
            <w:top w:val="none" w:sz="0" w:space="0" w:color="3D3D3D"/>
            <w:left w:val="none" w:sz="0" w:space="0" w:color="3D3D3D"/>
            <w:bottom w:val="none" w:sz="0" w:space="0" w:color="3D3D3D"/>
            <w:right w:val="none" w:sz="0" w:space="0" w:color="3D3D3D"/>
          </w:divBdr>
          <w:divsChild>
            <w:div w:id="1512649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847247">
      <w:bodyDiv w:val="1"/>
      <w:marLeft w:val="0"/>
      <w:marRight w:val="0"/>
      <w:marTop w:val="0"/>
      <w:marBottom w:val="0"/>
      <w:divBdr>
        <w:top w:val="none" w:sz="0" w:space="0" w:color="auto"/>
        <w:left w:val="none" w:sz="0" w:space="0" w:color="auto"/>
        <w:bottom w:val="none" w:sz="0" w:space="0" w:color="auto"/>
        <w:right w:val="none" w:sz="0" w:space="0" w:color="auto"/>
      </w:divBdr>
      <w:divsChild>
        <w:div w:id="312099237">
          <w:marLeft w:val="0"/>
          <w:marRight w:val="0"/>
          <w:marTop w:val="0"/>
          <w:marBottom w:val="0"/>
          <w:divBdr>
            <w:top w:val="none" w:sz="0" w:space="0" w:color="3D3D3D"/>
            <w:left w:val="none" w:sz="0" w:space="0" w:color="3D3D3D"/>
            <w:bottom w:val="none" w:sz="0" w:space="0" w:color="3D3D3D"/>
            <w:right w:val="none" w:sz="0" w:space="0" w:color="3D3D3D"/>
          </w:divBdr>
          <w:divsChild>
            <w:div w:id="1234715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6403718">
      <w:bodyDiv w:val="1"/>
      <w:marLeft w:val="0"/>
      <w:marRight w:val="0"/>
      <w:marTop w:val="0"/>
      <w:marBottom w:val="0"/>
      <w:divBdr>
        <w:top w:val="none" w:sz="0" w:space="0" w:color="auto"/>
        <w:left w:val="none" w:sz="0" w:space="0" w:color="auto"/>
        <w:bottom w:val="none" w:sz="0" w:space="0" w:color="auto"/>
        <w:right w:val="none" w:sz="0" w:space="0" w:color="auto"/>
      </w:divBdr>
      <w:divsChild>
        <w:div w:id="362750648">
          <w:marLeft w:val="0"/>
          <w:marRight w:val="0"/>
          <w:marTop w:val="0"/>
          <w:marBottom w:val="0"/>
          <w:divBdr>
            <w:top w:val="none" w:sz="0" w:space="0" w:color="3D3D3D"/>
            <w:left w:val="none" w:sz="0" w:space="0" w:color="3D3D3D"/>
            <w:bottom w:val="none" w:sz="0" w:space="0" w:color="3D3D3D"/>
            <w:right w:val="none" w:sz="0" w:space="0" w:color="3D3D3D"/>
          </w:divBdr>
          <w:divsChild>
            <w:div w:id="8775501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1939848">
      <w:bodyDiv w:val="1"/>
      <w:marLeft w:val="0"/>
      <w:marRight w:val="0"/>
      <w:marTop w:val="0"/>
      <w:marBottom w:val="0"/>
      <w:divBdr>
        <w:top w:val="none" w:sz="0" w:space="0" w:color="auto"/>
        <w:left w:val="none" w:sz="0" w:space="0" w:color="auto"/>
        <w:bottom w:val="none" w:sz="0" w:space="0" w:color="auto"/>
        <w:right w:val="none" w:sz="0" w:space="0" w:color="auto"/>
      </w:divBdr>
      <w:divsChild>
        <w:div w:id="154684972">
          <w:marLeft w:val="0"/>
          <w:marRight w:val="0"/>
          <w:marTop w:val="0"/>
          <w:marBottom w:val="0"/>
          <w:divBdr>
            <w:top w:val="none" w:sz="0" w:space="0" w:color="3D3D3D"/>
            <w:left w:val="none" w:sz="0" w:space="0" w:color="3D3D3D"/>
            <w:bottom w:val="none" w:sz="0" w:space="0" w:color="3D3D3D"/>
            <w:right w:val="none" w:sz="0" w:space="0" w:color="3D3D3D"/>
          </w:divBdr>
          <w:divsChild>
            <w:div w:id="1641038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655251">
      <w:bodyDiv w:val="1"/>
      <w:marLeft w:val="0"/>
      <w:marRight w:val="0"/>
      <w:marTop w:val="0"/>
      <w:marBottom w:val="0"/>
      <w:divBdr>
        <w:top w:val="none" w:sz="0" w:space="0" w:color="auto"/>
        <w:left w:val="none" w:sz="0" w:space="0" w:color="auto"/>
        <w:bottom w:val="none" w:sz="0" w:space="0" w:color="auto"/>
        <w:right w:val="none" w:sz="0" w:space="0" w:color="auto"/>
      </w:divBdr>
      <w:divsChild>
        <w:div w:id="1831602101">
          <w:marLeft w:val="0"/>
          <w:marRight w:val="0"/>
          <w:marTop w:val="0"/>
          <w:marBottom w:val="0"/>
          <w:divBdr>
            <w:top w:val="none" w:sz="0" w:space="0" w:color="3D3D3D"/>
            <w:left w:val="none" w:sz="0" w:space="0" w:color="3D3D3D"/>
            <w:bottom w:val="none" w:sz="0" w:space="0" w:color="3D3D3D"/>
            <w:right w:val="none" w:sz="0" w:space="0" w:color="3D3D3D"/>
          </w:divBdr>
          <w:divsChild>
            <w:div w:id="11552998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338279">
      <w:bodyDiv w:val="1"/>
      <w:marLeft w:val="0"/>
      <w:marRight w:val="0"/>
      <w:marTop w:val="0"/>
      <w:marBottom w:val="0"/>
      <w:divBdr>
        <w:top w:val="none" w:sz="0" w:space="0" w:color="auto"/>
        <w:left w:val="none" w:sz="0" w:space="0" w:color="auto"/>
        <w:bottom w:val="none" w:sz="0" w:space="0" w:color="auto"/>
        <w:right w:val="none" w:sz="0" w:space="0" w:color="auto"/>
      </w:divBdr>
      <w:divsChild>
        <w:div w:id="570582725">
          <w:marLeft w:val="0"/>
          <w:marRight w:val="0"/>
          <w:marTop w:val="0"/>
          <w:marBottom w:val="0"/>
          <w:divBdr>
            <w:top w:val="none" w:sz="0" w:space="0" w:color="3D3D3D"/>
            <w:left w:val="none" w:sz="0" w:space="0" w:color="3D3D3D"/>
            <w:bottom w:val="none" w:sz="0" w:space="0" w:color="3D3D3D"/>
            <w:right w:val="none" w:sz="0" w:space="0" w:color="3D3D3D"/>
          </w:divBdr>
          <w:divsChild>
            <w:div w:id="13191909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4445168">
      <w:bodyDiv w:val="1"/>
      <w:marLeft w:val="0"/>
      <w:marRight w:val="0"/>
      <w:marTop w:val="0"/>
      <w:marBottom w:val="0"/>
      <w:divBdr>
        <w:top w:val="none" w:sz="0" w:space="0" w:color="auto"/>
        <w:left w:val="none" w:sz="0" w:space="0" w:color="auto"/>
        <w:bottom w:val="none" w:sz="0" w:space="0" w:color="auto"/>
        <w:right w:val="none" w:sz="0" w:space="0" w:color="auto"/>
      </w:divBdr>
      <w:divsChild>
        <w:div w:id="29569986">
          <w:marLeft w:val="0"/>
          <w:marRight w:val="0"/>
          <w:marTop w:val="0"/>
          <w:marBottom w:val="0"/>
          <w:divBdr>
            <w:top w:val="none" w:sz="0" w:space="0" w:color="3D3D3D"/>
            <w:left w:val="none" w:sz="0" w:space="0" w:color="3D3D3D"/>
            <w:bottom w:val="none" w:sz="0" w:space="0" w:color="3D3D3D"/>
            <w:right w:val="none" w:sz="0" w:space="0" w:color="3D3D3D"/>
          </w:divBdr>
          <w:divsChild>
            <w:div w:id="9951103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5558911">
      <w:bodyDiv w:val="1"/>
      <w:marLeft w:val="0"/>
      <w:marRight w:val="0"/>
      <w:marTop w:val="0"/>
      <w:marBottom w:val="0"/>
      <w:divBdr>
        <w:top w:val="none" w:sz="0" w:space="0" w:color="auto"/>
        <w:left w:val="none" w:sz="0" w:space="0" w:color="auto"/>
        <w:bottom w:val="none" w:sz="0" w:space="0" w:color="auto"/>
        <w:right w:val="none" w:sz="0" w:space="0" w:color="auto"/>
      </w:divBdr>
    </w:div>
    <w:div w:id="896208668">
      <w:bodyDiv w:val="1"/>
      <w:marLeft w:val="0"/>
      <w:marRight w:val="0"/>
      <w:marTop w:val="0"/>
      <w:marBottom w:val="0"/>
      <w:divBdr>
        <w:top w:val="none" w:sz="0" w:space="0" w:color="auto"/>
        <w:left w:val="none" w:sz="0" w:space="0" w:color="auto"/>
        <w:bottom w:val="none" w:sz="0" w:space="0" w:color="auto"/>
        <w:right w:val="none" w:sz="0" w:space="0" w:color="auto"/>
      </w:divBdr>
      <w:divsChild>
        <w:div w:id="861012807">
          <w:marLeft w:val="0"/>
          <w:marRight w:val="0"/>
          <w:marTop w:val="0"/>
          <w:marBottom w:val="0"/>
          <w:divBdr>
            <w:top w:val="none" w:sz="0" w:space="0" w:color="3D3D3D"/>
            <w:left w:val="none" w:sz="0" w:space="0" w:color="3D3D3D"/>
            <w:bottom w:val="none" w:sz="0" w:space="0" w:color="3D3D3D"/>
            <w:right w:val="none" w:sz="0" w:space="0" w:color="3D3D3D"/>
          </w:divBdr>
          <w:divsChild>
            <w:div w:id="3359655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0165399">
      <w:bodyDiv w:val="1"/>
      <w:marLeft w:val="0"/>
      <w:marRight w:val="0"/>
      <w:marTop w:val="0"/>
      <w:marBottom w:val="0"/>
      <w:divBdr>
        <w:top w:val="none" w:sz="0" w:space="0" w:color="auto"/>
        <w:left w:val="none" w:sz="0" w:space="0" w:color="auto"/>
        <w:bottom w:val="none" w:sz="0" w:space="0" w:color="auto"/>
        <w:right w:val="none" w:sz="0" w:space="0" w:color="auto"/>
      </w:divBdr>
      <w:divsChild>
        <w:div w:id="1273440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442414">
      <w:bodyDiv w:val="1"/>
      <w:marLeft w:val="0"/>
      <w:marRight w:val="0"/>
      <w:marTop w:val="0"/>
      <w:marBottom w:val="0"/>
      <w:divBdr>
        <w:top w:val="none" w:sz="0" w:space="0" w:color="auto"/>
        <w:left w:val="none" w:sz="0" w:space="0" w:color="auto"/>
        <w:bottom w:val="none" w:sz="0" w:space="0" w:color="auto"/>
        <w:right w:val="none" w:sz="0" w:space="0" w:color="auto"/>
      </w:divBdr>
      <w:divsChild>
        <w:div w:id="1268807527">
          <w:marLeft w:val="0"/>
          <w:marRight w:val="0"/>
          <w:marTop w:val="0"/>
          <w:marBottom w:val="0"/>
          <w:divBdr>
            <w:top w:val="none" w:sz="0" w:space="0" w:color="3D3D3D"/>
            <w:left w:val="none" w:sz="0" w:space="0" w:color="3D3D3D"/>
            <w:bottom w:val="none" w:sz="0" w:space="0" w:color="3D3D3D"/>
            <w:right w:val="none" w:sz="0" w:space="0" w:color="3D3D3D"/>
          </w:divBdr>
          <w:divsChild>
            <w:div w:id="6020375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4183329">
      <w:bodyDiv w:val="1"/>
      <w:marLeft w:val="0"/>
      <w:marRight w:val="0"/>
      <w:marTop w:val="0"/>
      <w:marBottom w:val="0"/>
      <w:divBdr>
        <w:top w:val="none" w:sz="0" w:space="0" w:color="auto"/>
        <w:left w:val="none" w:sz="0" w:space="0" w:color="auto"/>
        <w:bottom w:val="none" w:sz="0" w:space="0" w:color="auto"/>
        <w:right w:val="none" w:sz="0" w:space="0" w:color="auto"/>
      </w:divBdr>
      <w:divsChild>
        <w:div w:id="205140694">
          <w:marLeft w:val="0"/>
          <w:marRight w:val="0"/>
          <w:marTop w:val="0"/>
          <w:marBottom w:val="0"/>
          <w:divBdr>
            <w:top w:val="none" w:sz="0" w:space="0" w:color="3D3D3D"/>
            <w:left w:val="none" w:sz="0" w:space="0" w:color="3D3D3D"/>
            <w:bottom w:val="none" w:sz="0" w:space="0" w:color="3D3D3D"/>
            <w:right w:val="none" w:sz="0" w:space="0" w:color="3D3D3D"/>
          </w:divBdr>
          <w:divsChild>
            <w:div w:id="9867868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048731">
      <w:bodyDiv w:val="1"/>
      <w:marLeft w:val="0"/>
      <w:marRight w:val="0"/>
      <w:marTop w:val="0"/>
      <w:marBottom w:val="0"/>
      <w:divBdr>
        <w:top w:val="none" w:sz="0" w:space="0" w:color="auto"/>
        <w:left w:val="none" w:sz="0" w:space="0" w:color="auto"/>
        <w:bottom w:val="none" w:sz="0" w:space="0" w:color="auto"/>
        <w:right w:val="none" w:sz="0" w:space="0" w:color="auto"/>
      </w:divBdr>
      <w:divsChild>
        <w:div w:id="1964847843">
          <w:marLeft w:val="0"/>
          <w:marRight w:val="0"/>
          <w:marTop w:val="0"/>
          <w:marBottom w:val="0"/>
          <w:divBdr>
            <w:top w:val="none" w:sz="0" w:space="0" w:color="3D3D3D"/>
            <w:left w:val="none" w:sz="0" w:space="0" w:color="3D3D3D"/>
            <w:bottom w:val="none" w:sz="0" w:space="0" w:color="3D3D3D"/>
            <w:right w:val="none" w:sz="0" w:space="0" w:color="3D3D3D"/>
          </w:divBdr>
          <w:divsChild>
            <w:div w:id="130441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6282331">
      <w:bodyDiv w:val="1"/>
      <w:marLeft w:val="0"/>
      <w:marRight w:val="0"/>
      <w:marTop w:val="0"/>
      <w:marBottom w:val="0"/>
      <w:divBdr>
        <w:top w:val="none" w:sz="0" w:space="0" w:color="auto"/>
        <w:left w:val="none" w:sz="0" w:space="0" w:color="auto"/>
        <w:bottom w:val="none" w:sz="0" w:space="0" w:color="auto"/>
        <w:right w:val="none" w:sz="0" w:space="0" w:color="auto"/>
      </w:divBdr>
      <w:divsChild>
        <w:div w:id="1719549165">
          <w:marLeft w:val="0"/>
          <w:marRight w:val="0"/>
          <w:marTop w:val="0"/>
          <w:marBottom w:val="0"/>
          <w:divBdr>
            <w:top w:val="none" w:sz="0" w:space="0" w:color="3D3D3D"/>
            <w:left w:val="none" w:sz="0" w:space="0" w:color="3D3D3D"/>
            <w:bottom w:val="none" w:sz="0" w:space="0" w:color="3D3D3D"/>
            <w:right w:val="none" w:sz="0" w:space="0" w:color="3D3D3D"/>
          </w:divBdr>
          <w:divsChild>
            <w:div w:id="15257545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6459310">
      <w:bodyDiv w:val="1"/>
      <w:marLeft w:val="0"/>
      <w:marRight w:val="0"/>
      <w:marTop w:val="0"/>
      <w:marBottom w:val="0"/>
      <w:divBdr>
        <w:top w:val="none" w:sz="0" w:space="0" w:color="auto"/>
        <w:left w:val="none" w:sz="0" w:space="0" w:color="auto"/>
        <w:bottom w:val="none" w:sz="0" w:space="0" w:color="auto"/>
        <w:right w:val="none" w:sz="0" w:space="0" w:color="auto"/>
      </w:divBdr>
      <w:divsChild>
        <w:div w:id="314258424">
          <w:marLeft w:val="0"/>
          <w:marRight w:val="0"/>
          <w:marTop w:val="0"/>
          <w:marBottom w:val="0"/>
          <w:divBdr>
            <w:top w:val="none" w:sz="0" w:space="0" w:color="3D3D3D"/>
            <w:left w:val="none" w:sz="0" w:space="0" w:color="3D3D3D"/>
            <w:bottom w:val="none" w:sz="0" w:space="0" w:color="3D3D3D"/>
            <w:right w:val="none" w:sz="0" w:space="0" w:color="3D3D3D"/>
          </w:divBdr>
          <w:divsChild>
            <w:div w:id="17466063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3103063">
      <w:bodyDiv w:val="1"/>
      <w:marLeft w:val="0"/>
      <w:marRight w:val="0"/>
      <w:marTop w:val="0"/>
      <w:marBottom w:val="0"/>
      <w:divBdr>
        <w:top w:val="none" w:sz="0" w:space="0" w:color="auto"/>
        <w:left w:val="none" w:sz="0" w:space="0" w:color="auto"/>
        <w:bottom w:val="none" w:sz="0" w:space="0" w:color="auto"/>
        <w:right w:val="none" w:sz="0" w:space="0" w:color="auto"/>
      </w:divBdr>
      <w:divsChild>
        <w:div w:id="1874607571">
          <w:marLeft w:val="0"/>
          <w:marRight w:val="0"/>
          <w:marTop w:val="0"/>
          <w:marBottom w:val="0"/>
          <w:divBdr>
            <w:top w:val="none" w:sz="0" w:space="0" w:color="3D3D3D"/>
            <w:left w:val="none" w:sz="0" w:space="0" w:color="3D3D3D"/>
            <w:bottom w:val="none" w:sz="0" w:space="0" w:color="3D3D3D"/>
            <w:right w:val="none" w:sz="0" w:space="0" w:color="3D3D3D"/>
          </w:divBdr>
          <w:divsChild>
            <w:div w:id="2027898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1027531">
      <w:bodyDiv w:val="1"/>
      <w:marLeft w:val="0"/>
      <w:marRight w:val="0"/>
      <w:marTop w:val="0"/>
      <w:marBottom w:val="0"/>
      <w:divBdr>
        <w:top w:val="none" w:sz="0" w:space="0" w:color="auto"/>
        <w:left w:val="none" w:sz="0" w:space="0" w:color="auto"/>
        <w:bottom w:val="none" w:sz="0" w:space="0" w:color="auto"/>
        <w:right w:val="none" w:sz="0" w:space="0" w:color="auto"/>
      </w:divBdr>
      <w:divsChild>
        <w:div w:id="1459110392">
          <w:marLeft w:val="0"/>
          <w:marRight w:val="0"/>
          <w:marTop w:val="0"/>
          <w:marBottom w:val="0"/>
          <w:divBdr>
            <w:top w:val="none" w:sz="0" w:space="0" w:color="3D3D3D"/>
            <w:left w:val="none" w:sz="0" w:space="0" w:color="3D3D3D"/>
            <w:bottom w:val="none" w:sz="0" w:space="0" w:color="3D3D3D"/>
            <w:right w:val="none" w:sz="0" w:space="0" w:color="3D3D3D"/>
          </w:divBdr>
          <w:divsChild>
            <w:div w:id="8171107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0163838">
      <w:bodyDiv w:val="1"/>
      <w:marLeft w:val="0"/>
      <w:marRight w:val="0"/>
      <w:marTop w:val="0"/>
      <w:marBottom w:val="0"/>
      <w:divBdr>
        <w:top w:val="none" w:sz="0" w:space="0" w:color="auto"/>
        <w:left w:val="none" w:sz="0" w:space="0" w:color="auto"/>
        <w:bottom w:val="none" w:sz="0" w:space="0" w:color="auto"/>
        <w:right w:val="none" w:sz="0" w:space="0" w:color="auto"/>
      </w:divBdr>
      <w:divsChild>
        <w:div w:id="1073553610">
          <w:marLeft w:val="0"/>
          <w:marRight w:val="0"/>
          <w:marTop w:val="0"/>
          <w:marBottom w:val="0"/>
          <w:divBdr>
            <w:top w:val="none" w:sz="0" w:space="0" w:color="3D3D3D"/>
            <w:left w:val="none" w:sz="0" w:space="0" w:color="3D3D3D"/>
            <w:bottom w:val="none" w:sz="0" w:space="0" w:color="3D3D3D"/>
            <w:right w:val="none" w:sz="0" w:space="0" w:color="3D3D3D"/>
          </w:divBdr>
          <w:divsChild>
            <w:div w:id="1385790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5789074">
      <w:bodyDiv w:val="1"/>
      <w:marLeft w:val="0"/>
      <w:marRight w:val="0"/>
      <w:marTop w:val="0"/>
      <w:marBottom w:val="0"/>
      <w:divBdr>
        <w:top w:val="none" w:sz="0" w:space="0" w:color="auto"/>
        <w:left w:val="none" w:sz="0" w:space="0" w:color="auto"/>
        <w:bottom w:val="none" w:sz="0" w:space="0" w:color="auto"/>
        <w:right w:val="none" w:sz="0" w:space="0" w:color="auto"/>
      </w:divBdr>
      <w:divsChild>
        <w:div w:id="718432143">
          <w:marLeft w:val="0"/>
          <w:marRight w:val="0"/>
          <w:marTop w:val="0"/>
          <w:marBottom w:val="0"/>
          <w:divBdr>
            <w:top w:val="none" w:sz="0" w:space="0" w:color="3D3D3D"/>
            <w:left w:val="none" w:sz="0" w:space="0" w:color="3D3D3D"/>
            <w:bottom w:val="none" w:sz="0" w:space="0" w:color="3D3D3D"/>
            <w:right w:val="none" w:sz="0" w:space="0" w:color="3D3D3D"/>
          </w:divBdr>
          <w:divsChild>
            <w:div w:id="140464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8507569">
      <w:bodyDiv w:val="1"/>
      <w:marLeft w:val="0"/>
      <w:marRight w:val="0"/>
      <w:marTop w:val="0"/>
      <w:marBottom w:val="0"/>
      <w:divBdr>
        <w:top w:val="none" w:sz="0" w:space="0" w:color="auto"/>
        <w:left w:val="none" w:sz="0" w:space="0" w:color="auto"/>
        <w:bottom w:val="none" w:sz="0" w:space="0" w:color="auto"/>
        <w:right w:val="none" w:sz="0" w:space="0" w:color="auto"/>
      </w:divBdr>
      <w:divsChild>
        <w:div w:id="1178040742">
          <w:marLeft w:val="0"/>
          <w:marRight w:val="0"/>
          <w:marTop w:val="0"/>
          <w:marBottom w:val="0"/>
          <w:divBdr>
            <w:top w:val="none" w:sz="0" w:space="0" w:color="3D3D3D"/>
            <w:left w:val="none" w:sz="0" w:space="0" w:color="3D3D3D"/>
            <w:bottom w:val="none" w:sz="0" w:space="0" w:color="3D3D3D"/>
            <w:right w:val="none" w:sz="0" w:space="0" w:color="3D3D3D"/>
          </w:divBdr>
          <w:divsChild>
            <w:div w:id="672299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D93039-1288-4BB2-9C6C-6E068A41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Heade (OPD)</dc:creator>
  <cp:lastModifiedBy>Kevin Heade</cp:lastModifiedBy>
  <cp:revision>6</cp:revision>
  <cp:lastPrinted>2025-05-29T22:30:00Z</cp:lastPrinted>
  <dcterms:created xsi:type="dcterms:W3CDTF">2025-05-29T22:24:00Z</dcterms:created>
  <dcterms:modified xsi:type="dcterms:W3CDTF">2025-05-29T22:33:00Z</dcterms:modified>
</cp:coreProperties>
</file>