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06A25F8B" w:rsidR="00E931EE" w:rsidRPr="005F6F54" w:rsidRDefault="009D06F0" w:rsidP="00E931EE">
      <w:pPr>
        <w:jc w:val="both"/>
        <w:rPr>
          <w:rFonts w:ascii="Century Schoolbook" w:hAnsi="Century Schoolbook"/>
          <w:color w:val="212121"/>
          <w:lang w:val="en"/>
        </w:rPr>
      </w:pPr>
      <w:hyperlink r:id="rId8" w:history="1">
        <w:r w:rsidRPr="00E31F8D">
          <w:rPr>
            <w:rStyle w:val="Hyperlink"/>
            <w:rFonts w:ascii="Century Schoolbook" w:hAnsi="Century Schoolbook"/>
            <w:lang w:val="en"/>
          </w:rPr>
          <w:t>datascoe@courts.az.gov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354762E5"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423FEC">
        <w:rPr>
          <w:rFonts w:ascii="Century Schoolbook" w:hAnsi="Century Schoolbook"/>
          <w:color w:val="000000"/>
          <w:sz w:val="26"/>
          <w:szCs w:val="26"/>
        </w:rPr>
        <w:t>3</w:t>
      </w:r>
      <w:r w:rsidR="009D06F0">
        <w:rPr>
          <w:rFonts w:ascii="Century Schoolbook" w:hAnsi="Century Schoolbook"/>
          <w:color w:val="000000"/>
          <w:sz w:val="26"/>
          <w:szCs w:val="26"/>
        </w:rPr>
        <w:t>-00</w:t>
      </w:r>
      <w:r w:rsidR="00423FEC">
        <w:rPr>
          <w:rFonts w:ascii="Century Schoolbook" w:hAnsi="Century Schoolbook"/>
          <w:color w:val="000000"/>
          <w:sz w:val="26"/>
          <w:szCs w:val="26"/>
        </w:rPr>
        <w:t>0</w:t>
      </w:r>
      <w:r w:rsidR="004505ED">
        <w:rPr>
          <w:rFonts w:ascii="Century Schoolbook" w:hAnsi="Century Schoolbook"/>
          <w:color w:val="000000"/>
          <w:sz w:val="26"/>
          <w:szCs w:val="26"/>
        </w:rPr>
        <w:t>8</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 xml:space="preserve">) </w:t>
      </w:r>
    </w:p>
    <w:p w14:paraId="68EDCE60" w14:textId="441CA5D1"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RULES</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0633CA7A" w:rsidR="009D06F0" w:rsidRPr="004505ED" w:rsidRDefault="00423FEC"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 xml:space="preserve">91(h) AND 92(c), </w:t>
      </w:r>
      <w:r w:rsidR="009D06F0" w:rsidRPr="004505ED">
        <w:rPr>
          <w:rFonts w:ascii="Century Schoolbook" w:hAnsi="Century Schoolbook"/>
          <w:color w:val="000000"/>
          <w:sz w:val="26"/>
          <w:szCs w:val="26"/>
        </w:rPr>
        <w:tab/>
        <w:t>)</w:t>
      </w:r>
    </w:p>
    <w:p w14:paraId="3AEFF1E3" w14:textId="6EC632B6"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ARIZONA RULES OF FAMILY</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t xml:space="preserve">COMMENT </w:t>
      </w:r>
      <w:r w:rsidR="005D277B">
        <w:rPr>
          <w:rFonts w:ascii="Century Schoolbook" w:hAnsi="Century Schoolbook"/>
          <w:color w:val="000000"/>
          <w:sz w:val="26"/>
          <w:szCs w:val="26"/>
        </w:rPr>
        <w:t xml:space="preserve">OF THE </w:t>
      </w:r>
    </w:p>
    <w:p w14:paraId="67F4E336" w14:textId="1CAE498A"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LAW PROCEDURE</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5D277B">
        <w:rPr>
          <w:rFonts w:ascii="Century Schoolbook" w:hAnsi="Century Schoolbook"/>
          <w:color w:val="000000"/>
          <w:sz w:val="26"/>
          <w:szCs w:val="26"/>
        </w:rPr>
        <w:t>COFC</w:t>
      </w:r>
    </w:p>
    <w:p w14:paraId="2BB8F633" w14:textId="74B1ECEF"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proofErr w:type="gramStart"/>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0A91679B" w14:textId="216659E9" w:rsidR="00423FEC" w:rsidRDefault="00423FEC" w:rsidP="00E931EE">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Former Maricopa County Superior Court </w:t>
      </w:r>
      <w:r w:rsidR="005D277B">
        <w:rPr>
          <w:rFonts w:ascii="Century Schoolbook" w:hAnsi="Century Schoolbook"/>
          <w:sz w:val="26"/>
          <w:szCs w:val="26"/>
        </w:rPr>
        <w:t xml:space="preserve">Family Court </w:t>
      </w:r>
      <w:r>
        <w:rPr>
          <w:rFonts w:ascii="Century Schoolbook" w:hAnsi="Century Schoolbook"/>
          <w:sz w:val="26"/>
          <w:szCs w:val="26"/>
        </w:rPr>
        <w:t xml:space="preserve">Presiding Judge Bruce R. Cohen filed the pending </w:t>
      </w:r>
      <w:r w:rsidR="005D277B">
        <w:rPr>
          <w:rFonts w:ascii="Century Schoolbook" w:hAnsi="Century Schoolbook"/>
          <w:sz w:val="26"/>
          <w:szCs w:val="26"/>
        </w:rPr>
        <w:t>P</w:t>
      </w:r>
      <w:r>
        <w:rPr>
          <w:rFonts w:ascii="Century Schoolbook" w:hAnsi="Century Schoolbook"/>
          <w:sz w:val="26"/>
          <w:szCs w:val="26"/>
        </w:rPr>
        <w:t xml:space="preserve">etition seeking to amend Rules 91(h) and 92(c), </w:t>
      </w:r>
      <w:r w:rsidR="005D277B">
        <w:rPr>
          <w:rFonts w:ascii="Century Schoolbook" w:hAnsi="Century Schoolbook"/>
          <w:sz w:val="26"/>
          <w:szCs w:val="26"/>
        </w:rPr>
        <w:t xml:space="preserve">Arizona Rules of Family Law Procedure (ARFLP), </w:t>
      </w:r>
      <w:r>
        <w:rPr>
          <w:rFonts w:ascii="Century Schoolbook" w:hAnsi="Century Schoolbook"/>
          <w:sz w:val="26"/>
          <w:szCs w:val="26"/>
        </w:rPr>
        <w:t xml:space="preserve">to allow the Superior Court in each county to have the option of issuing an Order to Appear or </w:t>
      </w:r>
      <w:r w:rsidR="00E93980">
        <w:rPr>
          <w:rFonts w:ascii="Century Schoolbook" w:hAnsi="Century Schoolbook"/>
          <w:sz w:val="26"/>
          <w:szCs w:val="26"/>
        </w:rPr>
        <w:t>N</w:t>
      </w:r>
      <w:r>
        <w:rPr>
          <w:rFonts w:ascii="Century Schoolbook" w:hAnsi="Century Schoolbook"/>
          <w:sz w:val="26"/>
          <w:szCs w:val="26"/>
        </w:rPr>
        <w:t>otice of Hearing either before or after service of process is effectuated.</w:t>
      </w:r>
    </w:p>
    <w:p w14:paraId="4E895C9C" w14:textId="59F2786B" w:rsidR="00423FEC" w:rsidRDefault="00423FEC" w:rsidP="00E931EE">
      <w:pPr>
        <w:spacing w:line="480" w:lineRule="auto"/>
        <w:ind w:left="144"/>
        <w:jc w:val="both"/>
        <w:rPr>
          <w:rFonts w:ascii="Century Schoolbook" w:hAnsi="Century Schoolbook"/>
          <w:sz w:val="26"/>
          <w:szCs w:val="26"/>
        </w:rPr>
      </w:pPr>
      <w:r>
        <w:rPr>
          <w:rFonts w:ascii="Century Schoolbook" w:hAnsi="Century Schoolbook"/>
          <w:sz w:val="26"/>
          <w:szCs w:val="26"/>
        </w:rPr>
        <w:tab/>
      </w:r>
      <w:r w:rsidR="00E93980">
        <w:rPr>
          <w:rFonts w:ascii="Century Schoolbook" w:hAnsi="Century Schoolbook"/>
          <w:sz w:val="26"/>
          <w:szCs w:val="26"/>
        </w:rPr>
        <w:t>By Referral Letter, t</w:t>
      </w:r>
      <w:r>
        <w:rPr>
          <w:rFonts w:ascii="Century Schoolbook" w:hAnsi="Century Schoolbook"/>
          <w:sz w:val="26"/>
          <w:szCs w:val="26"/>
        </w:rPr>
        <w:t xml:space="preserve">his Court referred the matter to the </w:t>
      </w:r>
      <w:r w:rsidRPr="005F6F54">
        <w:rPr>
          <w:rFonts w:ascii="Century Schoolbook" w:hAnsi="Century Schoolbook"/>
          <w:sz w:val="26"/>
          <w:szCs w:val="26"/>
        </w:rPr>
        <w:t>Committee on Family Court (“COFC”)</w:t>
      </w:r>
      <w:r>
        <w:rPr>
          <w:rFonts w:ascii="Century Schoolbook" w:hAnsi="Century Schoolbook"/>
          <w:sz w:val="26"/>
          <w:szCs w:val="26"/>
        </w:rPr>
        <w:t xml:space="preserve"> for further research and stakeholder discussion.</w:t>
      </w:r>
    </w:p>
    <w:p w14:paraId="782A308A" w14:textId="77777777" w:rsidR="00E93980" w:rsidRDefault="00423FEC" w:rsidP="00423FE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COFC has reviewed the </w:t>
      </w:r>
      <w:proofErr w:type="gramStart"/>
      <w:r>
        <w:rPr>
          <w:rFonts w:ascii="Century Schoolbook" w:hAnsi="Century Schoolbook"/>
          <w:sz w:val="26"/>
          <w:szCs w:val="26"/>
        </w:rPr>
        <w:t xml:space="preserve">Petition, </w:t>
      </w:r>
      <w:r w:rsidR="005D277B">
        <w:rPr>
          <w:rFonts w:ascii="Century Schoolbook" w:hAnsi="Century Schoolbook"/>
          <w:sz w:val="26"/>
          <w:szCs w:val="26"/>
        </w:rPr>
        <w:t>and</w:t>
      </w:r>
      <w:proofErr w:type="gramEnd"/>
      <w:r w:rsidR="005D277B">
        <w:rPr>
          <w:rFonts w:ascii="Century Schoolbook" w:hAnsi="Century Schoolbook"/>
          <w:sz w:val="26"/>
          <w:szCs w:val="26"/>
        </w:rPr>
        <w:t xml:space="preserve"> obtained stakeholder input. At</w:t>
      </w:r>
      <w:r w:rsidR="009D06F0">
        <w:rPr>
          <w:rFonts w:ascii="Century Schoolbook" w:hAnsi="Century Schoolbook"/>
          <w:sz w:val="26"/>
          <w:szCs w:val="26"/>
        </w:rPr>
        <w:t xml:space="preserve"> its </w:t>
      </w:r>
      <w:r>
        <w:rPr>
          <w:rFonts w:ascii="Century Schoolbook" w:hAnsi="Century Schoolbook"/>
          <w:sz w:val="26"/>
          <w:szCs w:val="26"/>
        </w:rPr>
        <w:t>May 15</w:t>
      </w:r>
      <w:r w:rsidR="009D06F0">
        <w:rPr>
          <w:rFonts w:ascii="Century Schoolbook" w:hAnsi="Century Schoolbook"/>
          <w:sz w:val="26"/>
          <w:szCs w:val="26"/>
        </w:rPr>
        <w:t xml:space="preserve">, </w:t>
      </w:r>
      <w:proofErr w:type="gramStart"/>
      <w:r w:rsidR="009D06F0">
        <w:rPr>
          <w:rFonts w:ascii="Century Schoolbook" w:hAnsi="Century Schoolbook"/>
          <w:sz w:val="26"/>
          <w:szCs w:val="26"/>
        </w:rPr>
        <w:t>2025</w:t>
      </w:r>
      <w:proofErr w:type="gramEnd"/>
      <w:r w:rsidR="009D06F0">
        <w:rPr>
          <w:rFonts w:ascii="Century Schoolbook" w:hAnsi="Century Schoolbook"/>
          <w:sz w:val="26"/>
          <w:szCs w:val="26"/>
        </w:rPr>
        <w:t xml:space="preserve"> meeting, t</w:t>
      </w:r>
      <w:r w:rsidR="005501C1" w:rsidRPr="005F6F54">
        <w:rPr>
          <w:rFonts w:ascii="Century Schoolbook" w:hAnsi="Century Schoolbook"/>
          <w:sz w:val="26"/>
          <w:szCs w:val="26"/>
        </w:rPr>
        <w:t xml:space="preserve">he </w:t>
      </w:r>
      <w:r w:rsidR="004E3A71" w:rsidRPr="005F6F54">
        <w:rPr>
          <w:rFonts w:ascii="Century Schoolbook" w:hAnsi="Century Schoolbook"/>
          <w:sz w:val="26"/>
          <w:szCs w:val="26"/>
        </w:rPr>
        <w:t>Committee</w:t>
      </w:r>
      <w:r w:rsidR="003C3420" w:rsidRPr="005F6F54">
        <w:rPr>
          <w:rFonts w:ascii="Century Schoolbook" w:hAnsi="Century Schoolbook"/>
          <w:sz w:val="26"/>
          <w:szCs w:val="26"/>
        </w:rPr>
        <w:t xml:space="preserve"> on Family Court (“COFC”)</w:t>
      </w:r>
      <w:r w:rsidR="004E3A71" w:rsidRPr="005F6F54">
        <w:rPr>
          <w:rFonts w:ascii="Century Schoolbook" w:hAnsi="Century Schoolbook"/>
          <w:sz w:val="26"/>
          <w:szCs w:val="26"/>
        </w:rPr>
        <w:t xml:space="preserve">, </w:t>
      </w:r>
      <w:proofErr w:type="spellStart"/>
      <w:r w:rsidR="007A37F6" w:rsidRPr="005F6F54">
        <w:rPr>
          <w:rFonts w:ascii="Century Schoolbook" w:hAnsi="Century Schoolbook"/>
          <w:sz w:val="26"/>
          <w:szCs w:val="26"/>
        </w:rPr>
        <w:t>f.k.a.</w:t>
      </w:r>
      <w:proofErr w:type="spellEnd"/>
      <w:r w:rsidR="007A37F6" w:rsidRPr="005F6F54">
        <w:rPr>
          <w:rFonts w:ascii="Century Schoolbook" w:hAnsi="Century Schoolbook"/>
          <w:sz w:val="26"/>
          <w:szCs w:val="26"/>
        </w:rPr>
        <w:t xml:space="preserve"> Family Court Improvement Committee, </w:t>
      </w:r>
      <w:r w:rsidR="009D06F0">
        <w:rPr>
          <w:rFonts w:ascii="Century Schoolbook" w:hAnsi="Century Schoolbook"/>
          <w:sz w:val="26"/>
          <w:szCs w:val="26"/>
        </w:rPr>
        <w:t xml:space="preserve">voted </w:t>
      </w:r>
      <w:r w:rsidR="00E93980">
        <w:rPr>
          <w:rFonts w:ascii="Century Schoolbook" w:hAnsi="Century Schoolbook"/>
          <w:sz w:val="26"/>
          <w:szCs w:val="26"/>
        </w:rPr>
        <w:t xml:space="preserve">unanimously </w:t>
      </w:r>
      <w:r w:rsidR="009D06F0">
        <w:rPr>
          <w:rFonts w:ascii="Century Schoolbook" w:hAnsi="Century Schoolbook"/>
          <w:sz w:val="26"/>
          <w:szCs w:val="26"/>
        </w:rPr>
        <w:t xml:space="preserve">to support </w:t>
      </w:r>
      <w:r>
        <w:rPr>
          <w:rFonts w:ascii="Century Schoolbook" w:hAnsi="Century Schoolbook"/>
          <w:sz w:val="26"/>
          <w:szCs w:val="26"/>
        </w:rPr>
        <w:t>an alternative proposal</w:t>
      </w:r>
      <w:r w:rsidR="005D277B">
        <w:rPr>
          <w:rFonts w:ascii="Century Schoolbook" w:hAnsi="Century Schoolbook"/>
          <w:sz w:val="26"/>
          <w:szCs w:val="26"/>
        </w:rPr>
        <w:t xml:space="preserve"> set forth below</w:t>
      </w:r>
      <w:r>
        <w:rPr>
          <w:rFonts w:ascii="Century Schoolbook" w:hAnsi="Century Schoolbook"/>
          <w:sz w:val="26"/>
          <w:szCs w:val="26"/>
        </w:rPr>
        <w:t xml:space="preserve">. </w:t>
      </w:r>
    </w:p>
    <w:p w14:paraId="692C55BA" w14:textId="365F115F" w:rsidR="00423FEC" w:rsidRDefault="00423FEC" w:rsidP="00E93980">
      <w:pPr>
        <w:spacing w:line="480" w:lineRule="auto"/>
        <w:ind w:left="144" w:firstLine="576"/>
        <w:jc w:val="both"/>
        <w:rPr>
          <w:rFonts w:ascii="Century Schoolbook" w:hAnsi="Century Schoolbook"/>
          <w:sz w:val="26"/>
          <w:szCs w:val="26"/>
        </w:rPr>
      </w:pPr>
      <w:r>
        <w:rPr>
          <w:rFonts w:ascii="Century Schoolbook" w:hAnsi="Century Schoolbook"/>
          <w:sz w:val="26"/>
          <w:szCs w:val="26"/>
        </w:rPr>
        <w:lastRenderedPageBreak/>
        <w:t xml:space="preserve">COFC believes </w:t>
      </w:r>
      <w:r w:rsidR="005D277B">
        <w:rPr>
          <w:rFonts w:ascii="Century Schoolbook" w:hAnsi="Century Schoolbook"/>
          <w:sz w:val="26"/>
          <w:szCs w:val="26"/>
        </w:rPr>
        <w:t>the Petition highlights an issue that should be addressed in a rule change; however, it believes the</w:t>
      </w:r>
      <w:r>
        <w:rPr>
          <w:rFonts w:ascii="Century Schoolbook" w:hAnsi="Century Schoolbook"/>
          <w:sz w:val="26"/>
          <w:szCs w:val="26"/>
        </w:rPr>
        <w:t xml:space="preserve"> better </w:t>
      </w:r>
      <w:r w:rsidR="005D277B">
        <w:rPr>
          <w:rFonts w:ascii="Century Schoolbook" w:hAnsi="Century Schoolbook"/>
          <w:sz w:val="26"/>
          <w:szCs w:val="26"/>
        </w:rPr>
        <w:t xml:space="preserve">solution </w:t>
      </w:r>
      <w:r>
        <w:rPr>
          <w:rFonts w:ascii="Century Schoolbook" w:hAnsi="Century Schoolbook"/>
          <w:sz w:val="26"/>
          <w:szCs w:val="26"/>
        </w:rPr>
        <w:t>to</w:t>
      </w:r>
      <w:r w:rsidR="005D277B">
        <w:rPr>
          <w:rFonts w:ascii="Century Schoolbook" w:hAnsi="Century Schoolbook"/>
          <w:sz w:val="26"/>
          <w:szCs w:val="26"/>
        </w:rPr>
        <w:t xml:space="preserve"> </w:t>
      </w:r>
      <w:r>
        <w:rPr>
          <w:rFonts w:ascii="Century Schoolbook" w:hAnsi="Century Schoolbook"/>
          <w:sz w:val="26"/>
          <w:szCs w:val="26"/>
        </w:rPr>
        <w:t xml:space="preserve">the concerns raised in the Petition is to allow the family court to set a </w:t>
      </w:r>
      <w:r w:rsidR="005D277B">
        <w:rPr>
          <w:rFonts w:ascii="Century Schoolbook" w:hAnsi="Century Schoolbook"/>
          <w:sz w:val="26"/>
          <w:szCs w:val="26"/>
        </w:rPr>
        <w:t xml:space="preserve">new type of hearing—a </w:t>
      </w:r>
      <w:r>
        <w:rPr>
          <w:rFonts w:ascii="Century Schoolbook" w:hAnsi="Century Schoolbook"/>
          <w:sz w:val="26"/>
          <w:szCs w:val="26"/>
        </w:rPr>
        <w:t>return hearing. The return hearing would be something less than a resolution management conference or evidentiary hearing</w:t>
      </w:r>
      <w:r w:rsidR="005D277B">
        <w:rPr>
          <w:rFonts w:ascii="Century Schoolbook" w:hAnsi="Century Schoolbook"/>
          <w:sz w:val="26"/>
          <w:szCs w:val="26"/>
        </w:rPr>
        <w:t>. It</w:t>
      </w:r>
      <w:r>
        <w:rPr>
          <w:rFonts w:ascii="Century Schoolbook" w:hAnsi="Century Schoolbook"/>
          <w:sz w:val="26"/>
          <w:szCs w:val="26"/>
        </w:rPr>
        <w:t xml:space="preserve"> would be a hearing where the family </w:t>
      </w:r>
      <w:r w:rsidR="005D277B">
        <w:rPr>
          <w:rFonts w:ascii="Century Schoolbook" w:hAnsi="Century Schoolbook"/>
          <w:sz w:val="26"/>
          <w:szCs w:val="26"/>
        </w:rPr>
        <w:t xml:space="preserve">court </w:t>
      </w:r>
      <w:r>
        <w:rPr>
          <w:rFonts w:ascii="Century Schoolbook" w:hAnsi="Century Schoolbook"/>
          <w:sz w:val="26"/>
          <w:szCs w:val="26"/>
        </w:rPr>
        <w:t xml:space="preserve">could </w:t>
      </w:r>
      <w:r w:rsidRPr="00423FEC">
        <w:rPr>
          <w:rFonts w:ascii="Century Schoolbook" w:hAnsi="Century Schoolbook"/>
          <w:sz w:val="26"/>
          <w:szCs w:val="26"/>
        </w:rPr>
        <w:t xml:space="preserve">inquire as to whether service has been effectuated, and in the court’s discretion, schedule a resolution management conference or evidentiary hearing, order the parties to meet and confer, or order dismissal under Rule 91(k), if appropriate. The </w:t>
      </w:r>
      <w:r>
        <w:rPr>
          <w:rFonts w:ascii="Century Schoolbook" w:hAnsi="Century Schoolbook"/>
          <w:sz w:val="26"/>
          <w:szCs w:val="26"/>
        </w:rPr>
        <w:t xml:space="preserve">family </w:t>
      </w:r>
      <w:r w:rsidRPr="00423FEC">
        <w:rPr>
          <w:rFonts w:ascii="Century Schoolbook" w:hAnsi="Century Schoolbook"/>
          <w:sz w:val="26"/>
          <w:szCs w:val="26"/>
        </w:rPr>
        <w:t xml:space="preserve">court </w:t>
      </w:r>
      <w:r>
        <w:rPr>
          <w:rFonts w:ascii="Century Schoolbook" w:hAnsi="Century Schoolbook"/>
          <w:sz w:val="26"/>
          <w:szCs w:val="26"/>
        </w:rPr>
        <w:t xml:space="preserve">could also </w:t>
      </w:r>
      <w:r w:rsidRPr="00423FEC">
        <w:rPr>
          <w:rFonts w:ascii="Century Schoolbook" w:hAnsi="Century Schoolbook"/>
          <w:sz w:val="26"/>
          <w:szCs w:val="26"/>
        </w:rPr>
        <w:t xml:space="preserve">make any additional  orders that </w:t>
      </w:r>
      <w:r>
        <w:rPr>
          <w:rFonts w:ascii="Century Schoolbook" w:hAnsi="Century Schoolbook"/>
          <w:sz w:val="26"/>
          <w:szCs w:val="26"/>
        </w:rPr>
        <w:t xml:space="preserve">it </w:t>
      </w:r>
      <w:r w:rsidRPr="00423FEC">
        <w:rPr>
          <w:rFonts w:ascii="Century Schoolbook" w:hAnsi="Century Schoolbook"/>
          <w:sz w:val="26"/>
          <w:szCs w:val="26"/>
        </w:rPr>
        <w:t>finds appropriate to ensure a timely resolution of the petition.</w:t>
      </w:r>
    </w:p>
    <w:p w14:paraId="57EA00B2" w14:textId="5325E03A" w:rsidR="00423FEC" w:rsidRDefault="005D277B" w:rsidP="00423FEC">
      <w:pPr>
        <w:spacing w:line="480" w:lineRule="auto"/>
        <w:ind w:left="144"/>
        <w:jc w:val="both"/>
        <w:rPr>
          <w:rFonts w:ascii="Century Schoolbook" w:hAnsi="Century Schoolbook"/>
          <w:sz w:val="26"/>
          <w:szCs w:val="26"/>
        </w:rPr>
      </w:pPr>
      <w:r>
        <w:rPr>
          <w:rFonts w:ascii="Century Schoolbook" w:hAnsi="Century Schoolbook"/>
          <w:sz w:val="26"/>
          <w:szCs w:val="26"/>
        </w:rPr>
        <w:tab/>
        <w:t>In crafting the alternative proposal creating a return hearing, COFC believes that Rule 76.2, ARFLP, should be amended to include the new return hearing to ensure that parties will participate in the return hearing in good faith, and allow the family court to impose sanction if a party fails to do so.</w:t>
      </w:r>
    </w:p>
    <w:p w14:paraId="25E3CD23" w14:textId="71D45701" w:rsidR="005D277B" w:rsidRDefault="005D277B" w:rsidP="00423FEC">
      <w:pPr>
        <w:spacing w:line="480" w:lineRule="auto"/>
        <w:ind w:left="144"/>
        <w:jc w:val="both"/>
        <w:rPr>
          <w:rFonts w:ascii="Century Schoolbook" w:hAnsi="Century Schoolbook"/>
          <w:sz w:val="26"/>
          <w:szCs w:val="26"/>
        </w:rPr>
      </w:pPr>
      <w:r>
        <w:rPr>
          <w:rFonts w:ascii="Century Schoolbook" w:hAnsi="Century Schoolbook"/>
          <w:sz w:val="26"/>
          <w:szCs w:val="26"/>
        </w:rPr>
        <w:tab/>
        <w:t>This alternative proposal includes the support of the various stakeholder groups represented on the COFC, including the current Maricopa County Superior Court Family Department Presiding Judge Ronda Fisk and Judge Randi Burnett, Pima County Superior Court Family Court Presiding Judge.</w:t>
      </w:r>
    </w:p>
    <w:p w14:paraId="6E47CD25" w14:textId="04A1AA81" w:rsidR="005D277B" w:rsidRDefault="005D277B" w:rsidP="00423FEC">
      <w:pPr>
        <w:spacing w:line="480" w:lineRule="auto"/>
        <w:ind w:left="144"/>
        <w:jc w:val="both"/>
        <w:rPr>
          <w:rFonts w:ascii="Century Schoolbook" w:hAnsi="Century Schoolbook"/>
          <w:sz w:val="26"/>
          <w:szCs w:val="26"/>
        </w:rPr>
      </w:pPr>
      <w:r>
        <w:rPr>
          <w:rFonts w:ascii="Century Schoolbook" w:hAnsi="Century Schoolbook"/>
          <w:sz w:val="26"/>
          <w:szCs w:val="26"/>
        </w:rPr>
        <w:lastRenderedPageBreak/>
        <w:tab/>
        <w:t>For the foregoing reasons, the COFC respectfully request that the Court deny the Petition, and adopt the following alternative proposal with modifications to Rules 76.2, 91, and 92:</w:t>
      </w:r>
    </w:p>
    <w:p w14:paraId="3572DD14" w14:textId="77777777" w:rsidR="00C8593D" w:rsidRDefault="00C8593D" w:rsidP="00C8593D">
      <w:pPr>
        <w:spacing w:line="360" w:lineRule="auto"/>
        <w:jc w:val="both"/>
        <w:rPr>
          <w:rFonts w:ascii="Century Schoolbook" w:hAnsi="Century Schoolbook"/>
          <w:sz w:val="26"/>
          <w:szCs w:val="26"/>
        </w:rPr>
      </w:pPr>
    </w:p>
    <w:p w14:paraId="167AC115" w14:textId="7DCCD0CA"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Rule 76.2. Sanctions for Failure to Participate in a Court Proceeding</w:t>
      </w:r>
    </w:p>
    <w:p w14:paraId="7E4E06F6" w14:textId="5B07B5D6"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b/>
          <w:bCs/>
          <w:sz w:val="26"/>
          <w:szCs w:val="26"/>
        </w:rPr>
        <w:t>(a) Grounds for Imposing Sanctions.</w:t>
      </w:r>
      <w:r w:rsidRPr="00D70161">
        <w:rPr>
          <w:rFonts w:ascii="Century Schoolbook" w:hAnsi="Century Schoolbook"/>
          <w:sz w:val="26"/>
          <w:szCs w:val="26"/>
        </w:rPr>
        <w:t> In a pre-judgment or post-judgment proceeding, the court upon motion or its own initiative may impose sanctions if a party or attorney:</w:t>
      </w:r>
    </w:p>
    <w:p w14:paraId="126DFE63" w14:textId="77777777"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 xml:space="preserve">(1) fails to obey a scheduling or pretrial </w:t>
      </w:r>
      <w:proofErr w:type="gramStart"/>
      <w:r w:rsidRPr="00D70161">
        <w:rPr>
          <w:rFonts w:ascii="Century Schoolbook" w:hAnsi="Century Schoolbook"/>
          <w:sz w:val="26"/>
          <w:szCs w:val="26"/>
        </w:rPr>
        <w:t>order;</w:t>
      </w:r>
      <w:proofErr w:type="gramEnd"/>
    </w:p>
    <w:p w14:paraId="20C4C88D" w14:textId="77777777"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 xml:space="preserve">(2) fails to appear at a </w:t>
      </w:r>
      <w:r w:rsidRPr="00F844D8">
        <w:rPr>
          <w:rFonts w:ascii="Century Schoolbook" w:hAnsi="Century Schoolbook"/>
          <w:sz w:val="26"/>
          <w:szCs w:val="26"/>
          <w:u w:val="single"/>
        </w:rPr>
        <w:t>return hearing, a</w:t>
      </w:r>
      <w:r>
        <w:rPr>
          <w:rFonts w:ascii="Century Schoolbook" w:hAnsi="Century Schoolbook"/>
          <w:sz w:val="26"/>
          <w:szCs w:val="26"/>
        </w:rPr>
        <w:t xml:space="preserve"> </w:t>
      </w:r>
      <w:r w:rsidRPr="00D70161">
        <w:rPr>
          <w:rFonts w:ascii="Century Schoolbook" w:hAnsi="Century Schoolbook"/>
          <w:sz w:val="26"/>
          <w:szCs w:val="26"/>
        </w:rPr>
        <w:t xml:space="preserve">Resolution Management Conference, a scheduling conference, an evidentiary hearing, a trial, or other scheduled </w:t>
      </w:r>
      <w:proofErr w:type="gramStart"/>
      <w:r w:rsidRPr="00D70161">
        <w:rPr>
          <w:rFonts w:ascii="Century Schoolbook" w:hAnsi="Century Schoolbook"/>
          <w:sz w:val="26"/>
          <w:szCs w:val="26"/>
        </w:rPr>
        <w:t>hearing;</w:t>
      </w:r>
      <w:proofErr w:type="gramEnd"/>
    </w:p>
    <w:p w14:paraId="384E7F9F" w14:textId="77777777"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 xml:space="preserve">(3) is substantially unprepared to participate in a </w:t>
      </w:r>
      <w:r w:rsidRPr="00F844D8">
        <w:rPr>
          <w:rFonts w:ascii="Century Schoolbook" w:hAnsi="Century Schoolbook"/>
          <w:sz w:val="26"/>
          <w:szCs w:val="26"/>
          <w:u w:val="single"/>
        </w:rPr>
        <w:t>return hearing,</w:t>
      </w:r>
      <w:r>
        <w:rPr>
          <w:rFonts w:ascii="Century Schoolbook" w:hAnsi="Century Schoolbook"/>
          <w:sz w:val="26"/>
          <w:szCs w:val="26"/>
        </w:rPr>
        <w:t xml:space="preserve"> </w:t>
      </w:r>
      <w:r w:rsidRPr="00D70161">
        <w:rPr>
          <w:rFonts w:ascii="Century Schoolbook" w:hAnsi="Century Schoolbook"/>
          <w:sz w:val="26"/>
          <w:szCs w:val="26"/>
        </w:rPr>
        <w:t xml:space="preserve">conference, hearing or </w:t>
      </w:r>
      <w:proofErr w:type="gramStart"/>
      <w:r w:rsidRPr="00D70161">
        <w:rPr>
          <w:rFonts w:ascii="Century Schoolbook" w:hAnsi="Century Schoolbook"/>
          <w:sz w:val="26"/>
          <w:szCs w:val="26"/>
        </w:rPr>
        <w:t>trial;</w:t>
      </w:r>
      <w:proofErr w:type="gramEnd"/>
    </w:p>
    <w:p w14:paraId="3682CBA8" w14:textId="77777777" w:rsidR="005D277B" w:rsidRPr="00D70161" w:rsidRDefault="005D277B" w:rsidP="00C8593D">
      <w:pPr>
        <w:spacing w:line="360" w:lineRule="auto"/>
        <w:jc w:val="both"/>
        <w:rPr>
          <w:rFonts w:ascii="Century Schoolbook" w:hAnsi="Century Schoolbook"/>
          <w:sz w:val="26"/>
          <w:szCs w:val="26"/>
        </w:rPr>
      </w:pPr>
      <w:r w:rsidRPr="00D70161">
        <w:rPr>
          <w:rFonts w:ascii="Century Schoolbook" w:hAnsi="Century Schoolbook"/>
          <w:sz w:val="26"/>
          <w:szCs w:val="26"/>
        </w:rPr>
        <w:t xml:space="preserve">(4) fails to participate in good faith in a </w:t>
      </w:r>
      <w:r w:rsidRPr="00F844D8">
        <w:rPr>
          <w:rFonts w:ascii="Century Schoolbook" w:hAnsi="Century Schoolbook"/>
          <w:sz w:val="26"/>
          <w:szCs w:val="26"/>
          <w:u w:val="single"/>
        </w:rPr>
        <w:t>return hearing,</w:t>
      </w:r>
      <w:r>
        <w:rPr>
          <w:rFonts w:ascii="Century Schoolbook" w:hAnsi="Century Schoolbook"/>
          <w:sz w:val="26"/>
          <w:szCs w:val="26"/>
        </w:rPr>
        <w:t xml:space="preserve"> </w:t>
      </w:r>
      <w:r w:rsidRPr="00D70161">
        <w:rPr>
          <w:rFonts w:ascii="Century Schoolbook" w:hAnsi="Century Schoolbook"/>
          <w:sz w:val="26"/>
          <w:szCs w:val="26"/>
        </w:rPr>
        <w:t xml:space="preserve">conference, hearing, or trial, </w:t>
      </w:r>
      <w:proofErr w:type="gramStart"/>
      <w:r w:rsidRPr="00D70161">
        <w:rPr>
          <w:rFonts w:ascii="Century Schoolbook" w:hAnsi="Century Schoolbook"/>
          <w:sz w:val="26"/>
          <w:szCs w:val="26"/>
        </w:rPr>
        <w:t>or in</w:t>
      </w:r>
      <w:proofErr w:type="gramEnd"/>
      <w:r w:rsidRPr="00D70161">
        <w:rPr>
          <w:rFonts w:ascii="Century Schoolbook" w:hAnsi="Century Schoolbook"/>
          <w:sz w:val="26"/>
          <w:szCs w:val="26"/>
        </w:rPr>
        <w:t xml:space="preserve"> preparing a resolution statement, scheduling statement, or pretrial statement.</w:t>
      </w:r>
    </w:p>
    <w:p w14:paraId="52CBBE27" w14:textId="77777777" w:rsidR="005D277B" w:rsidRDefault="005D277B" w:rsidP="00C8593D">
      <w:pPr>
        <w:spacing w:line="360" w:lineRule="auto"/>
        <w:jc w:val="both"/>
        <w:rPr>
          <w:rFonts w:ascii="Century Schoolbook" w:hAnsi="Century Schoolbook"/>
          <w:sz w:val="26"/>
          <w:szCs w:val="26"/>
        </w:rPr>
      </w:pPr>
      <w:r w:rsidRPr="00D70161">
        <w:rPr>
          <w:rFonts w:ascii="Century Schoolbook" w:hAnsi="Century Schoolbook"/>
          <w:b/>
          <w:bCs/>
          <w:sz w:val="26"/>
          <w:szCs w:val="26"/>
        </w:rPr>
        <w:t>(</w:t>
      </w:r>
      <w:r>
        <w:rPr>
          <w:rFonts w:ascii="Century Schoolbook" w:hAnsi="Century Schoolbook"/>
          <w:b/>
          <w:bCs/>
          <w:sz w:val="26"/>
          <w:szCs w:val="26"/>
        </w:rPr>
        <w:t>b</w:t>
      </w:r>
      <w:r w:rsidRPr="00D70161">
        <w:rPr>
          <w:rFonts w:ascii="Century Schoolbook" w:hAnsi="Century Schoolbook"/>
          <w:b/>
          <w:bCs/>
          <w:sz w:val="26"/>
          <w:szCs w:val="26"/>
        </w:rPr>
        <w:t>)</w:t>
      </w:r>
      <w:r>
        <w:rPr>
          <w:rFonts w:ascii="Century Schoolbook" w:hAnsi="Century Schoolbook"/>
          <w:b/>
          <w:bCs/>
          <w:sz w:val="26"/>
          <w:szCs w:val="26"/>
        </w:rPr>
        <w:t>-(c) No changes</w:t>
      </w:r>
    </w:p>
    <w:p w14:paraId="5731DD7E" w14:textId="77777777" w:rsidR="005D277B" w:rsidRDefault="005D277B" w:rsidP="00C8593D">
      <w:pPr>
        <w:spacing w:line="360" w:lineRule="auto"/>
        <w:jc w:val="both"/>
        <w:rPr>
          <w:rFonts w:ascii="Century Schoolbook" w:hAnsi="Century Schoolbook"/>
          <w:sz w:val="26"/>
          <w:szCs w:val="26"/>
        </w:rPr>
      </w:pPr>
    </w:p>
    <w:p w14:paraId="6D4ABB00" w14:textId="2F0B05AA" w:rsidR="005D277B"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Rule 91. Modification or Enforcement of Judgment</w:t>
      </w:r>
    </w:p>
    <w:p w14:paraId="66F4F139"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(a) </w:t>
      </w:r>
      <w:r>
        <w:rPr>
          <w:rFonts w:ascii="Century Schoolbook" w:hAnsi="Century Schoolbook"/>
          <w:b/>
          <w:bCs/>
          <w:sz w:val="26"/>
          <w:szCs w:val="26"/>
        </w:rPr>
        <w:t>– (h)</w:t>
      </w:r>
      <w:r>
        <w:rPr>
          <w:rFonts w:ascii="Century Schoolbook" w:hAnsi="Century Schoolbook"/>
          <w:b/>
          <w:bCs/>
          <w:sz w:val="26"/>
          <w:szCs w:val="26"/>
        </w:rPr>
        <w:tab/>
        <w:t>No changes</w:t>
      </w:r>
    </w:p>
    <w:p w14:paraId="5DD70C38"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w:t>
      </w:r>
      <w:proofErr w:type="spellStart"/>
      <w:r w:rsidRPr="009151FC">
        <w:rPr>
          <w:rFonts w:ascii="Century Schoolbook" w:hAnsi="Century Schoolbook"/>
          <w:b/>
          <w:bCs/>
          <w:sz w:val="26"/>
          <w:szCs w:val="26"/>
        </w:rPr>
        <w:t>i</w:t>
      </w:r>
      <w:proofErr w:type="spellEnd"/>
      <w:r w:rsidRPr="009151FC">
        <w:rPr>
          <w:rFonts w:ascii="Century Schoolbook" w:hAnsi="Century Schoolbook"/>
          <w:b/>
          <w:bCs/>
          <w:sz w:val="26"/>
          <w:szCs w:val="26"/>
        </w:rPr>
        <w:t>) Initial Review of Petitions.</w:t>
      </w:r>
    </w:p>
    <w:p w14:paraId="1DFCAB7E"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(1) </w:t>
      </w:r>
      <w:r w:rsidRPr="009151FC">
        <w:rPr>
          <w:rFonts w:ascii="Century Schoolbook" w:hAnsi="Century Schoolbook"/>
          <w:i/>
          <w:iCs/>
          <w:sz w:val="26"/>
          <w:szCs w:val="26"/>
        </w:rPr>
        <w:t>Setting a Conference or Hearing or Rejecting a Petition.</w:t>
      </w:r>
      <w:r w:rsidRPr="009151FC">
        <w:rPr>
          <w:rFonts w:ascii="Century Schoolbook" w:hAnsi="Century Schoolbook"/>
          <w:sz w:val="26"/>
          <w:szCs w:val="26"/>
        </w:rPr>
        <w:t xml:space="preserve"> Upon receipt of the petition and proposed Order to Appear, the court must review the petition and (a) reject the petition for failure to state grounds upon which relief can be granted, or (b) issue the Order to Appear. If the court rejects the petition, the </w:t>
      </w:r>
      <w:r w:rsidRPr="009151FC">
        <w:rPr>
          <w:rFonts w:ascii="Century Schoolbook" w:hAnsi="Century Schoolbook"/>
          <w:sz w:val="26"/>
          <w:szCs w:val="26"/>
        </w:rPr>
        <w:lastRenderedPageBreak/>
        <w:t xml:space="preserve">court must provide the applicant with an explanation of the deficiency and provide an opportunity to correct the deficiency within 30 days after the date of the rejection notice. In deciding whether to reject a petition, the court cannot assess credibility or weigh evidence. If the court issues the Order to Appear, it must set a </w:t>
      </w:r>
      <w:r>
        <w:rPr>
          <w:rFonts w:ascii="Century Schoolbook" w:hAnsi="Century Schoolbook"/>
          <w:sz w:val="26"/>
          <w:szCs w:val="26"/>
          <w:u w:val="single"/>
        </w:rPr>
        <w:t xml:space="preserve">return hearing, </w:t>
      </w:r>
      <w:r w:rsidRPr="009151FC">
        <w:rPr>
          <w:rFonts w:ascii="Century Schoolbook" w:hAnsi="Century Schoolbook"/>
          <w:sz w:val="26"/>
          <w:szCs w:val="26"/>
        </w:rPr>
        <w:t>resolution management conference</w:t>
      </w:r>
      <w:r>
        <w:rPr>
          <w:rFonts w:ascii="Century Schoolbook" w:hAnsi="Century Schoolbook"/>
          <w:sz w:val="26"/>
          <w:szCs w:val="26"/>
          <w:u w:val="single"/>
        </w:rPr>
        <w:t>,</w:t>
      </w:r>
      <w:r w:rsidRPr="009151FC">
        <w:rPr>
          <w:rFonts w:ascii="Century Schoolbook" w:hAnsi="Century Schoolbook"/>
          <w:sz w:val="26"/>
          <w:szCs w:val="26"/>
        </w:rPr>
        <w:t xml:space="preserve"> or evidentiary hearing, as appropriate. No evidence may be taken at a </w:t>
      </w:r>
      <w:r>
        <w:rPr>
          <w:rFonts w:ascii="Century Schoolbook" w:hAnsi="Century Schoolbook"/>
          <w:sz w:val="26"/>
          <w:szCs w:val="26"/>
          <w:u w:val="single"/>
        </w:rPr>
        <w:t xml:space="preserve">return hearing or </w:t>
      </w:r>
      <w:r w:rsidRPr="009151FC">
        <w:rPr>
          <w:rFonts w:ascii="Century Schoolbook" w:hAnsi="Century Schoolbook"/>
          <w:sz w:val="26"/>
          <w:szCs w:val="26"/>
        </w:rPr>
        <w:t>resolution management conference except under emergency circumstances.</w:t>
      </w:r>
    </w:p>
    <w:p w14:paraId="014BD0E0"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(2) – (3)  No change</w:t>
      </w:r>
    </w:p>
    <w:p w14:paraId="5498DB85" w14:textId="77777777" w:rsidR="005D277B" w:rsidRPr="009151FC" w:rsidRDefault="005D277B" w:rsidP="00C8593D">
      <w:pPr>
        <w:spacing w:line="360" w:lineRule="auto"/>
        <w:jc w:val="both"/>
        <w:rPr>
          <w:rFonts w:ascii="Century Schoolbook" w:hAnsi="Century Schoolbook"/>
          <w:sz w:val="26"/>
          <w:szCs w:val="26"/>
          <w:u w:val="single"/>
        </w:rPr>
      </w:pPr>
      <w:r w:rsidRPr="009151FC">
        <w:rPr>
          <w:rFonts w:ascii="Century Schoolbook" w:hAnsi="Century Schoolbook"/>
          <w:sz w:val="26"/>
          <w:szCs w:val="26"/>
          <w:u w:val="single"/>
        </w:rPr>
        <w:t xml:space="preserve">(4) </w:t>
      </w:r>
      <w:bookmarkStart w:id="0" w:name="_Hlk196830994"/>
      <w:r w:rsidRPr="009151FC">
        <w:rPr>
          <w:rFonts w:ascii="Century Schoolbook" w:hAnsi="Century Schoolbook"/>
          <w:i/>
          <w:iCs/>
          <w:sz w:val="26"/>
          <w:szCs w:val="26"/>
          <w:u w:val="single"/>
        </w:rPr>
        <w:t>Scope of Return Hearing</w:t>
      </w:r>
      <w:r w:rsidRPr="009151FC">
        <w:rPr>
          <w:rFonts w:ascii="Century Schoolbook" w:hAnsi="Century Schoolbook"/>
          <w:sz w:val="26"/>
          <w:szCs w:val="26"/>
          <w:u w:val="single"/>
        </w:rPr>
        <w:t xml:space="preserve">. At </w:t>
      </w:r>
      <w:r>
        <w:rPr>
          <w:rFonts w:ascii="Century Schoolbook" w:hAnsi="Century Schoolbook"/>
          <w:sz w:val="26"/>
          <w:szCs w:val="26"/>
          <w:u w:val="single"/>
        </w:rPr>
        <w:t>a</w:t>
      </w:r>
      <w:r w:rsidRPr="009151FC">
        <w:rPr>
          <w:rFonts w:ascii="Century Schoolbook" w:hAnsi="Century Schoolbook"/>
          <w:sz w:val="26"/>
          <w:szCs w:val="26"/>
          <w:u w:val="single"/>
        </w:rPr>
        <w:t xml:space="preserve"> return hearing, the court </w:t>
      </w:r>
      <w:bookmarkStart w:id="1" w:name="_Hlk197070809"/>
      <w:r w:rsidRPr="009151FC">
        <w:rPr>
          <w:rFonts w:ascii="Century Schoolbook" w:hAnsi="Century Schoolbook"/>
          <w:sz w:val="26"/>
          <w:szCs w:val="26"/>
          <w:u w:val="single"/>
        </w:rPr>
        <w:t xml:space="preserve">may inquire as to whether service has been effectuated, </w:t>
      </w:r>
      <w:r>
        <w:rPr>
          <w:rFonts w:ascii="Century Schoolbook" w:hAnsi="Century Schoolbook"/>
          <w:sz w:val="26"/>
          <w:szCs w:val="26"/>
          <w:u w:val="single"/>
        </w:rPr>
        <w:t>and in the court’s discretion, schedule a resolution management conference or evidentiary hearing, order the parties to meet and confer, or order dismissal under Rule 91(k), if appropriate</w:t>
      </w:r>
      <w:r w:rsidRPr="009151FC">
        <w:rPr>
          <w:rFonts w:ascii="Century Schoolbook" w:hAnsi="Century Schoolbook"/>
          <w:sz w:val="26"/>
          <w:szCs w:val="26"/>
          <w:u w:val="single"/>
        </w:rPr>
        <w:t>.</w:t>
      </w:r>
      <w:r>
        <w:rPr>
          <w:rFonts w:ascii="Century Schoolbook" w:hAnsi="Century Schoolbook"/>
          <w:sz w:val="26"/>
          <w:szCs w:val="26"/>
          <w:u w:val="single"/>
        </w:rPr>
        <w:t xml:space="preserve"> The court may make any additional  orders that the court finds appropriate to ensure a timely resolution of the petition.</w:t>
      </w:r>
    </w:p>
    <w:bookmarkEnd w:id="0"/>
    <w:bookmarkEnd w:id="1"/>
    <w:p w14:paraId="072A555D"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(j) Manner and Timing of Service.</w:t>
      </w:r>
      <w:r w:rsidRPr="009151FC">
        <w:rPr>
          <w:rFonts w:ascii="Century Schoolbook" w:hAnsi="Century Schoolbook"/>
          <w:sz w:val="26"/>
          <w:szCs w:val="26"/>
        </w:rPr>
        <w:t xml:space="preserve"> The applicant must serve the petition, and every order, warrant, and affidavit in support of the petition, on all other parties in the manner required under Rules 40(f)(1) or 41, as applicable. The applicant must make good faith efforts to complete service promptly and within 10 days after the receipt of the issued order to appear but must complete service in no event later than </w:t>
      </w:r>
      <w:r>
        <w:rPr>
          <w:rFonts w:ascii="Century Schoolbook" w:hAnsi="Century Schoolbook"/>
          <w:sz w:val="26"/>
          <w:szCs w:val="26"/>
          <w:u w:val="single"/>
        </w:rPr>
        <w:t xml:space="preserve">5 days before a return hearing or </w:t>
      </w:r>
      <w:r w:rsidRPr="009151FC">
        <w:rPr>
          <w:rFonts w:ascii="Century Schoolbook" w:hAnsi="Century Schoolbook"/>
          <w:sz w:val="26"/>
          <w:szCs w:val="26"/>
        </w:rPr>
        <w:t xml:space="preserve">20 days before </w:t>
      </w:r>
      <w:proofErr w:type="gramStart"/>
      <w:r w:rsidRPr="009151FC">
        <w:rPr>
          <w:rFonts w:ascii="Century Schoolbook" w:hAnsi="Century Schoolbook"/>
          <w:strike/>
          <w:sz w:val="26"/>
          <w:szCs w:val="26"/>
        </w:rPr>
        <w:t>the</w:t>
      </w:r>
      <w:r w:rsidRPr="009151FC">
        <w:rPr>
          <w:rFonts w:ascii="Century Schoolbook" w:hAnsi="Century Schoolbook"/>
          <w:sz w:val="26"/>
          <w:szCs w:val="26"/>
        </w:rPr>
        <w:t xml:space="preserve"> </w:t>
      </w:r>
      <w:r>
        <w:rPr>
          <w:rFonts w:ascii="Century Schoolbook" w:hAnsi="Century Schoolbook"/>
          <w:sz w:val="26"/>
          <w:szCs w:val="26"/>
          <w:u w:val="single"/>
        </w:rPr>
        <w:t>a</w:t>
      </w:r>
      <w:proofErr w:type="gramEnd"/>
      <w:r>
        <w:rPr>
          <w:rFonts w:ascii="Century Schoolbook" w:hAnsi="Century Schoolbook"/>
          <w:sz w:val="26"/>
          <w:szCs w:val="26"/>
          <w:u w:val="single"/>
        </w:rPr>
        <w:t xml:space="preserve"> resolution management conference or evidentiary </w:t>
      </w:r>
      <w:r w:rsidRPr="009151FC">
        <w:rPr>
          <w:rFonts w:ascii="Century Schoolbook" w:hAnsi="Century Schoolbook"/>
          <w:sz w:val="26"/>
          <w:szCs w:val="26"/>
        </w:rPr>
        <w:t>hearing.</w:t>
      </w:r>
    </w:p>
    <w:p w14:paraId="7E1979C4"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(k) </w:t>
      </w:r>
      <w:r>
        <w:rPr>
          <w:rFonts w:ascii="Century Schoolbook" w:hAnsi="Century Schoolbook"/>
          <w:b/>
          <w:bCs/>
          <w:sz w:val="26"/>
          <w:szCs w:val="26"/>
        </w:rPr>
        <w:t>–</w:t>
      </w:r>
      <w:r>
        <w:rPr>
          <w:rFonts w:ascii="Century Schoolbook" w:hAnsi="Century Schoolbook"/>
          <w:b/>
          <w:bCs/>
          <w:sz w:val="26"/>
          <w:szCs w:val="26"/>
        </w:rPr>
        <w:tab/>
        <w:t xml:space="preserve">No change </w:t>
      </w:r>
    </w:p>
    <w:p w14:paraId="3261621E"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(l) Responses; Time for Response.</w:t>
      </w:r>
      <w:r w:rsidRPr="009151FC">
        <w:rPr>
          <w:rFonts w:ascii="Century Schoolbook" w:hAnsi="Century Schoolbook"/>
          <w:sz w:val="26"/>
          <w:szCs w:val="26"/>
        </w:rPr>
        <w:t xml:space="preserve"> Unless a statute or rule requires otherwise, a party served with a petition may, but is not required to, file a response to the petition. However, if a party chooses to respond or when these rules specifically require a response, the responding party must file and provide a copy of the response to the applicant or, if represented, the </w:t>
      </w:r>
      <w:r w:rsidRPr="009151FC">
        <w:rPr>
          <w:rFonts w:ascii="Century Schoolbook" w:hAnsi="Century Schoolbook"/>
          <w:sz w:val="26"/>
          <w:szCs w:val="26"/>
        </w:rPr>
        <w:lastRenderedPageBreak/>
        <w:t xml:space="preserve">applicant's attorney. Unless the court orders otherwise, the response must be filed at least 3 days before the scheduled conference or </w:t>
      </w:r>
      <w:r>
        <w:rPr>
          <w:rFonts w:ascii="Century Schoolbook" w:hAnsi="Century Schoolbook"/>
          <w:sz w:val="26"/>
          <w:szCs w:val="26"/>
          <w:u w:val="single"/>
        </w:rPr>
        <w:t xml:space="preserve">evidentiary </w:t>
      </w:r>
      <w:r w:rsidRPr="009151FC">
        <w:rPr>
          <w:rFonts w:ascii="Century Schoolbook" w:hAnsi="Century Schoolbook"/>
          <w:sz w:val="26"/>
          <w:szCs w:val="26"/>
        </w:rPr>
        <w:t>hearing.</w:t>
      </w:r>
    </w:p>
    <w:p w14:paraId="5CFDF3EF"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(m) Disclosure.</w:t>
      </w:r>
      <w:r w:rsidRPr="009151FC">
        <w:rPr>
          <w:rFonts w:ascii="Century Schoolbook" w:hAnsi="Century Schoolbook"/>
          <w:sz w:val="26"/>
          <w:szCs w:val="26"/>
        </w:rPr>
        <w:t xml:space="preserve"> In any proceeding under Rule 91 or Rules 91.1 through 91.7, each party must comply with Rule 49 within the time established by the court at the </w:t>
      </w:r>
      <w:r>
        <w:rPr>
          <w:rFonts w:ascii="Century Schoolbook" w:hAnsi="Century Schoolbook"/>
          <w:sz w:val="26"/>
          <w:szCs w:val="26"/>
          <w:u w:val="single"/>
        </w:rPr>
        <w:t xml:space="preserve">return hearing, resolution management </w:t>
      </w:r>
      <w:r w:rsidRPr="009151FC">
        <w:rPr>
          <w:rFonts w:ascii="Century Schoolbook" w:hAnsi="Century Schoolbook"/>
          <w:sz w:val="26"/>
          <w:szCs w:val="26"/>
        </w:rPr>
        <w:t>conference</w:t>
      </w:r>
      <w:r>
        <w:rPr>
          <w:rFonts w:ascii="Century Schoolbook" w:hAnsi="Century Schoolbook"/>
          <w:sz w:val="26"/>
          <w:szCs w:val="26"/>
          <w:u w:val="single"/>
        </w:rPr>
        <w:t>,</w:t>
      </w:r>
      <w:r w:rsidRPr="009151FC">
        <w:rPr>
          <w:rFonts w:ascii="Century Schoolbook" w:hAnsi="Century Schoolbook"/>
          <w:sz w:val="26"/>
          <w:szCs w:val="26"/>
        </w:rPr>
        <w:t xml:space="preserve"> or </w:t>
      </w:r>
      <w:r>
        <w:rPr>
          <w:rFonts w:ascii="Century Schoolbook" w:hAnsi="Century Schoolbook"/>
          <w:sz w:val="26"/>
          <w:szCs w:val="26"/>
          <w:u w:val="single"/>
        </w:rPr>
        <w:t xml:space="preserve">evidentiary </w:t>
      </w:r>
      <w:r w:rsidRPr="009151FC">
        <w:rPr>
          <w:rFonts w:ascii="Century Schoolbook" w:hAnsi="Century Schoolbook"/>
          <w:sz w:val="26"/>
          <w:szCs w:val="26"/>
        </w:rPr>
        <w:t>hearing or as agreed by the parties.</w:t>
      </w:r>
    </w:p>
    <w:p w14:paraId="15840C44"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(n) </w:t>
      </w:r>
      <w:r>
        <w:rPr>
          <w:rFonts w:ascii="Century Schoolbook" w:hAnsi="Century Schoolbook"/>
          <w:b/>
          <w:bCs/>
          <w:sz w:val="26"/>
          <w:szCs w:val="26"/>
        </w:rPr>
        <w:t xml:space="preserve">– (p) </w:t>
      </w:r>
      <w:r>
        <w:rPr>
          <w:rFonts w:ascii="Century Schoolbook" w:hAnsi="Century Schoolbook"/>
          <w:b/>
          <w:bCs/>
          <w:sz w:val="26"/>
          <w:szCs w:val="26"/>
        </w:rPr>
        <w:tab/>
        <w:t>No changes</w:t>
      </w:r>
    </w:p>
    <w:p w14:paraId="05D74A86" w14:textId="71DFDF9C" w:rsidR="005D277B" w:rsidRDefault="005D277B" w:rsidP="00C8593D">
      <w:pPr>
        <w:spacing w:line="360" w:lineRule="auto"/>
        <w:jc w:val="both"/>
        <w:rPr>
          <w:rFonts w:ascii="Century Schoolbook" w:hAnsi="Century Schoolbook"/>
          <w:sz w:val="26"/>
          <w:szCs w:val="26"/>
        </w:rPr>
      </w:pPr>
    </w:p>
    <w:p w14:paraId="6E1A0530" w14:textId="77777777" w:rsidR="005D277B" w:rsidRPr="009151FC" w:rsidRDefault="005D277B" w:rsidP="00C8593D">
      <w:pPr>
        <w:spacing w:line="360" w:lineRule="auto"/>
        <w:jc w:val="both"/>
        <w:rPr>
          <w:rFonts w:ascii="Century Schoolbook" w:hAnsi="Century Schoolbook"/>
          <w:sz w:val="26"/>
          <w:szCs w:val="26"/>
        </w:rPr>
      </w:pPr>
    </w:p>
    <w:p w14:paraId="2F52A48A" w14:textId="7745EEC8"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Rule 92. Civil Contempt and Sanctions for Non-Compliance with a Court Order</w:t>
      </w:r>
    </w:p>
    <w:p w14:paraId="107EFBE8" w14:textId="53378094"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(a) </w:t>
      </w:r>
      <w:r>
        <w:rPr>
          <w:rFonts w:ascii="Century Schoolbook" w:hAnsi="Century Schoolbook"/>
          <w:b/>
          <w:bCs/>
          <w:sz w:val="26"/>
          <w:szCs w:val="26"/>
        </w:rPr>
        <w:t>– (b)</w:t>
      </w:r>
      <w:r>
        <w:rPr>
          <w:rFonts w:ascii="Century Schoolbook" w:hAnsi="Century Schoolbook"/>
          <w:b/>
          <w:bCs/>
          <w:sz w:val="26"/>
          <w:szCs w:val="26"/>
        </w:rPr>
        <w:tab/>
        <w:t>No changes</w:t>
      </w:r>
    </w:p>
    <w:p w14:paraId="7292A87A"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(c) Order to Appear.</w:t>
      </w:r>
      <w:r w:rsidRPr="009151FC">
        <w:rPr>
          <w:rFonts w:ascii="Century Schoolbook" w:hAnsi="Century Schoolbook"/>
          <w:sz w:val="26"/>
          <w:szCs w:val="26"/>
        </w:rPr>
        <w:t xml:space="preserve"> The order to appear must specify the date, time, and place of </w:t>
      </w:r>
      <w:proofErr w:type="gramStart"/>
      <w:r w:rsidRPr="009151FC">
        <w:rPr>
          <w:rFonts w:ascii="Century Schoolbook" w:hAnsi="Century Schoolbook"/>
          <w:strike/>
          <w:sz w:val="26"/>
          <w:szCs w:val="26"/>
        </w:rPr>
        <w:t>the</w:t>
      </w:r>
      <w:r w:rsidRPr="009151FC">
        <w:rPr>
          <w:rFonts w:ascii="Century Schoolbook" w:hAnsi="Century Schoolbook"/>
          <w:sz w:val="26"/>
          <w:szCs w:val="26"/>
        </w:rPr>
        <w:t xml:space="preserve"> </w:t>
      </w:r>
      <w:r>
        <w:rPr>
          <w:rFonts w:ascii="Century Schoolbook" w:hAnsi="Century Schoolbook"/>
          <w:sz w:val="26"/>
          <w:szCs w:val="26"/>
          <w:u w:val="single"/>
        </w:rPr>
        <w:t>a</w:t>
      </w:r>
      <w:proofErr w:type="gramEnd"/>
      <w:r>
        <w:rPr>
          <w:rFonts w:ascii="Century Schoolbook" w:hAnsi="Century Schoolbook"/>
          <w:sz w:val="26"/>
          <w:szCs w:val="26"/>
          <w:u w:val="single"/>
        </w:rPr>
        <w:t xml:space="preserve"> return hearing or evidentiary </w:t>
      </w:r>
      <w:r w:rsidRPr="009151FC">
        <w:rPr>
          <w:rFonts w:ascii="Century Schoolbook" w:hAnsi="Century Schoolbook"/>
          <w:sz w:val="26"/>
          <w:szCs w:val="26"/>
        </w:rPr>
        <w:t>hearing, and must contain the following notice using substantially the following language:</w:t>
      </w:r>
    </w:p>
    <w:p w14:paraId="7F564F2C"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 xml:space="preserve">Failure to appear at the hearing may result in the court issuing </w:t>
      </w:r>
      <w:proofErr w:type="gramStart"/>
      <w:r w:rsidRPr="009151FC">
        <w:rPr>
          <w:rFonts w:ascii="Century Schoolbook" w:hAnsi="Century Schoolbook"/>
          <w:sz w:val="26"/>
          <w:szCs w:val="26"/>
        </w:rPr>
        <w:t>a child</w:t>
      </w:r>
      <w:proofErr w:type="gramEnd"/>
      <w:r w:rsidRPr="009151FC">
        <w:rPr>
          <w:rFonts w:ascii="Century Schoolbook" w:hAnsi="Century Schoolbook"/>
          <w:sz w:val="26"/>
          <w:szCs w:val="26"/>
        </w:rPr>
        <w:t xml:space="preserve"> support or </w:t>
      </w:r>
      <w:proofErr w:type="gramStart"/>
      <w:r w:rsidRPr="009151FC">
        <w:rPr>
          <w:rFonts w:ascii="Century Schoolbook" w:hAnsi="Century Schoolbook"/>
          <w:sz w:val="26"/>
          <w:szCs w:val="26"/>
        </w:rPr>
        <w:t>civil</w:t>
      </w:r>
      <w:proofErr w:type="gramEnd"/>
      <w:r w:rsidRPr="009151FC">
        <w:rPr>
          <w:rFonts w:ascii="Century Schoolbook" w:hAnsi="Century Schoolbook"/>
          <w:sz w:val="26"/>
          <w:szCs w:val="26"/>
        </w:rPr>
        <w:t xml:space="preserve"> warrant for your arrest. If you are arrested, you may be held in jail for up to 24 hours before you see a judge.</w:t>
      </w:r>
    </w:p>
    <w:p w14:paraId="2D2838C1" w14:textId="77777777" w:rsidR="005D277B" w:rsidRPr="005E34B2" w:rsidRDefault="005D277B" w:rsidP="00C8593D">
      <w:pPr>
        <w:spacing w:line="360" w:lineRule="auto"/>
        <w:jc w:val="both"/>
        <w:rPr>
          <w:rFonts w:ascii="Century Schoolbook" w:hAnsi="Century Schoolbook"/>
          <w:sz w:val="26"/>
          <w:szCs w:val="26"/>
          <w:u w:val="single"/>
        </w:rPr>
      </w:pPr>
      <w:r w:rsidRPr="009151FC">
        <w:rPr>
          <w:rFonts w:ascii="Century Schoolbook" w:hAnsi="Century Schoolbook"/>
          <w:b/>
          <w:bCs/>
          <w:sz w:val="26"/>
          <w:szCs w:val="26"/>
        </w:rPr>
        <w:t>(d) Hearing.</w:t>
      </w:r>
      <w:r w:rsidRPr="009151FC">
        <w:rPr>
          <w:rFonts w:ascii="Century Schoolbook" w:hAnsi="Century Schoolbook"/>
          <w:sz w:val="26"/>
          <w:szCs w:val="26"/>
        </w:rPr>
        <w:t> </w:t>
      </w:r>
      <w:r>
        <w:rPr>
          <w:rFonts w:ascii="Century Schoolbook" w:hAnsi="Century Schoolbook"/>
          <w:sz w:val="26"/>
          <w:szCs w:val="26"/>
        </w:rPr>
        <w:t xml:space="preserve"> </w:t>
      </w:r>
      <w:r w:rsidRPr="005E34B2">
        <w:rPr>
          <w:rFonts w:ascii="Century Schoolbook" w:hAnsi="Century Schoolbook"/>
          <w:sz w:val="26"/>
          <w:szCs w:val="26"/>
          <w:u w:val="single"/>
        </w:rPr>
        <w:t>The court:</w:t>
      </w:r>
    </w:p>
    <w:p w14:paraId="7B1621FF" w14:textId="77777777" w:rsidR="005D277B" w:rsidRPr="005E34B2" w:rsidRDefault="005D277B" w:rsidP="00C8593D">
      <w:pPr>
        <w:spacing w:line="360" w:lineRule="auto"/>
        <w:jc w:val="both"/>
        <w:rPr>
          <w:rFonts w:ascii="Century Schoolbook" w:hAnsi="Century Schoolbook"/>
          <w:sz w:val="26"/>
          <w:szCs w:val="26"/>
          <w:u w:val="single"/>
        </w:rPr>
      </w:pPr>
      <w:r w:rsidRPr="005E34B2">
        <w:rPr>
          <w:rFonts w:ascii="Century Schoolbook" w:hAnsi="Century Schoolbook"/>
          <w:sz w:val="26"/>
          <w:szCs w:val="26"/>
          <w:u w:val="single"/>
        </w:rPr>
        <w:t>(1)</w:t>
      </w:r>
      <w:r>
        <w:rPr>
          <w:rFonts w:ascii="Century Schoolbook" w:hAnsi="Century Schoolbook"/>
          <w:sz w:val="26"/>
          <w:szCs w:val="26"/>
          <w:u w:val="single"/>
        </w:rPr>
        <w:tab/>
        <w:t xml:space="preserve">at the return hearing, </w:t>
      </w:r>
      <w:r w:rsidRPr="009151FC">
        <w:rPr>
          <w:rFonts w:ascii="Century Schoolbook" w:hAnsi="Century Schoolbook"/>
          <w:sz w:val="26"/>
          <w:szCs w:val="26"/>
          <w:u w:val="single"/>
        </w:rPr>
        <w:t>may inquire as to whether service has been effectuated</w:t>
      </w:r>
      <w:r>
        <w:rPr>
          <w:rFonts w:ascii="Century Schoolbook" w:hAnsi="Century Schoolbook"/>
          <w:sz w:val="26"/>
          <w:szCs w:val="26"/>
          <w:u w:val="single"/>
        </w:rPr>
        <w:t>,   and, in the court’s discretion, schedule an evidentiary hearing</w:t>
      </w:r>
      <w:r w:rsidRPr="009151FC">
        <w:rPr>
          <w:rFonts w:ascii="Century Schoolbook" w:hAnsi="Century Schoolbook"/>
          <w:sz w:val="26"/>
          <w:szCs w:val="26"/>
          <w:u w:val="single"/>
        </w:rPr>
        <w:t>.</w:t>
      </w:r>
      <w:r>
        <w:rPr>
          <w:rFonts w:ascii="Century Schoolbook" w:hAnsi="Century Schoolbook"/>
          <w:sz w:val="26"/>
          <w:szCs w:val="26"/>
          <w:u w:val="single"/>
        </w:rPr>
        <w:t xml:space="preserve"> The court may make any additional  orders that the court finds appropriate to ensure a timely resolution of the petition.</w:t>
      </w:r>
    </w:p>
    <w:p w14:paraId="1B232455" w14:textId="77777777" w:rsidR="005D277B" w:rsidRPr="009151FC" w:rsidRDefault="005D277B" w:rsidP="00C8593D">
      <w:pPr>
        <w:spacing w:line="360" w:lineRule="auto"/>
        <w:jc w:val="both"/>
        <w:rPr>
          <w:rFonts w:ascii="Century Schoolbook" w:hAnsi="Century Schoolbook"/>
          <w:sz w:val="26"/>
          <w:szCs w:val="26"/>
        </w:rPr>
      </w:pPr>
      <w:r w:rsidRPr="005E34B2">
        <w:rPr>
          <w:rFonts w:ascii="Century Schoolbook" w:hAnsi="Century Schoolbook"/>
          <w:sz w:val="26"/>
          <w:szCs w:val="26"/>
          <w:u w:val="single"/>
        </w:rPr>
        <w:t>(2)</w:t>
      </w:r>
      <w:r>
        <w:rPr>
          <w:rFonts w:ascii="Century Schoolbook" w:hAnsi="Century Schoolbook"/>
          <w:sz w:val="26"/>
          <w:szCs w:val="26"/>
        </w:rPr>
        <w:tab/>
        <w:t>a</w:t>
      </w:r>
      <w:r w:rsidRPr="009151FC">
        <w:rPr>
          <w:rFonts w:ascii="Century Schoolbook" w:hAnsi="Century Schoolbook"/>
          <w:sz w:val="26"/>
          <w:szCs w:val="26"/>
        </w:rPr>
        <w:t xml:space="preserve">t the </w:t>
      </w:r>
      <w:r>
        <w:rPr>
          <w:rFonts w:ascii="Century Schoolbook" w:hAnsi="Century Schoolbook"/>
          <w:sz w:val="26"/>
          <w:szCs w:val="26"/>
          <w:u w:val="single"/>
        </w:rPr>
        <w:t xml:space="preserve">evidentiary </w:t>
      </w:r>
      <w:r w:rsidRPr="009151FC">
        <w:rPr>
          <w:rFonts w:ascii="Century Schoolbook" w:hAnsi="Century Schoolbook"/>
          <w:sz w:val="26"/>
          <w:szCs w:val="26"/>
        </w:rPr>
        <w:t xml:space="preserve">hearing on the petition, </w:t>
      </w:r>
      <w:r w:rsidRPr="009151FC">
        <w:rPr>
          <w:rFonts w:ascii="Century Schoolbook" w:hAnsi="Century Schoolbook"/>
          <w:strike/>
          <w:sz w:val="26"/>
          <w:szCs w:val="26"/>
        </w:rPr>
        <w:t xml:space="preserve">the court </w:t>
      </w:r>
      <w:r w:rsidRPr="009151FC">
        <w:rPr>
          <w:rFonts w:ascii="Century Schoolbook" w:hAnsi="Century Schoolbook"/>
          <w:sz w:val="26"/>
          <w:szCs w:val="26"/>
        </w:rPr>
        <w:t xml:space="preserve">must make an express finding whether the alleged contemnor had notice of the petition and order to appear. The </w:t>
      </w:r>
      <w:proofErr w:type="gramStart"/>
      <w:r w:rsidRPr="009151FC">
        <w:rPr>
          <w:rFonts w:ascii="Century Schoolbook" w:hAnsi="Century Schoolbook"/>
          <w:sz w:val="26"/>
          <w:szCs w:val="26"/>
        </w:rPr>
        <w:t>court also</w:t>
      </w:r>
      <w:proofErr w:type="gramEnd"/>
      <w:r w:rsidRPr="009151FC">
        <w:rPr>
          <w:rFonts w:ascii="Century Schoolbook" w:hAnsi="Century Schoolbook"/>
          <w:sz w:val="26"/>
          <w:szCs w:val="26"/>
        </w:rPr>
        <w:t xml:space="preserve"> must also determine whether the party who filed the petition has established that:</w:t>
      </w:r>
    </w:p>
    <w:p w14:paraId="2E358B8D"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w:t>
      </w:r>
      <w:proofErr w:type="spellStart"/>
      <w:r w:rsidRPr="005E34B2">
        <w:rPr>
          <w:rFonts w:ascii="Century Schoolbook" w:hAnsi="Century Schoolbook"/>
          <w:sz w:val="26"/>
          <w:szCs w:val="26"/>
          <w:u w:val="single"/>
        </w:rPr>
        <w:t>i</w:t>
      </w:r>
      <w:proofErr w:type="spellEnd"/>
      <w:r w:rsidRPr="009151FC">
        <w:rPr>
          <w:rFonts w:ascii="Century Schoolbook" w:hAnsi="Century Schoolbook"/>
          <w:sz w:val="26"/>
          <w:szCs w:val="26"/>
        </w:rPr>
        <w:t xml:space="preserve">) the court entered a prior </w:t>
      </w:r>
      <w:proofErr w:type="gramStart"/>
      <w:r w:rsidRPr="009151FC">
        <w:rPr>
          <w:rFonts w:ascii="Century Schoolbook" w:hAnsi="Century Schoolbook"/>
          <w:sz w:val="26"/>
          <w:szCs w:val="26"/>
        </w:rPr>
        <w:t>order;</w:t>
      </w:r>
      <w:proofErr w:type="gramEnd"/>
    </w:p>
    <w:p w14:paraId="57375C50"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lastRenderedPageBreak/>
        <w:t>(</w:t>
      </w:r>
      <w:r w:rsidRPr="005E34B2">
        <w:rPr>
          <w:rFonts w:ascii="Century Schoolbook" w:hAnsi="Century Schoolbook"/>
          <w:sz w:val="26"/>
          <w:szCs w:val="26"/>
          <w:u w:val="single"/>
        </w:rPr>
        <w:t>ii</w:t>
      </w:r>
      <w:r w:rsidRPr="009151FC">
        <w:rPr>
          <w:rFonts w:ascii="Century Schoolbook" w:hAnsi="Century Schoolbook"/>
          <w:sz w:val="26"/>
          <w:szCs w:val="26"/>
        </w:rPr>
        <w:t>) the alleged contemnor had notice of the prior order; and</w:t>
      </w:r>
    </w:p>
    <w:p w14:paraId="01DD5CD5"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sz w:val="26"/>
          <w:szCs w:val="26"/>
        </w:rPr>
        <w:t>(</w:t>
      </w:r>
      <w:r w:rsidRPr="005E34B2">
        <w:rPr>
          <w:rFonts w:ascii="Century Schoolbook" w:hAnsi="Century Schoolbook"/>
          <w:sz w:val="26"/>
          <w:szCs w:val="26"/>
          <w:u w:val="single"/>
        </w:rPr>
        <w:t>iii</w:t>
      </w:r>
      <w:r w:rsidRPr="009151FC">
        <w:rPr>
          <w:rFonts w:ascii="Century Schoolbook" w:hAnsi="Century Schoolbook"/>
          <w:sz w:val="26"/>
          <w:szCs w:val="26"/>
        </w:rPr>
        <w:t>) the alleged contemnor failed to comply with the order.</w:t>
      </w:r>
    </w:p>
    <w:p w14:paraId="243EFCD8" w14:textId="77777777" w:rsidR="005D277B" w:rsidRPr="009151FC" w:rsidRDefault="005D277B" w:rsidP="00C8593D">
      <w:pPr>
        <w:spacing w:line="360" w:lineRule="auto"/>
        <w:jc w:val="both"/>
        <w:rPr>
          <w:rFonts w:ascii="Century Schoolbook" w:hAnsi="Century Schoolbook"/>
          <w:sz w:val="26"/>
          <w:szCs w:val="26"/>
        </w:rPr>
      </w:pPr>
      <w:r w:rsidRPr="009151FC">
        <w:rPr>
          <w:rFonts w:ascii="Century Schoolbook" w:hAnsi="Century Schoolbook"/>
          <w:b/>
          <w:bCs/>
          <w:sz w:val="26"/>
          <w:szCs w:val="26"/>
        </w:rPr>
        <w:t xml:space="preserve">(e) </w:t>
      </w:r>
      <w:r>
        <w:rPr>
          <w:rFonts w:ascii="Century Schoolbook" w:hAnsi="Century Schoolbook"/>
          <w:b/>
          <w:bCs/>
          <w:sz w:val="26"/>
          <w:szCs w:val="26"/>
        </w:rPr>
        <w:t>– (g)</w:t>
      </w:r>
      <w:r>
        <w:rPr>
          <w:rFonts w:ascii="Century Schoolbook" w:hAnsi="Century Schoolbook"/>
          <w:b/>
          <w:bCs/>
          <w:sz w:val="26"/>
          <w:szCs w:val="26"/>
        </w:rPr>
        <w:tab/>
        <w:t>No changes</w:t>
      </w:r>
    </w:p>
    <w:p w14:paraId="04FA6E8B" w14:textId="77777777" w:rsidR="005D277B" w:rsidRDefault="005D277B" w:rsidP="00511B7B">
      <w:pPr>
        <w:rPr>
          <w:rFonts w:ascii="Century Schoolbook" w:hAnsi="Century Schoolbook"/>
          <w:sz w:val="26"/>
          <w:szCs w:val="26"/>
        </w:rPr>
      </w:pPr>
    </w:p>
    <w:p w14:paraId="4D9412E3" w14:textId="77777777" w:rsidR="005D277B" w:rsidRDefault="005D277B" w:rsidP="00511B7B">
      <w:pPr>
        <w:rPr>
          <w:rFonts w:ascii="Century Schoolbook" w:hAnsi="Century Schoolbook"/>
          <w:sz w:val="26"/>
          <w:szCs w:val="26"/>
        </w:rPr>
      </w:pPr>
    </w:p>
    <w:p w14:paraId="1B1D6D4D" w14:textId="77777777" w:rsidR="005D277B" w:rsidRDefault="005D277B" w:rsidP="00511B7B">
      <w:pPr>
        <w:rPr>
          <w:rFonts w:ascii="Century Schoolbook" w:hAnsi="Century Schoolbook"/>
          <w:sz w:val="26"/>
          <w:szCs w:val="26"/>
        </w:rPr>
      </w:pPr>
    </w:p>
    <w:p w14:paraId="13EAD0F2" w14:textId="5AC9DD30"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E93980">
        <w:rPr>
          <w:rFonts w:ascii="Century Schoolbook" w:hAnsi="Century Schoolbook"/>
          <w:sz w:val="26"/>
          <w:szCs w:val="26"/>
        </w:rPr>
        <w:t>19th</w:t>
      </w:r>
      <w:r w:rsidR="005501C1" w:rsidRPr="005F6F54">
        <w:rPr>
          <w:rFonts w:ascii="Century Schoolbook" w:hAnsi="Century Schoolbook"/>
          <w:sz w:val="26"/>
          <w:szCs w:val="26"/>
        </w:rPr>
        <w:t xml:space="preserve"> </w:t>
      </w:r>
      <w:r w:rsidR="00C41CA7" w:rsidRPr="005F6F54">
        <w:rPr>
          <w:rFonts w:ascii="Century Schoolbook" w:hAnsi="Century Schoolbook"/>
          <w:sz w:val="26"/>
          <w:szCs w:val="26"/>
        </w:rPr>
        <w:t xml:space="preserve">day of </w:t>
      </w:r>
      <w:proofErr w:type="gramStart"/>
      <w:r w:rsidR="00423FEC">
        <w:rPr>
          <w:rFonts w:ascii="Century Schoolbook" w:hAnsi="Century Schoolbook"/>
          <w:sz w:val="26"/>
          <w:szCs w:val="26"/>
        </w:rPr>
        <w:t>May</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D06F0">
        <w:rPr>
          <w:rFonts w:ascii="Century Schoolbook" w:hAnsi="Century Schoolbook"/>
          <w:sz w:val="26"/>
          <w:szCs w:val="26"/>
        </w:rPr>
        <w:t>5</w:t>
      </w:r>
      <w:r w:rsidR="00C41CA7" w:rsidRPr="005F6F54">
        <w:rPr>
          <w:rFonts w:ascii="Century Schoolbook" w:hAnsi="Century Schoolbook"/>
          <w:sz w:val="26"/>
          <w:szCs w:val="26"/>
        </w:rPr>
        <w:t>.</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3A7F6CDA" w:rsidR="00C8593D" w:rsidRDefault="00C8593D" w:rsidP="00C8593D">
    <w:pPr>
      <w:pStyle w:val="Header"/>
    </w:pPr>
    <w:r>
      <w:t>Comment, R-23-0008</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9F7"/>
    <w:rsid w:val="005C3F6A"/>
    <w:rsid w:val="005C49A0"/>
    <w:rsid w:val="005C79BD"/>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coe@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customXml/itemProps2.xml><?xml version="1.0" encoding="utf-8"?>
<ds:datastoreItem xmlns:ds="http://schemas.openxmlformats.org/officeDocument/2006/customXml" ds:itemID="{C3936D1B-78DE-4C2F-BEA0-7F886EEC63DE}"/>
</file>

<file path=customXml/itemProps3.xml><?xml version="1.0" encoding="utf-8"?>
<ds:datastoreItem xmlns:ds="http://schemas.openxmlformats.org/officeDocument/2006/customXml" ds:itemID="{3CDF6ACC-EEC7-41DC-9895-B851D7A2C32D}"/>
</file>

<file path=customXml/itemProps4.xml><?xml version="1.0" encoding="utf-8"?>
<ds:datastoreItem xmlns:ds="http://schemas.openxmlformats.org/officeDocument/2006/customXml" ds:itemID="{6BFE7A11-6ECF-49FD-B87A-0450002A0679}"/>
</file>

<file path=docProps/app.xml><?xml version="1.0" encoding="utf-8"?>
<Properties xmlns="http://schemas.openxmlformats.org/officeDocument/2006/extended-properties" xmlns:vt="http://schemas.openxmlformats.org/officeDocument/2006/docPropsVTypes">
  <Template>Normal</Template>
  <TotalTime>3</TotalTime>
  <Pages>6</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2</cp:revision>
  <cp:lastPrinted>2025-02-28T21:13:00Z</cp:lastPrinted>
  <dcterms:created xsi:type="dcterms:W3CDTF">2025-05-17T01:17:00Z</dcterms:created>
  <dcterms:modified xsi:type="dcterms:W3CDTF">2025-05-17T01:17:00Z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ies>
</file>