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30E3A" w14:textId="1DB8801B" w:rsidR="006A3C5F" w:rsidRDefault="00336D20" w:rsidP="00336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D. Douglas Metcalf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Pima County Superior Court Judge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 xml:space="preserve">110 West Congress </w:t>
      </w:r>
      <w:r w:rsidR="00FC35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Street</w:t>
      </w:r>
      <w:r w:rsidR="00FC35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Tucson, AZ  85711</w:t>
      </w:r>
      <w:r w:rsidR="00FC35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Tel. (520) 724-3708</w:t>
      </w:r>
      <w:r w:rsidR="00FC35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Fax (520) 724-8136</w:t>
      </w:r>
    </w:p>
    <w:p w14:paraId="2890CFD7" w14:textId="77777777" w:rsidR="00336D20" w:rsidRDefault="00336D20" w:rsidP="00336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A5D3A78" w14:textId="77777777" w:rsidR="00336D20" w:rsidRDefault="00336D20" w:rsidP="00336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95D37AF" w14:textId="77777777" w:rsidR="00336D20" w:rsidRDefault="00336D20" w:rsidP="00336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614B66A" w14:textId="77777777" w:rsidR="00336D20" w:rsidRDefault="00336D20" w:rsidP="00336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BC12E54" w14:textId="77777777" w:rsidR="00336D20" w:rsidRPr="006A3C5F" w:rsidRDefault="00336D20" w:rsidP="006A3C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26585DC" w14:textId="77777777" w:rsidR="006A3C5F" w:rsidRPr="006A3C5F" w:rsidRDefault="006A3C5F" w:rsidP="006A3C5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A3C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IN THE SUPREME COURT</w:t>
      </w:r>
    </w:p>
    <w:p w14:paraId="4BCD2B01" w14:textId="77777777" w:rsidR="006A3C5F" w:rsidRPr="006A3C5F" w:rsidRDefault="006A3C5F" w:rsidP="006A3C5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A3C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STATE OF ARIZONA</w:t>
      </w:r>
    </w:p>
    <w:p w14:paraId="18F7964A" w14:textId="77777777" w:rsidR="006A3C5F" w:rsidRPr="006A3C5F" w:rsidRDefault="006A3C5F" w:rsidP="006A3C5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D4D4EF3" w14:textId="00223C5C" w:rsidR="006A3C5F" w:rsidRPr="006A3C5F" w:rsidRDefault="006A3C5F" w:rsidP="006A3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A3C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In the Matter of                                  </w:t>
      </w:r>
      <w:r w:rsidR="00F97D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)</w:t>
      </w:r>
      <w:r w:rsidRPr="006A3C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</w:t>
      </w:r>
    </w:p>
    <w:p w14:paraId="49DAB7B6" w14:textId="64F6220E" w:rsidR="006A3C5F" w:rsidRPr="006A3C5F" w:rsidRDefault="006A3C5F" w:rsidP="006A3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A3C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)    Arizona Supreme Court No. R-2</w:t>
      </w:r>
      <w:r w:rsidR="005B5F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5</w:t>
      </w:r>
      <w:r w:rsidRPr="006A3C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="005B5F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0002</w:t>
      </w:r>
    </w:p>
    <w:p w14:paraId="66C6AFA2" w14:textId="06975A6A" w:rsidR="006A3C5F" w:rsidRPr="006A3C5F" w:rsidRDefault="00F97DC1" w:rsidP="006A3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97D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ARIZONA RULES OF</w:t>
      </w:r>
      <w:r w:rsidR="00FC35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6A3C5F" w:rsidRPr="006A3C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        </w:t>
      </w:r>
      <w:r w:rsidR="006A3C5F" w:rsidRPr="006A3C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</w:t>
      </w:r>
    </w:p>
    <w:p w14:paraId="66707BEB" w14:textId="7774479B" w:rsidR="005B5FBC" w:rsidRDefault="00FC35AB" w:rsidP="006A3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PROCEDURE FOR             </w:t>
      </w:r>
      <w:r w:rsidR="006A3C5F" w:rsidRPr="006A3C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  )</w:t>
      </w:r>
      <w:r w:rsidR="00F97DC1" w:rsidRPr="006A3C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</w:t>
      </w:r>
      <w:r w:rsidR="005B5FB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REPLY IN SUPPORT OF </w:t>
      </w:r>
      <w:r w:rsidR="00F97DC1" w:rsidRPr="00F97DC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PETITION</w:t>
      </w:r>
    </w:p>
    <w:p w14:paraId="6F4CD6FB" w14:textId="42EC00DE" w:rsidR="006A3C5F" w:rsidRPr="006A3C5F" w:rsidRDefault="005B5FBC" w:rsidP="005B5F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5B5F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SPECIAL ACTIONS 2(b)(1)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 )    </w:t>
      </w:r>
      <w:r w:rsidR="00F97DC1" w:rsidRPr="00F97DC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TO </w:t>
      </w:r>
      <w:r w:rsidR="00FC35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AMEND </w:t>
      </w:r>
      <w:r w:rsidR="00F97DC1" w:rsidRPr="00F97DC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ARIZONA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RULE OF</w:t>
      </w:r>
    </w:p>
    <w:p w14:paraId="71E0420F" w14:textId="72EA0C5A" w:rsidR="006A3C5F" w:rsidRPr="006A3C5F" w:rsidRDefault="006A3C5F" w:rsidP="006A3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A3C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 </w:t>
      </w:r>
      <w:r w:rsidR="005B5F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                                   </w:t>
      </w:r>
      <w:r w:rsidRPr="006A3C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</w:t>
      </w:r>
      <w:r w:rsidR="00F97D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</w:t>
      </w:r>
      <w:r w:rsidR="005B5F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F97DC1" w:rsidRPr="00F97D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FC35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PROCEDURE FOR</w:t>
      </w:r>
      <w:r w:rsidR="005B5FB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SPECIAL</w:t>
      </w:r>
    </w:p>
    <w:p w14:paraId="526B53CB" w14:textId="2E5A5DB6" w:rsidR="005B5FBC" w:rsidRDefault="004023D2" w:rsidP="005B5F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)</w:t>
      </w:r>
      <w:r w:rsidR="005B5FBC" w:rsidRPr="005B5F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</w:t>
      </w:r>
      <w:r w:rsidR="005B5FBC" w:rsidRPr="005B5FB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ACTIONS 2(b)(1)</w:t>
      </w:r>
    </w:p>
    <w:p w14:paraId="698B0CBD" w14:textId="47468FDB" w:rsidR="004023D2" w:rsidRPr="005B5FBC" w:rsidRDefault="004023D2" w:rsidP="005B5FB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023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______________________________)</w:t>
      </w:r>
    </w:p>
    <w:p w14:paraId="13B49EE2" w14:textId="77777777" w:rsidR="006A3C5F" w:rsidRDefault="006A3C5F" w:rsidP="00467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2C8234B" w14:textId="77777777" w:rsidR="00467892" w:rsidRPr="006A3C5F" w:rsidRDefault="00467892" w:rsidP="00467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AE7B498" w14:textId="55314D65" w:rsidR="004023D2" w:rsidRDefault="006A3C5F" w:rsidP="009E4828">
      <w:pPr>
        <w:tabs>
          <w:tab w:val="left" w:pos="711"/>
        </w:tabs>
        <w:spacing w:after="0" w:line="48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A3C5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Pursuant to Rule 28, Rules of the Supreme Court, </w:t>
      </w:r>
      <w:r w:rsidR="005B5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and the Court’s Order of </w:t>
      </w:r>
      <w:r w:rsidR="004023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January 21, 2025, I am filing this reply </w:t>
      </w:r>
      <w:r w:rsidR="008960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in my individual capacity as a superior court judge, </w:t>
      </w:r>
      <w:r w:rsidR="000127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to </w:t>
      </w:r>
      <w:r w:rsidR="004023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support my </w:t>
      </w:r>
      <w:r w:rsidR="00FC35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petition </w:t>
      </w:r>
      <w:r w:rsidR="004023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</w:t>
      </w:r>
      <w:r w:rsidR="00FC35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 amend new</w:t>
      </w:r>
      <w:r w:rsidR="000E77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ly enacted</w:t>
      </w:r>
      <w:r w:rsidR="00FC35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Special Action Rule 2(b)(1) by returning the language that special action relief cannot be had in an </w:t>
      </w:r>
      <w:r w:rsidR="006066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</w:t>
      </w:r>
      <w:r w:rsidR="00FC35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riginal </w:t>
      </w:r>
      <w:r w:rsidR="006066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</w:t>
      </w:r>
      <w:r w:rsidR="00FC35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pecial </w:t>
      </w:r>
      <w:r w:rsidR="006066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</w:t>
      </w:r>
      <w:r w:rsidR="00FC35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ction if there is an equally plain, speedy, and adequate remedy </w:t>
      </w:r>
      <w:r w:rsidR="00643B3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by</w:t>
      </w:r>
      <w:r w:rsidR="00FC35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law.</w:t>
      </w:r>
      <w:r w:rsidR="00F2746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However, as discussed below, the State Bar has suggested changes to my proposal, some of which I agree with.  As such, I have amended the proposed </w:t>
      </w:r>
      <w:r w:rsidR="00F2746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language of the rule change</w:t>
      </w:r>
      <w:r w:rsidR="00CF42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72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and its placement within the Special Action Rules </w:t>
      </w:r>
      <w:r w:rsidR="00CF42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and ask you to adopt that.</w:t>
      </w:r>
    </w:p>
    <w:p w14:paraId="09307818" w14:textId="194A9636" w:rsidR="00B47C17" w:rsidRDefault="004023D2" w:rsidP="004023D2">
      <w:pPr>
        <w:tabs>
          <w:tab w:val="left" w:pos="711"/>
        </w:tabs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 filed this petition to remove any ambiguity in the </w:t>
      </w:r>
      <w:r w:rsidR="00E211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new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Special Action Rules as to whether a party could file an Original Special Action in the </w:t>
      </w:r>
      <w:r w:rsidR="00A34F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Supreme Court or </w:t>
      </w:r>
      <w:r w:rsidR="003200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uperior </w:t>
      </w:r>
      <w:r w:rsidR="003200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ourt even if that party ha</w:t>
      </w:r>
      <w:r w:rsidR="00D628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 </w:t>
      </w:r>
      <w:r w:rsidRPr="004023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equally plain, speedy, and adequate remedy by law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33192ED" w14:textId="37CCDC2E" w:rsidR="00B47C17" w:rsidRDefault="00B47C17" w:rsidP="004023D2">
      <w:pPr>
        <w:tabs>
          <w:tab w:val="left" w:pos="711"/>
        </w:tabs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The Court has received two responses.  The first, from the Attorney General, characterizes the proposed amendment </w:t>
      </w:r>
      <w:r w:rsidR="00CF42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as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</w:t>
      </w:r>
      <w:r w:rsidRPr="00B47C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contextually discordant and confusing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” but</w:t>
      </w:r>
      <w:r w:rsidR="00E211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helpfully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suggest</w:t>
      </w:r>
      <w:r w:rsidR="00E211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amended language.  The second, from the State Bar, supports the Petition</w:t>
      </w:r>
      <w:r w:rsidR="00E211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but also suggests different language</w:t>
      </w:r>
      <w:r w:rsidR="00A37E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and </w:t>
      </w:r>
      <w:r w:rsidR="00F32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placing the language </w:t>
      </w:r>
      <w:r w:rsidR="00A37E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in its own </w:t>
      </w:r>
      <w:r w:rsidR="009D42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separate </w:t>
      </w:r>
      <w:r w:rsidR="00A37E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rule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6C688ED" w14:textId="330B922F" w:rsidR="00D7731E" w:rsidRPr="009D42D2" w:rsidRDefault="00D7731E" w:rsidP="00F32E71">
      <w:pPr>
        <w:pStyle w:val="ListParagraph"/>
        <w:numPr>
          <w:ilvl w:val="0"/>
          <w:numId w:val="7"/>
        </w:numPr>
        <w:tabs>
          <w:tab w:val="left" w:pos="711"/>
        </w:tabs>
        <w:spacing w:after="240" w:line="240" w:lineRule="auto"/>
        <w:ind w:right="720"/>
        <w:contextualSpacing w:val="0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</w:pPr>
      <w:r w:rsidRPr="009D42D2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>The Arizona Constitution Gives the Supreme Court and Superior Court Jurisdiction Over Extraordinary Writs, Which are Covered Under</w:t>
      </w:r>
      <w:r w:rsidR="00F2746B" w:rsidRPr="009D42D2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 xml:space="preserve"> </w:t>
      </w:r>
      <w:r w:rsidRPr="009D42D2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>the Special Action Rules.</w:t>
      </w:r>
    </w:p>
    <w:p w14:paraId="5BF775AE" w14:textId="6634BA61" w:rsidR="006D250F" w:rsidRDefault="003200CD" w:rsidP="004023D2">
      <w:pPr>
        <w:tabs>
          <w:tab w:val="left" w:pos="711"/>
        </w:tabs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In considering this issue, it is worth </w:t>
      </w:r>
      <w:r w:rsidR="008465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remembering that the Supreme Court and Superior Court have jurisdiction over extraordinary writs, which are filed as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Original Special Actions</w:t>
      </w:r>
      <w:r w:rsidR="008465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under the Arizona Constitution, specifically</w:t>
      </w:r>
      <w:r w:rsidR="00E912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Ariz. Const. Art 6, § 5 and §</w:t>
      </w:r>
      <w:r w:rsidR="00C215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="00E912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18, respectively.</w:t>
      </w:r>
      <w:r w:rsidR="00C215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Chapter 11 of Title 12 of the A.R.S. likewise </w:t>
      </w:r>
      <w:r w:rsidR="008925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further define</w:t>
      </w:r>
      <w:r w:rsidR="009D42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</w:t>
      </w:r>
      <w:r w:rsidR="008925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215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 Supreme Court</w:t>
      </w:r>
      <w:r w:rsidR="008925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’s</w:t>
      </w:r>
      <w:r w:rsidR="00C215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and Superior Court</w:t>
      </w:r>
      <w:r w:rsidR="008925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’s</w:t>
      </w:r>
      <w:r w:rsidR="00C215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jurisdiction over extraordinary writs.  </w:t>
      </w:r>
      <w:r w:rsidR="009D42D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See</w:t>
      </w:r>
      <w:r w:rsidR="009D42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215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A.R.S. § 12-2001 through 12-2045.  The statutes governing the extraordinary writs of certiorari and mandamus restrict their use to situations </w:t>
      </w:r>
      <w:r w:rsidR="00C215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where “there is no appeal, nor, in the judgment of the court, a plain, speedy and adequate remedy” in the case of certiorari (A.R.S. § 12-2001)</w:t>
      </w:r>
      <w:r w:rsidR="00B060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="00C215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and “when there is not a plain, adequate and speedy remedy at law” in the case of mandamus (A.R.S. § 1</w:t>
      </w:r>
      <w:r w:rsidR="00B060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</w:t>
      </w:r>
      <w:r w:rsidR="00C215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-2021).</w:t>
      </w:r>
      <w:r w:rsidR="00837AEF">
        <w:rPr>
          <w:rStyle w:val="FootnoteReference"/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footnoteReference w:id="1"/>
      </w:r>
      <w:r w:rsidR="00C215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A37E0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See also </w:t>
      </w:r>
      <w:r w:rsidR="008465CD" w:rsidRPr="008465C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State Bd. of Tech. Registration v. Bauer</w:t>
      </w:r>
      <w:r w:rsidR="008465CD" w:rsidRPr="008465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84 Ariz. 237, 239 (1958) (“It is well settled in this jurisdiction, by statute and court decisions interpreting same, that mandamus will only lie to compel the performance of a ministerial act </w:t>
      </w:r>
      <w:r w:rsidR="008465CD" w:rsidRPr="008465C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which the law specially imposes as a duty resulting from an office, when there is no plain, speedy and adequate remedy at law</w:t>
      </w:r>
      <w:r w:rsidR="008465CD" w:rsidRPr="008465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.”) (italics in original).</w:t>
      </w:r>
      <w:r w:rsidR="00BE4C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B35B503" w14:textId="78B40B9E" w:rsidR="006D250F" w:rsidRDefault="006D250F" w:rsidP="004023D2">
      <w:pPr>
        <w:tabs>
          <w:tab w:val="left" w:pos="711"/>
        </w:tabs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That a party cannot seek an extraordinary writ such as mandamus if there is an adequate remedy at law is </w:t>
      </w:r>
      <w:r w:rsidR="009D42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also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 long</w:t>
      </w:r>
      <w:r w:rsidR="00B72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standing common law rule</w:t>
      </w:r>
      <w:r w:rsidR="00BE4C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20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0339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See e.g.</w:t>
      </w:r>
      <w:r w:rsidR="00BE4C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E4C36" w:rsidRPr="00BE4C3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Heckler v. Ringer</w:t>
      </w:r>
      <w:r w:rsidR="00BE4C36" w:rsidRPr="00BE4C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466 U.S. 602, 616 (1984)</w:t>
      </w:r>
      <w:r w:rsidR="00BE4C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(“</w:t>
      </w:r>
      <w:r w:rsidR="00BE4C36" w:rsidRPr="00BE4C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 common-law writ of mandamus, as codified in 28 U.S.C. § 1361, is intended to provide a remedy for a plaintiff only if he has exhausted all other avenues of relief and only if the defendant owes him a clear nondiscretionary duty.</w:t>
      </w:r>
      <w:r w:rsidR="00BE4C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”)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r w:rsidRPr="006D250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U.S. ex rel. Girard Tr. Co. v. Helvering</w:t>
      </w:r>
      <w:r w:rsidRPr="006D25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301 U.S. 540, 544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(1</w:t>
      </w:r>
      <w:r w:rsidRPr="006D25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937)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(It is “t</w:t>
      </w:r>
      <w:r w:rsidRPr="006D25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he settled rule that the writ of mandamus may not be employed to secure the adjudication of a disputed right for which an ordinary suit affords a remedy equally adequate, and complete.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”)</w:t>
      </w:r>
      <w:r w:rsidR="009D42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919BE51" w14:textId="2C32405F" w:rsidR="00B060CC" w:rsidRPr="00B060CC" w:rsidRDefault="002C09DB" w:rsidP="004023D2">
      <w:pPr>
        <w:tabs>
          <w:tab w:val="left" w:pos="711"/>
        </w:tabs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As the new </w:t>
      </w:r>
      <w:r w:rsidR="00B060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Special Action Rules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acknowledge, they </w:t>
      </w:r>
      <w:r w:rsidR="00A37E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serve as </w:t>
      </w:r>
      <w:r w:rsidR="00B060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procedural rules that govern how a party seeks an extraordinary writ in the Superior Court and Supreme Court.  Special Action Rule 2(c). 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They are not intended to either expand or contract the Courts’ </w:t>
      </w:r>
      <w:r w:rsidR="00B060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jurisdiction over these writs.  </w:t>
      </w:r>
      <w:r w:rsidR="00B060C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Id</w:t>
      </w:r>
      <w:r w:rsidR="00B060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(“These rules do not enlarge the scope of relief those writs formerly granted.</w:t>
      </w:r>
      <w:r w:rsidR="00CF42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”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).  As such, the Rules should mirror the statutes as well as the caselaw interpreting the constitutional</w:t>
      </w:r>
      <w:r w:rsidR="00CF42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ly authorized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extraordinary writs.</w:t>
      </w:r>
      <w:r w:rsidR="00B72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That is what my petition seeks to accomplish.</w:t>
      </w:r>
    </w:p>
    <w:p w14:paraId="17C71592" w14:textId="712D8D30" w:rsidR="000620BC" w:rsidRDefault="000620BC" w:rsidP="001A20EE">
      <w:pPr>
        <w:tabs>
          <w:tab w:val="left" w:pos="711"/>
        </w:tabs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This is to be contrasted with </w:t>
      </w:r>
      <w:r w:rsidR="00200CA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the Court of Appeals’ </w:t>
      </w:r>
      <w:r w:rsidR="008925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jurisdiction to hear Appellate Special Actions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where the Special Action Rules themselves define that Court’s jurisdiction.  </w:t>
      </w:r>
      <w:r w:rsidR="00A37E0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See </w:t>
      </w:r>
      <w:r w:rsidRPr="000620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A.R.S. § 12-120.01(A)(4)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r w:rsidRPr="000620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“The court of appeals shall have … [j]urisdiction to hear and determine petitions for special actions brought pursuant to the rules of procedure for special actions, without regard to its appellate jurisdiction.”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); </w:t>
      </w:r>
      <w:r w:rsidR="00956C10" w:rsidRPr="00956C1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State v. Avila</w:t>
      </w:r>
      <w:r w:rsidR="00956C10" w:rsidRPr="00956C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147 Ariz. 330, 333, 710 P.2d 440, 443 (1985)</w:t>
      </w:r>
      <w:r w:rsidR="001A20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012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</w:t>
      </w:r>
      <w:r w:rsidR="001A20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“</w:t>
      </w:r>
      <w:r w:rsidR="00956C10" w:rsidRPr="00956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 court of appeals is a legislative court and has only such jurisdiction specifically given it by statute</w:t>
      </w:r>
      <w:r w:rsidR="001A20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.”</w:t>
      </w:r>
      <w:r w:rsidR="000127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="001A20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B24AA2C" w14:textId="024EAF59" w:rsidR="00B0731C" w:rsidRDefault="00CF42E5" w:rsidP="00B0731C">
      <w:pPr>
        <w:tabs>
          <w:tab w:val="left" w:pos="711"/>
        </w:tabs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</w:t>
      </w:r>
      <w:r w:rsidR="00895DA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he absence of conformity </w:t>
      </w:r>
      <w:r w:rsidR="00B72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between the constitution and statutes on the one hand, and the Special Action Rules on the other, </w:t>
      </w:r>
      <w:r w:rsidR="00895DA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could breed confusion</w:t>
      </w:r>
      <w:r w:rsidR="00837A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or even mischief</w:t>
      </w:r>
      <w:r w:rsidR="009D42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as to Original Special Actions filed in the Supreme Court and Superior Court</w:t>
      </w:r>
      <w:r w:rsidR="00895DA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815D20E" w14:textId="45CA6F7B" w:rsidR="0025391E" w:rsidRPr="009D42D2" w:rsidRDefault="000620BC" w:rsidP="003206C7">
      <w:pPr>
        <w:pStyle w:val="ListParagraph"/>
        <w:keepNext/>
        <w:keepLines/>
        <w:numPr>
          <w:ilvl w:val="0"/>
          <w:numId w:val="7"/>
        </w:numPr>
        <w:tabs>
          <w:tab w:val="left" w:pos="711"/>
        </w:tabs>
        <w:spacing w:after="240" w:line="240" w:lineRule="auto"/>
        <w:ind w:right="720"/>
        <w:contextualSpacing w:val="0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</w:pPr>
      <w:r w:rsidRPr="009D42D2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lastRenderedPageBreak/>
        <w:t>The Responses Make Good Recommendations as to the Language and Placement of the Proposed Amendment.</w:t>
      </w:r>
    </w:p>
    <w:p w14:paraId="28B01E40" w14:textId="169EA88A" w:rsidR="000620BC" w:rsidRPr="000620BC" w:rsidRDefault="000620BC" w:rsidP="003206C7">
      <w:pPr>
        <w:keepNext/>
        <w:keepLines/>
        <w:tabs>
          <w:tab w:val="left" w:pos="720"/>
        </w:tabs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In my Petition, I recommended </w:t>
      </w:r>
      <w:r w:rsidR="00CF42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adding the following language to </w:t>
      </w:r>
      <w:r w:rsidRPr="000620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Rule 2(b)(1)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r w:rsidRPr="000620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shown in </w:t>
      </w:r>
      <w:r w:rsidRPr="000620B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double"/>
          <w14:ligatures w14:val="none"/>
        </w:rPr>
        <w:t>bold with double underline</w:t>
      </w:r>
      <w:r w:rsidRPr="00743EF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Pr="000620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07854F73" w14:textId="77777777" w:rsidR="000620BC" w:rsidRPr="000620BC" w:rsidRDefault="000620BC" w:rsidP="00743EF9">
      <w:pPr>
        <w:tabs>
          <w:tab w:val="left" w:pos="720"/>
        </w:tabs>
        <w:spacing w:after="0" w:line="240" w:lineRule="auto"/>
        <w:ind w:left="720" w:right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620B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Original Special Actions.</w:t>
      </w:r>
      <w:r w:rsidRPr="000620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 original special action begins a case in court. It does not request review of an earlier decision of a court. A party seeks original special action relief by filing a complaint. With few exceptions, jurisdiction is mandatory in original special actions.  </w:t>
      </w:r>
      <w:r w:rsidRPr="000620B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double"/>
          <w14:ligatures w14:val="none"/>
        </w:rPr>
        <w:t>A party cannot seek original special action relief if an equally plain, speedy, and adequate remedy exists at law.</w:t>
      </w:r>
    </w:p>
    <w:p w14:paraId="2B403349" w14:textId="13871525" w:rsidR="000620BC" w:rsidRDefault="00743EF9" w:rsidP="00743EF9">
      <w:pPr>
        <w:tabs>
          <w:tab w:val="left" w:pos="711"/>
        </w:tabs>
        <w:spacing w:before="240" w:after="0" w:line="48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 recommended placement in Rule 2(b)(1) because the “plain, speedy, and adequate remedy” language for Appellate Special Actions is located </w:t>
      </w:r>
      <w:r w:rsidR="002205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next paragraph of the </w:t>
      </w:r>
      <w:r w:rsidR="00B72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</w:t>
      </w:r>
      <w:r w:rsidR="002205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ule, </w:t>
      </w:r>
      <w:r w:rsidR="00B72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specifically Rule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2(b)(2).</w:t>
      </w:r>
    </w:p>
    <w:p w14:paraId="5E970F77" w14:textId="0BD72748" w:rsidR="000620BC" w:rsidRDefault="00743EF9" w:rsidP="00B0731C">
      <w:pPr>
        <w:tabs>
          <w:tab w:val="left" w:pos="711"/>
        </w:tabs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The State Bar suggests that instead of placing the language in </w:t>
      </w:r>
      <w:r w:rsidR="006928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existing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Rule 2(b)(1), it should be in a new rule, 3.1, entitled “</w:t>
      </w:r>
      <w:r w:rsidRPr="00743EF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Original Special Actions Other than Statutory Special Actions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.”  </w:t>
      </w:r>
      <w:r w:rsidR="003206C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This new </w:t>
      </w:r>
      <w:r w:rsidR="00F82CB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Rule 3.1 would follow Rule 3, which defines Original Special Actions</w:t>
      </w:r>
      <w:r w:rsidR="007A5D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 Rule 3 also </w:t>
      </w:r>
      <w:r w:rsidR="00F82CB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distinguishes between special actions that seek an extraordinary writ (where the </w:t>
      </w:r>
      <w:r w:rsidR="00F82CBB" w:rsidRPr="000620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equally plain, speedy, and adequate remedy</w:t>
      </w:r>
      <w:r w:rsidR="00F82CB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language is needed) from those where jurisdiction is based on a specific statute (where the </w:t>
      </w:r>
      <w:r w:rsidR="00F82CBB" w:rsidRPr="000620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equally plain, speedy, and adequate remedy</w:t>
      </w:r>
      <w:r w:rsidR="00F82CB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language is not needed). 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 State Bar suggest</w:t>
      </w:r>
      <w:r w:rsidR="00F82CB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ion </w:t>
      </w:r>
      <w:r w:rsidR="00B30E9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makes perfect sense</w:t>
      </w:r>
      <w:r w:rsidR="007A5D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and is well-taken</w:t>
      </w:r>
      <w:r w:rsidR="00B30E9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3D9BB77" w14:textId="77777777" w:rsidR="00B30E9C" w:rsidRDefault="00B30E9C" w:rsidP="00B0731C">
      <w:pPr>
        <w:tabs>
          <w:tab w:val="left" w:pos="711"/>
        </w:tabs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Likewise, the Attorney General, in her response, points out that the </w:t>
      </w:r>
      <w:r w:rsidRPr="00B30E9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old Rule 1(a) provided that “</w:t>
      </w:r>
      <w:r w:rsidRPr="00B30E9C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[e]xcept as authorized by statute</w:t>
      </w:r>
      <w:r w:rsidRPr="00B30E9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the special action shall not be </w:t>
      </w:r>
      <w:r w:rsidRPr="00B30E9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available where there is an equally plain, speedy, and adequate remedy by appeal.” 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 other words, the old rule limited the “</w:t>
      </w:r>
      <w:r w:rsidRPr="00B30E9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equally plain, speedy, and adequate remedy by appeal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”</w:t>
      </w:r>
      <w:r w:rsidRPr="00B30E9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language to non-statutory special actions.</w:t>
      </w:r>
    </w:p>
    <w:p w14:paraId="6DB42AC6" w14:textId="752EAC46" w:rsidR="00B30E9C" w:rsidRDefault="00B30E9C" w:rsidP="00B0731C">
      <w:pPr>
        <w:tabs>
          <w:tab w:val="left" w:pos="711"/>
        </w:tabs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 State Bar</w:t>
      </w:r>
      <w:r w:rsidR="007A5D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’s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proposed language properly addresses the Attorney General’s concern.</w:t>
      </w:r>
      <w:r w:rsidR="00F82CB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While the Attorney General suggests her own language, the State Bar’s proposed language is more </w:t>
      </w:r>
      <w:r w:rsidR="00F82CBB" w:rsidRPr="00F82CB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textually </w:t>
      </w:r>
      <w:r w:rsidR="00F82CB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con</w:t>
      </w:r>
      <w:r w:rsidR="00F82CBB" w:rsidRPr="00F82CB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cordant</w:t>
      </w:r>
      <w:r w:rsidR="00F82CB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94DFF5B" w14:textId="579C3E19" w:rsidR="00B7277E" w:rsidRPr="006928E2" w:rsidRDefault="00B7277E" w:rsidP="00B7277E">
      <w:pPr>
        <w:pStyle w:val="ListParagraph"/>
        <w:numPr>
          <w:ilvl w:val="0"/>
          <w:numId w:val="7"/>
        </w:numPr>
        <w:tabs>
          <w:tab w:val="left" w:pos="711"/>
        </w:tabs>
        <w:spacing w:after="240" w:line="240" w:lineRule="auto"/>
        <w:ind w:right="720"/>
        <w:contextualSpacing w:val="0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</w:pPr>
      <w:r w:rsidRPr="006928E2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>The Special Action Rule As to Original Special Actions Should Not Address Jurisdiction.</w:t>
      </w:r>
    </w:p>
    <w:p w14:paraId="16DF1235" w14:textId="77777777" w:rsidR="007528C0" w:rsidRPr="007528C0" w:rsidRDefault="007528C0" w:rsidP="007528C0">
      <w:pPr>
        <w:tabs>
          <w:tab w:val="left" w:pos="711"/>
        </w:tabs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528C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 State Bar proposes the following language.</w:t>
      </w:r>
    </w:p>
    <w:p w14:paraId="06CA4BA8" w14:textId="77777777" w:rsidR="007528C0" w:rsidRPr="007528C0" w:rsidRDefault="007528C0" w:rsidP="007528C0">
      <w:pPr>
        <w:tabs>
          <w:tab w:val="left" w:pos="711"/>
        </w:tabs>
        <w:spacing w:after="0" w:line="240" w:lineRule="auto"/>
        <w:ind w:left="720" w:right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528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Rule 3.1.  Original Special Actions Other Than Statutory Special Actions</w:t>
      </w:r>
    </w:p>
    <w:p w14:paraId="02080EEB" w14:textId="77777777" w:rsidR="00FB12D7" w:rsidRDefault="00FB12D7" w:rsidP="007528C0">
      <w:pPr>
        <w:tabs>
          <w:tab w:val="left" w:pos="711"/>
        </w:tabs>
        <w:spacing w:after="0" w:line="240" w:lineRule="auto"/>
        <w:ind w:left="720" w:right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5933406" w14:textId="77777777" w:rsidR="00FB12D7" w:rsidRPr="00FB12D7" w:rsidRDefault="00FB12D7" w:rsidP="00FB12D7">
      <w:pPr>
        <w:tabs>
          <w:tab w:val="left" w:pos="720"/>
        </w:tabs>
        <w:spacing w:after="0" w:line="240" w:lineRule="auto"/>
        <w:ind w:left="720" w:right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B12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With respect to any original special action that is not a statutory special action as defined in Rule 3, the court may only take jurisdiction if there is no available equally plain, speedy, and adequate remedy at law.</w:t>
      </w:r>
    </w:p>
    <w:p w14:paraId="1CF946DB" w14:textId="1AF9E6D4" w:rsidR="007528C0" w:rsidRDefault="007528C0" w:rsidP="007528C0">
      <w:pPr>
        <w:tabs>
          <w:tab w:val="left" w:pos="720"/>
        </w:tabs>
        <w:spacing w:before="240" w:after="0" w:line="48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The State Bar’s proposed language </w:t>
      </w:r>
      <w:r w:rsidR="003206C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states that </w:t>
      </w:r>
      <w:r w:rsidR="00B72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</w:t>
      </w:r>
      <w:r w:rsidR="007A5D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72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ourt can only </w:t>
      </w:r>
      <w:r w:rsidR="00B7277E" w:rsidRPr="00B7277E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>take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special action </w:t>
      </w:r>
      <w:r w:rsidRPr="00B7277E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>jurisdiction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528C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if there is no available equally plain, speedy, and adequate remedy at law.</w:t>
      </w:r>
      <w:r w:rsidR="00B72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” (emphasis added).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7A5D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 do have a concern about the reference to </w:t>
      </w:r>
      <w:r w:rsidR="00F32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</w:t>
      </w:r>
      <w:r w:rsidR="007A5D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jurisdiction</w:t>
      </w:r>
      <w:r w:rsidR="00F32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”</w:t>
      </w:r>
      <w:r w:rsidR="007A5D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in the State Bar’s proposed language. 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 my Petition, I proposed that “</w:t>
      </w:r>
      <w:r w:rsidRPr="007528C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 party cannot seek original special action relief if an equally plain, speedy, and adequate remedy exists at law.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”</w:t>
      </w:r>
    </w:p>
    <w:p w14:paraId="26100F36" w14:textId="437E0F21" w:rsidR="00FB12D7" w:rsidRDefault="00FB12D7" w:rsidP="007528C0">
      <w:pPr>
        <w:tabs>
          <w:tab w:val="left" w:pos="720"/>
        </w:tabs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As discussed above, unlike an Appellate Special Action, the Special Action Rules do not grant jurisdiction over </w:t>
      </w:r>
      <w:r w:rsidR="007A5D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Original</w:t>
      </w:r>
      <w:r w:rsidR="007528C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Special Action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s.  Rather, the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Constitution grants jurisdiction.  As such, if a party seeks Original Special Action relief where </w:t>
      </w:r>
      <w:r w:rsidRPr="007528C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an equally plain, speedy, and adequate remedy exists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relief should be denied on that basis, not on the ground that the Court lacks jurisdiction to hear the case.  It is a fine distinction, but </w:t>
      </w:r>
      <w:r w:rsidR="007A5D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omitting any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mention of jurisdiction in the Rule prevents the Rule from impinging on the </w:t>
      </w:r>
      <w:r w:rsidR="007A5D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Courts’ c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onstitutional </w:t>
      </w:r>
      <w:r w:rsidR="007A5D7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authority to grant extraordinary writs.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F32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Accordingly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I propose the following language:</w:t>
      </w:r>
    </w:p>
    <w:p w14:paraId="380BCB23" w14:textId="77777777" w:rsidR="00FB12D7" w:rsidRPr="00FB12D7" w:rsidRDefault="00FB12D7" w:rsidP="00F967BB">
      <w:pPr>
        <w:keepNext/>
        <w:keepLines/>
        <w:tabs>
          <w:tab w:val="left" w:pos="720"/>
        </w:tabs>
        <w:spacing w:after="0" w:line="240" w:lineRule="auto"/>
        <w:ind w:left="720" w:right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B12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Rule 3.1.  Original Special Actions Other Than Statutory Special Actions</w:t>
      </w:r>
    </w:p>
    <w:p w14:paraId="3279B8FE" w14:textId="77777777" w:rsidR="00FB12D7" w:rsidRDefault="00FB12D7" w:rsidP="00F967BB">
      <w:pPr>
        <w:keepNext/>
        <w:keepLines/>
        <w:tabs>
          <w:tab w:val="left" w:pos="720"/>
        </w:tabs>
        <w:spacing w:after="0" w:line="240" w:lineRule="auto"/>
        <w:ind w:left="720" w:right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99BC18F" w14:textId="77777777" w:rsidR="00FB12D7" w:rsidRDefault="00FB12D7" w:rsidP="00AA526D">
      <w:pPr>
        <w:keepNext/>
        <w:keepLines/>
        <w:tabs>
          <w:tab w:val="left" w:pos="711"/>
        </w:tabs>
        <w:spacing w:after="240" w:line="240" w:lineRule="auto"/>
        <w:ind w:left="720" w:right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B12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With respect to any original special action that is not a statutory special action as defined in Rule 3, a party cannot seek special action relief if an equally plain, speedy, and adequate remedy exists at law.</w:t>
      </w:r>
    </w:p>
    <w:p w14:paraId="6FC29117" w14:textId="7E2AE400" w:rsidR="00AA526D" w:rsidRDefault="00AA526D" w:rsidP="00AA526D">
      <w:pPr>
        <w:tabs>
          <w:tab w:val="left" w:pos="711"/>
        </w:tabs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If a party seeks special action relief even though </w:t>
      </w:r>
      <w:r w:rsidRPr="00AA526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an equally plain, speedy, and adequate remedy exist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ed</w:t>
      </w:r>
      <w:r w:rsidRPr="00AA526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at law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the Court would simply enter an order dismissing the case under Special Action Rule 10(a)(4).</w:t>
      </w:r>
    </w:p>
    <w:p w14:paraId="718AAC3E" w14:textId="77777777" w:rsidR="007A5D70" w:rsidRPr="007A5D70" w:rsidRDefault="007A5D70" w:rsidP="007A5D70">
      <w:pPr>
        <w:tabs>
          <w:tab w:val="left" w:pos="720"/>
        </w:tabs>
        <w:spacing w:before="240" w:after="0" w:line="48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A5D7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CONCLUSION</w:t>
      </w:r>
    </w:p>
    <w:p w14:paraId="1E30D95F" w14:textId="3ED0A391" w:rsidR="00CF42E5" w:rsidRDefault="007A5D70" w:rsidP="007A5D70">
      <w:pPr>
        <w:tabs>
          <w:tab w:val="left" w:pos="720"/>
        </w:tabs>
        <w:spacing w:after="0" w:line="480" w:lineRule="auto"/>
        <w:ind w:firstLine="720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7A5D7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I respectfully request that </w:t>
      </w:r>
      <w:r w:rsidR="00CF42E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the Court </w:t>
      </w:r>
      <w:r w:rsidR="00F32E7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adopt a new </w:t>
      </w:r>
      <w:r w:rsidR="00CD234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Special Action </w:t>
      </w:r>
      <w:r w:rsidR="00CF42E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Rule 3.1 with an effective date of January 1, 2026 as follows:</w:t>
      </w:r>
    </w:p>
    <w:p w14:paraId="1B1DC305" w14:textId="77777777" w:rsidR="00CF42E5" w:rsidRPr="00CF42E5" w:rsidRDefault="00CF42E5" w:rsidP="00CF42E5">
      <w:pPr>
        <w:tabs>
          <w:tab w:val="left" w:pos="720"/>
        </w:tabs>
        <w:spacing w:after="0" w:line="240" w:lineRule="auto"/>
        <w:ind w:left="720" w:right="720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CF42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Rule 3.1.  Original Special Actions Other Than Statutory Special Actions</w:t>
      </w:r>
    </w:p>
    <w:p w14:paraId="5FCF5707" w14:textId="77777777" w:rsidR="00CF42E5" w:rsidRPr="00CF42E5" w:rsidRDefault="00CF42E5" w:rsidP="00CF42E5">
      <w:pPr>
        <w:tabs>
          <w:tab w:val="left" w:pos="720"/>
        </w:tabs>
        <w:spacing w:after="0" w:line="240" w:lineRule="auto"/>
        <w:ind w:left="720" w:right="720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304A9AEF" w14:textId="77777777" w:rsidR="00CF42E5" w:rsidRPr="00CF42E5" w:rsidRDefault="00CF42E5" w:rsidP="00CF42E5">
      <w:pPr>
        <w:tabs>
          <w:tab w:val="left" w:pos="711"/>
        </w:tabs>
        <w:spacing w:after="0" w:line="240" w:lineRule="auto"/>
        <w:ind w:left="720" w:right="720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CF42E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With respect to any original special action that is not a statutory special action as defined in Rule 3, a party cannot seek special action relief if an equally plain, speedy, and adequate remedy exists at law.</w:t>
      </w:r>
    </w:p>
    <w:p w14:paraId="7E7282FE" w14:textId="77777777" w:rsidR="000620BC" w:rsidRDefault="000620BC" w:rsidP="007A5D70">
      <w:pPr>
        <w:pStyle w:val="ListParagraph"/>
        <w:tabs>
          <w:tab w:val="left" w:pos="711"/>
        </w:tabs>
        <w:spacing w:after="240" w:line="240" w:lineRule="auto"/>
        <w:ind w:left="1440"/>
        <w:contextualSpacing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760C63C" w14:textId="6A5340A8" w:rsidR="00072FE8" w:rsidRPr="00072FE8" w:rsidRDefault="00072FE8" w:rsidP="00E035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72F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DATED this </w:t>
      </w:r>
      <w:r w:rsidR="00AA526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14</w:t>
      </w:r>
      <w:r w:rsidR="00AA526D" w:rsidRPr="00AA526D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>th</w:t>
      </w:r>
      <w:r w:rsidR="00AA526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72F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day of</w:t>
      </w:r>
      <w:r w:rsidR="002C1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F42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May</w:t>
      </w:r>
      <w:r w:rsidRPr="00072F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20</w:t>
      </w:r>
      <w:r w:rsidR="00E52B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25</w:t>
      </w:r>
      <w:r w:rsidRPr="00072F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6A1C03E" w14:textId="77777777" w:rsidR="00072FE8" w:rsidRDefault="00072FE8" w:rsidP="00072F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99148BA" w14:textId="3088EC6D" w:rsidR="00072FE8" w:rsidRPr="00D54DB7" w:rsidRDefault="00072FE8" w:rsidP="00072FE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u w:val="single"/>
          <w14:ligatures w14:val="none"/>
        </w:rPr>
      </w:pPr>
      <w:r w:rsidRPr="00072F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072F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072F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E0351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_____</w:t>
      </w:r>
      <w:r w:rsidR="00E0351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ab/>
      </w:r>
      <w:r w:rsidR="00E0351A">
        <w:rPr>
          <w:rFonts w:ascii="Times New Roman" w:eastAsia="Times New Roman" w:hAnsi="Times New Roman" w:cs="Times New Roman"/>
          <w:i/>
          <w:kern w:val="0"/>
          <w:sz w:val="28"/>
          <w:szCs w:val="28"/>
          <w:u w:val="single"/>
          <w14:ligatures w14:val="none"/>
        </w:rPr>
        <w:t>/</w:t>
      </w:r>
      <w:r w:rsidRPr="00D54DB7">
        <w:rPr>
          <w:rFonts w:ascii="Times New Roman" w:eastAsia="Times New Roman" w:hAnsi="Times New Roman" w:cs="Times New Roman"/>
          <w:i/>
          <w:kern w:val="0"/>
          <w:sz w:val="28"/>
          <w:szCs w:val="28"/>
          <w:u w:val="single"/>
          <w14:ligatures w14:val="none"/>
        </w:rPr>
        <w:t>s/</w:t>
      </w:r>
      <w:r w:rsidR="00E0351A">
        <w:rPr>
          <w:rFonts w:ascii="Times New Roman" w:eastAsia="Times New Roman" w:hAnsi="Times New Roman" w:cs="Times New Roman"/>
          <w:i/>
          <w:kern w:val="0"/>
          <w:sz w:val="28"/>
          <w:szCs w:val="28"/>
          <w:u w:val="single"/>
          <w14:ligatures w14:val="none"/>
        </w:rPr>
        <w:tab/>
      </w:r>
      <w:r w:rsidR="00E52BAF" w:rsidRPr="00D54DB7">
        <w:rPr>
          <w:rFonts w:ascii="Times New Roman" w:eastAsia="Times New Roman" w:hAnsi="Times New Roman" w:cs="Times New Roman"/>
          <w:i/>
          <w:kern w:val="0"/>
          <w:sz w:val="28"/>
          <w:szCs w:val="28"/>
          <w:u w:val="single"/>
          <w14:ligatures w14:val="none"/>
        </w:rPr>
        <w:t>D. Douglas Metcal</w:t>
      </w:r>
      <w:r w:rsidR="00D54DB7">
        <w:rPr>
          <w:rFonts w:ascii="Times New Roman" w:eastAsia="Times New Roman" w:hAnsi="Times New Roman" w:cs="Times New Roman"/>
          <w:i/>
          <w:kern w:val="0"/>
          <w:sz w:val="28"/>
          <w:szCs w:val="28"/>
          <w:u w:val="single"/>
          <w14:ligatures w14:val="none"/>
        </w:rPr>
        <w:t>f</w:t>
      </w:r>
      <w:r w:rsidR="00173EF4">
        <w:rPr>
          <w:rFonts w:ascii="Times New Roman" w:eastAsia="Times New Roman" w:hAnsi="Times New Roman" w:cs="Times New Roman"/>
          <w:i/>
          <w:kern w:val="0"/>
          <w:sz w:val="28"/>
          <w:szCs w:val="28"/>
          <w:u w:val="single"/>
          <w14:ligatures w14:val="none"/>
        </w:rPr>
        <w:tab/>
      </w:r>
      <w:r w:rsidR="00173EF4">
        <w:rPr>
          <w:rFonts w:ascii="Times New Roman" w:eastAsia="Times New Roman" w:hAnsi="Times New Roman" w:cs="Times New Roman"/>
          <w:i/>
          <w:kern w:val="0"/>
          <w:sz w:val="28"/>
          <w:szCs w:val="28"/>
          <w:u w:val="single"/>
          <w14:ligatures w14:val="none"/>
        </w:rPr>
        <w:tab/>
      </w:r>
    </w:p>
    <w:p w14:paraId="42308D5E" w14:textId="7F317596" w:rsidR="00E52BAF" w:rsidRDefault="00E52BAF" w:rsidP="00072FE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ab/>
        <w:t>D. Douglas Metcalf</w:t>
      </w:r>
    </w:p>
    <w:p w14:paraId="53D454E1" w14:textId="0F5D0910" w:rsidR="00E52BAF" w:rsidRDefault="00E52BAF" w:rsidP="00072FE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ab/>
        <w:t>Judge of the Superior Court</w:t>
      </w:r>
    </w:p>
    <w:sectPr w:rsidR="00E52BA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ECB4E" w14:textId="77777777" w:rsidR="00233AF3" w:rsidRDefault="00233AF3" w:rsidP="00233AF3">
      <w:pPr>
        <w:spacing w:after="0" w:line="240" w:lineRule="auto"/>
      </w:pPr>
      <w:r>
        <w:separator/>
      </w:r>
    </w:p>
  </w:endnote>
  <w:endnote w:type="continuationSeparator" w:id="0">
    <w:p w14:paraId="30182B08" w14:textId="77777777" w:rsidR="00233AF3" w:rsidRDefault="00233AF3" w:rsidP="00233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44499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720888EA" w14:textId="0FEDA28B" w:rsidR="00233AF3" w:rsidRPr="00233AF3" w:rsidRDefault="00233AF3">
        <w:pPr>
          <w:pStyle w:val="Foot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33A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3AF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33A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33AF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33AF3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AD809" w14:textId="77777777" w:rsidR="00233AF3" w:rsidRDefault="00233AF3" w:rsidP="00233AF3">
      <w:pPr>
        <w:spacing w:after="0" w:line="240" w:lineRule="auto"/>
      </w:pPr>
      <w:r>
        <w:separator/>
      </w:r>
    </w:p>
  </w:footnote>
  <w:footnote w:type="continuationSeparator" w:id="0">
    <w:p w14:paraId="0E23D516" w14:textId="77777777" w:rsidR="00233AF3" w:rsidRDefault="00233AF3" w:rsidP="00233AF3">
      <w:pPr>
        <w:spacing w:after="0" w:line="240" w:lineRule="auto"/>
      </w:pPr>
      <w:r>
        <w:continuationSeparator/>
      </w:r>
    </w:p>
  </w:footnote>
  <w:footnote w:id="1">
    <w:p w14:paraId="6F8AA77B" w14:textId="6DCCEDEB" w:rsidR="00837AEF" w:rsidRPr="00837AEF" w:rsidRDefault="00837AEF">
      <w:pPr>
        <w:pStyle w:val="FootnoteText"/>
        <w:rPr>
          <w:rFonts w:ascii="Times New Roman" w:hAnsi="Times New Roman" w:cs="Times New Roman"/>
          <w:sz w:val="28"/>
          <w:szCs w:val="28"/>
        </w:rPr>
      </w:pPr>
      <w:r w:rsidRPr="00837AEF">
        <w:rPr>
          <w:rStyle w:val="FootnoteReference"/>
          <w:rFonts w:ascii="Times New Roman" w:hAnsi="Times New Roman" w:cs="Times New Roman"/>
          <w:sz w:val="28"/>
          <w:szCs w:val="28"/>
        </w:rPr>
        <w:footnoteRef/>
      </w:r>
      <w:r w:rsidRPr="00837AEF">
        <w:rPr>
          <w:rFonts w:ascii="Times New Roman" w:hAnsi="Times New Roman" w:cs="Times New Roman"/>
          <w:sz w:val="28"/>
          <w:szCs w:val="28"/>
        </w:rPr>
        <w:t xml:space="preserve"> It should be noted that Rule 1 of the Rules of the Supreme Court provides procedural rules for the filing of a petition for an original extraordinary writ in the Supreme Court.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F6ABE"/>
    <w:multiLevelType w:val="hybridMultilevel"/>
    <w:tmpl w:val="1542D230"/>
    <w:lvl w:ilvl="0" w:tplc="D96CC1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3A4C54"/>
    <w:multiLevelType w:val="hybridMultilevel"/>
    <w:tmpl w:val="6208209E"/>
    <w:lvl w:ilvl="0" w:tplc="5A2CCA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87150D"/>
    <w:multiLevelType w:val="hybridMultilevel"/>
    <w:tmpl w:val="6208209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403906"/>
    <w:multiLevelType w:val="hybridMultilevel"/>
    <w:tmpl w:val="77F8EBDE"/>
    <w:lvl w:ilvl="0" w:tplc="E2F68FA0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61E1D"/>
    <w:multiLevelType w:val="hybridMultilevel"/>
    <w:tmpl w:val="3B4E91EA"/>
    <w:lvl w:ilvl="0" w:tplc="8B00119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5C2968BA"/>
    <w:multiLevelType w:val="hybridMultilevel"/>
    <w:tmpl w:val="006A3A22"/>
    <w:lvl w:ilvl="0" w:tplc="AEFEB400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D7C49"/>
    <w:multiLevelType w:val="hybridMultilevel"/>
    <w:tmpl w:val="13E0D2FA"/>
    <w:lvl w:ilvl="0" w:tplc="5386B9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2508172">
    <w:abstractNumId w:val="6"/>
  </w:num>
  <w:num w:numId="2" w16cid:durableId="1017928465">
    <w:abstractNumId w:val="1"/>
  </w:num>
  <w:num w:numId="3" w16cid:durableId="1291283369">
    <w:abstractNumId w:val="2"/>
  </w:num>
  <w:num w:numId="4" w16cid:durableId="1638797347">
    <w:abstractNumId w:val="5"/>
  </w:num>
  <w:num w:numId="5" w16cid:durableId="897975957">
    <w:abstractNumId w:val="4"/>
  </w:num>
  <w:num w:numId="6" w16cid:durableId="507335077">
    <w:abstractNumId w:val="3"/>
  </w:num>
  <w:num w:numId="7" w16cid:durableId="1085106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5F"/>
    <w:rsid w:val="00012782"/>
    <w:rsid w:val="000522DB"/>
    <w:rsid w:val="000620BC"/>
    <w:rsid w:val="00072FE8"/>
    <w:rsid w:val="000949FD"/>
    <w:rsid w:val="000B1040"/>
    <w:rsid w:val="000B3A1D"/>
    <w:rsid w:val="000E076C"/>
    <w:rsid w:val="000E7756"/>
    <w:rsid w:val="00100264"/>
    <w:rsid w:val="00173EF4"/>
    <w:rsid w:val="001762D7"/>
    <w:rsid w:val="00196BD4"/>
    <w:rsid w:val="001A20EE"/>
    <w:rsid w:val="001D6CFA"/>
    <w:rsid w:val="00200CA0"/>
    <w:rsid w:val="00203396"/>
    <w:rsid w:val="0022058A"/>
    <w:rsid w:val="00233AF3"/>
    <w:rsid w:val="0025391E"/>
    <w:rsid w:val="002540B3"/>
    <w:rsid w:val="00282318"/>
    <w:rsid w:val="002840D8"/>
    <w:rsid w:val="002976D9"/>
    <w:rsid w:val="002B1DF4"/>
    <w:rsid w:val="002B30F3"/>
    <w:rsid w:val="002C09DB"/>
    <w:rsid w:val="002C1858"/>
    <w:rsid w:val="003200CD"/>
    <w:rsid w:val="003206C7"/>
    <w:rsid w:val="00336D20"/>
    <w:rsid w:val="00347370"/>
    <w:rsid w:val="003A6D2A"/>
    <w:rsid w:val="003B4A06"/>
    <w:rsid w:val="004023D2"/>
    <w:rsid w:val="0040447E"/>
    <w:rsid w:val="00414F4C"/>
    <w:rsid w:val="00416573"/>
    <w:rsid w:val="00420DA7"/>
    <w:rsid w:val="00443B26"/>
    <w:rsid w:val="00467892"/>
    <w:rsid w:val="004726F4"/>
    <w:rsid w:val="004966D6"/>
    <w:rsid w:val="004C2786"/>
    <w:rsid w:val="004C496B"/>
    <w:rsid w:val="004E4C99"/>
    <w:rsid w:val="005045CA"/>
    <w:rsid w:val="00552E83"/>
    <w:rsid w:val="0058022D"/>
    <w:rsid w:val="005B5FBC"/>
    <w:rsid w:val="00600D62"/>
    <w:rsid w:val="006066FD"/>
    <w:rsid w:val="00616555"/>
    <w:rsid w:val="006168EA"/>
    <w:rsid w:val="0063381C"/>
    <w:rsid w:val="00643B30"/>
    <w:rsid w:val="00660C00"/>
    <w:rsid w:val="006928E2"/>
    <w:rsid w:val="006A3C5F"/>
    <w:rsid w:val="006A6CF7"/>
    <w:rsid w:val="006D250F"/>
    <w:rsid w:val="006E748E"/>
    <w:rsid w:val="00714ACA"/>
    <w:rsid w:val="00715C95"/>
    <w:rsid w:val="00743EF9"/>
    <w:rsid w:val="00744C53"/>
    <w:rsid w:val="007528C0"/>
    <w:rsid w:val="007933A8"/>
    <w:rsid w:val="007A5D70"/>
    <w:rsid w:val="007B1055"/>
    <w:rsid w:val="00837AEF"/>
    <w:rsid w:val="008465CD"/>
    <w:rsid w:val="00847B91"/>
    <w:rsid w:val="00850C55"/>
    <w:rsid w:val="00880C34"/>
    <w:rsid w:val="00892517"/>
    <w:rsid w:val="00895DA3"/>
    <w:rsid w:val="0089606C"/>
    <w:rsid w:val="008B7E6C"/>
    <w:rsid w:val="0092424E"/>
    <w:rsid w:val="0094386A"/>
    <w:rsid w:val="00956C10"/>
    <w:rsid w:val="009610EF"/>
    <w:rsid w:val="0097254E"/>
    <w:rsid w:val="009D42D2"/>
    <w:rsid w:val="009E4828"/>
    <w:rsid w:val="00A115E9"/>
    <w:rsid w:val="00A34F48"/>
    <w:rsid w:val="00A37E09"/>
    <w:rsid w:val="00A652B0"/>
    <w:rsid w:val="00A756D1"/>
    <w:rsid w:val="00AA526D"/>
    <w:rsid w:val="00B060CC"/>
    <w:rsid w:val="00B0731C"/>
    <w:rsid w:val="00B25E15"/>
    <w:rsid w:val="00B30E9C"/>
    <w:rsid w:val="00B3723D"/>
    <w:rsid w:val="00B47C17"/>
    <w:rsid w:val="00B54B9B"/>
    <w:rsid w:val="00B70C05"/>
    <w:rsid w:val="00B7277E"/>
    <w:rsid w:val="00B7384C"/>
    <w:rsid w:val="00B86C10"/>
    <w:rsid w:val="00BB531C"/>
    <w:rsid w:val="00BE4332"/>
    <w:rsid w:val="00BE4C36"/>
    <w:rsid w:val="00BF3E77"/>
    <w:rsid w:val="00BF580B"/>
    <w:rsid w:val="00C215C3"/>
    <w:rsid w:val="00C61557"/>
    <w:rsid w:val="00C758CA"/>
    <w:rsid w:val="00C942FE"/>
    <w:rsid w:val="00CA7209"/>
    <w:rsid w:val="00CD2349"/>
    <w:rsid w:val="00CD4B13"/>
    <w:rsid w:val="00CF42E5"/>
    <w:rsid w:val="00D342A0"/>
    <w:rsid w:val="00D54DB7"/>
    <w:rsid w:val="00D628E3"/>
    <w:rsid w:val="00D7731E"/>
    <w:rsid w:val="00D800ED"/>
    <w:rsid w:val="00DD04CF"/>
    <w:rsid w:val="00E0351A"/>
    <w:rsid w:val="00E05025"/>
    <w:rsid w:val="00E11700"/>
    <w:rsid w:val="00E211D6"/>
    <w:rsid w:val="00E404EC"/>
    <w:rsid w:val="00E52BAF"/>
    <w:rsid w:val="00E66BD1"/>
    <w:rsid w:val="00E66D3D"/>
    <w:rsid w:val="00E912A2"/>
    <w:rsid w:val="00EE0E1E"/>
    <w:rsid w:val="00EE37B4"/>
    <w:rsid w:val="00EE3EC0"/>
    <w:rsid w:val="00F0398E"/>
    <w:rsid w:val="00F2614C"/>
    <w:rsid w:val="00F2746B"/>
    <w:rsid w:val="00F31D73"/>
    <w:rsid w:val="00F32E71"/>
    <w:rsid w:val="00F44E00"/>
    <w:rsid w:val="00F82CBB"/>
    <w:rsid w:val="00F8575D"/>
    <w:rsid w:val="00F967BB"/>
    <w:rsid w:val="00F97DC1"/>
    <w:rsid w:val="00FB12D7"/>
    <w:rsid w:val="00FC35AB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3AD462D"/>
  <w15:chartTrackingRefBased/>
  <w15:docId w15:val="{4728EE87-8932-4EE9-A715-7E0C0E36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23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3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40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3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AF3"/>
  </w:style>
  <w:style w:type="paragraph" w:styleId="Footer">
    <w:name w:val="footer"/>
    <w:basedOn w:val="Normal"/>
    <w:link w:val="FooterChar"/>
    <w:uiPriority w:val="99"/>
    <w:unhideWhenUsed/>
    <w:rsid w:val="00233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AF3"/>
  </w:style>
  <w:style w:type="paragraph" w:styleId="FootnoteText">
    <w:name w:val="footnote text"/>
    <w:basedOn w:val="Normal"/>
    <w:link w:val="FootnoteTextChar"/>
    <w:uiPriority w:val="99"/>
    <w:semiHidden/>
    <w:unhideWhenUsed/>
    <w:rsid w:val="00E66B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6B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6B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3135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855315401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3389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8290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969161111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3835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5339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2087528538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6005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7113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216281994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678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81445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08135330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712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81601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494030160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8973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551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460811592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1725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6127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647829993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9281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7872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908879149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9943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3733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814562243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  <w:divsChild>
                <w:div w:id="1461220692">
                  <w:marLeft w:val="0"/>
                  <w:marRight w:val="0"/>
                  <w:marTop w:val="0"/>
                  <w:marBottom w:val="0"/>
                  <w:divBdr>
                    <w:top w:val="none" w:sz="0" w:space="0" w:color="3D3D3D"/>
                    <w:left w:val="none" w:sz="0" w:space="0" w:color="3D3D3D"/>
                    <w:bottom w:val="none" w:sz="0" w:space="0" w:color="3D3D3D"/>
                    <w:right w:val="none" w:sz="0" w:space="0" w:color="3D3D3D"/>
                  </w:divBdr>
                </w:div>
              </w:divsChild>
            </w:div>
            <w:div w:id="1271087572">
              <w:marLeft w:val="0"/>
              <w:marRight w:val="0"/>
              <w:marTop w:val="24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  <w:divsChild>
                <w:div w:id="716465358">
                  <w:marLeft w:val="0"/>
                  <w:marRight w:val="0"/>
                  <w:marTop w:val="0"/>
                  <w:marBottom w:val="0"/>
                  <w:divBdr>
                    <w:top w:val="none" w:sz="0" w:space="0" w:color="3D3D3D"/>
                    <w:left w:val="none" w:sz="0" w:space="0" w:color="3D3D3D"/>
                    <w:bottom w:val="none" w:sz="0" w:space="0" w:color="3D3D3D"/>
                    <w:right w:val="none" w:sz="0" w:space="0" w:color="3D3D3D"/>
                  </w:divBdr>
                  <w:divsChild>
                    <w:div w:id="122206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3D3D3D"/>
                        <w:left w:val="none" w:sz="0" w:space="0" w:color="3D3D3D"/>
                        <w:bottom w:val="none" w:sz="0" w:space="0" w:color="3D3D3D"/>
                        <w:right w:val="none" w:sz="0" w:space="0" w:color="3D3D3D"/>
                      </w:divBdr>
                    </w:div>
                  </w:divsChild>
                </w:div>
              </w:divsChild>
            </w:div>
            <w:div w:id="1291281513">
              <w:marLeft w:val="0"/>
              <w:marRight w:val="0"/>
              <w:marTop w:val="24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  <w:divsChild>
                <w:div w:id="115372842">
                  <w:marLeft w:val="0"/>
                  <w:marRight w:val="0"/>
                  <w:marTop w:val="0"/>
                  <w:marBottom w:val="0"/>
                  <w:divBdr>
                    <w:top w:val="none" w:sz="0" w:space="0" w:color="3D3D3D"/>
                    <w:left w:val="none" w:sz="0" w:space="0" w:color="3D3D3D"/>
                    <w:bottom w:val="none" w:sz="0" w:space="0" w:color="3D3D3D"/>
                    <w:right w:val="none" w:sz="0" w:space="0" w:color="3D3D3D"/>
                  </w:divBdr>
                  <w:divsChild>
                    <w:div w:id="21416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3D3D3D"/>
                        <w:left w:val="none" w:sz="0" w:space="0" w:color="3D3D3D"/>
                        <w:bottom w:val="none" w:sz="0" w:space="0" w:color="3D3D3D"/>
                        <w:right w:val="none" w:sz="0" w:space="0" w:color="3D3D3D"/>
                      </w:divBdr>
                    </w:div>
                  </w:divsChild>
                </w:div>
              </w:divsChild>
            </w:div>
            <w:div w:id="72707470">
              <w:marLeft w:val="0"/>
              <w:marRight w:val="0"/>
              <w:marTop w:val="24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  <w:divsChild>
                <w:div w:id="1171024290">
                  <w:marLeft w:val="0"/>
                  <w:marRight w:val="0"/>
                  <w:marTop w:val="0"/>
                  <w:marBottom w:val="0"/>
                  <w:divBdr>
                    <w:top w:val="none" w:sz="0" w:space="0" w:color="3D3D3D"/>
                    <w:left w:val="none" w:sz="0" w:space="0" w:color="3D3D3D"/>
                    <w:bottom w:val="none" w:sz="0" w:space="0" w:color="3D3D3D"/>
                    <w:right w:val="none" w:sz="0" w:space="0" w:color="3D3D3D"/>
                  </w:divBdr>
                  <w:divsChild>
                    <w:div w:id="74025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3D3D3D"/>
                        <w:left w:val="none" w:sz="0" w:space="0" w:color="3D3D3D"/>
                        <w:bottom w:val="none" w:sz="0" w:space="0" w:color="3D3D3D"/>
                        <w:right w:val="none" w:sz="0" w:space="0" w:color="3D3D3D"/>
                      </w:divBdr>
                    </w:div>
                  </w:divsChild>
                </w:div>
              </w:divsChild>
            </w:div>
            <w:div w:id="1961570818">
              <w:marLeft w:val="0"/>
              <w:marRight w:val="0"/>
              <w:marTop w:val="24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  <w:divsChild>
                <w:div w:id="1502231756">
                  <w:marLeft w:val="0"/>
                  <w:marRight w:val="0"/>
                  <w:marTop w:val="0"/>
                  <w:marBottom w:val="0"/>
                  <w:divBdr>
                    <w:top w:val="none" w:sz="0" w:space="0" w:color="3D3D3D"/>
                    <w:left w:val="none" w:sz="0" w:space="0" w:color="3D3D3D"/>
                    <w:bottom w:val="none" w:sz="0" w:space="0" w:color="3D3D3D"/>
                    <w:right w:val="none" w:sz="0" w:space="0" w:color="3D3D3D"/>
                  </w:divBdr>
                  <w:divsChild>
                    <w:div w:id="4260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3D3D3D"/>
                        <w:left w:val="none" w:sz="0" w:space="0" w:color="3D3D3D"/>
                        <w:bottom w:val="none" w:sz="0" w:space="0" w:color="3D3D3D"/>
                        <w:right w:val="none" w:sz="0" w:space="0" w:color="3D3D3D"/>
                      </w:divBdr>
                    </w:div>
                  </w:divsChild>
                </w:div>
              </w:divsChild>
            </w:div>
            <w:div w:id="210075138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20917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58395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664549563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F31D9-8023-442B-B847-D4355C67D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2669</TotalTime>
  <Pages>8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Metcalf, D. Douglas</dc:creator>
  <cp:keywords/>
  <dc:description/>
  <cp:lastModifiedBy>Metcalf, D. Douglas</cp:lastModifiedBy>
  <cp:revision>13</cp:revision>
  <cp:lastPrinted>2025-05-14T18:08:00Z</cp:lastPrinted>
  <dcterms:created xsi:type="dcterms:W3CDTF">2025-03-06T20:26:00Z</dcterms:created>
  <dcterms:modified xsi:type="dcterms:W3CDTF">2025-05-14T18:23:00Z</dcterms:modified>
</cp:coreProperties>
</file>